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single" w:color="C8A04A" w:sz="12"/>
              <w:right w:val="none"/>
            </w:tcBorders>
            <w:shd w:fill="2D6E8A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FLY GACA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04A"/>
                <w:sz w:val="28"/>
                <w:szCs w:val="28"/>
              </w:rPr>
              <w:t xml:space="preserve">Finance &amp; Accounting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Monthly Close Checklist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Fly GACA  ·  Finance &amp; Accounting  ·  v1.0  ·  May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Captain Adel Yahya A. Madkhali, Founder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i@flygaca.com  ·  +966 51 096 6969  ·  flygaca.com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8A04A" w:sz="4"/>
              <w:left w:val="single" w:color="2D6E8A" w:sz="12"/>
              <w:bottom w:val="single" w:color="C8A04A" w:sz="4"/>
              <w:right w:val="none" w:color="FFFFFF" w:sz="0"/>
            </w:tcBorders>
            <w:shd w:fill="B5DDC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0E12"/>
                <w:sz w:val="20"/>
                <w:szCs w:val="20"/>
              </w:rPr>
              <w:t xml:space="preserve">Why This Matters  </w:t>
            </w:r>
            <w:r>
              <w:rPr>
                <w:rFonts w:ascii="Arial" w:cs="Arial" w:eastAsia="Arial" w:hAnsi="Arial"/>
                <w:color w:val="0A0E12"/>
                <w:sz w:val="20"/>
                <w:szCs w:val="20"/>
              </w:rPr>
              <w:t xml:space="preserve">A disciplined monthly close produces reliable financials within 25 days — fast enough for investor monthly updates and board packs, while catching errors before they compound. Speed and accuracy are not opposites; this checklist delivers both.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This checklist governs Fly GACA's monthly financial close process. Target: books locked by Day 25; management reporting package by Day 18; investor update dispatched by Day 26. All day numbers are calendar days from month-end (Day 0 = last day of the month).</w:t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Responsibility codes: F = Finance / External Bookkeeper | C = COO | A = Founder (Captain Adel). SLA = target completion day. Items marked with * are ZATCA or regulatory deadlines — non-negotiable.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Week 1 — Revenue &amp; AP Cutoff (Days 1–8)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Revenue cutoff: confirm all invoices issued by month-end are entered in the accounting system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Match Moyasar settlement report to AR ledger; post any unrecorded invoices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Deferred revenue schedule: update the monthly release schedule for all annual subscriptions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Release the correct 1/12 monthly portion from account 2300 to revenue 4110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AR aging review: flag all receivables &gt; 30 days; prepare collection action notes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Email follow-up to all &gt; 30-day balances; log any doubtful accounts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Confirm all customer contracts received and countersigned for the period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3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Academy and white-label agreements; file digital copy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AP cutoff: review all vendor invoices received; accrue any unvouchered purchase orders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4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Do not pay at cutoff — only accrue to period; debit 5xxx, credit 2200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Expense accruals: utilities, cloud services, legal fees not yet invoiced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5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Estimate from prior month if invoice not yet received; true up when received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Corporate card receipts: collect all receipts from cardholders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 /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5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All cardholders submit by Day 5 without exception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Payroll close: verify all salaries processed correctly via Mudad / GOSI portal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6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Confirm net pay amounts, GOSI deductions, Saudization compliance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GOSI employer contribution accrual (if not yet paid this period)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7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12% of basic salary for Saudi nationals; 2% for expatriates; post to 2400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EOSB accrual: 1/12th of annual salary per Saudi employee per month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8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End of Service Benefit per Saudi Labour Law; credit to accrued liabilities 2200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Week 2 — Reconciliations &amp; Journals (Days 9–14)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Bank reconciliation — primary operating account (Arab National Bank via SiFi)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9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Reconcile to bank statement; clear all outstanding items; note timing differences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9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Bank reconciliation — secondary savings account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9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Note interest or Murabaha profit earned; post to Other Income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Moyasar reconciliation: settlement report vs. revenue ledger and bank receipts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Verify 2.7% + 1 SAR fee deducted correctly; post fee to account 5120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Foreign currency revaluation: USD payables (Gemini API, Firebase hosting)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Revalue at actual month-end bank spot rate; post FX gain/loss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Depreciation and amortization journal entries for all fixed and intangible assets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Per Fixed Asset Register (FAR) schedule; debit depreciation expense, credit accumulated depreciation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Prepaid expense amortization: SaaS tools, insurance, rent prepayments (account 1300)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Release monthly portion from 1300 to the appropriate expense account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12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Deferred revenue recognition journal: confirm release matches revenue schedule from Day 1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12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Debit 2300, credit 4110; confirm cumulative deferred balance makes sense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13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VAT calculation: output VAT on all sales invoices, input VAT on all eligible purchase invoices *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13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Net position posted to 2420; ZATCA quarterly or monthly filing — check your filing frequency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14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Withholding tax entries: WHT on foreign vendor payments subject to Saudi WHT *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14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Post to 2410; remit to ZATCA within statutory deadline to avoid penalties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Week 3 — Review &amp; Reporting (Days 15–23)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15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Trial balance review meeting with Founder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+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15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30-minute video or in-person call; flag any unusual items or large variances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16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Management P&amp;L draft: current month and year-to-date vs. budget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16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Import into Budget vs. Actual Tracker; calculate variances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17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Balance sheet draft: review key balances (cash, AR, deferred revenue, SAFE note, equity)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17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Cash balance must exactly match bank reconciliation total from Day 9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18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Complete management accounts package: P&amp;L + Balance Sheet + Cash Flow Statement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18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Distribute to Founder for review; PDF + Excel format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19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Variance analysis: written commentary for each line item with &gt; 5% actual vs. budget variance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19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State reason, one-time vs. recurring, and any corrective action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21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Variance review meeting with Founder: agree on explanations and required actions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 /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21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45-minute focused review; agree adjusting entries if needed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22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Post adjusting entries from Founder review and approval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22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Log all post-Day-15 adjustments in adjustment register with authorization reference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23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Final review: confirm all adjustments correctly reflected; Founder sign-off on trial balance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+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23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provides email confirmation: "I approve the [Month] trial balance"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Week 4 — Lock, File &amp; Report (Days 24–30)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1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24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Lock the accounting period in the accounting system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24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No further entries permitted without Founder authorization to unlock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25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Schedule and post next month's automatic accrual reversals (if applicable)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25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Set up auto-reversals for accruals that will receive invoices next month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26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Investor Monthly Update: draft and dispatch to all investors and advisors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26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Include: revenue, burn rate, cash runway, key metrics, milestones hit, asks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27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 pack preparation (board meeting months only): full financials + KPI commentary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A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27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Use board pack template; include management accounts + KPI dashboard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28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ZATCA VAT return filing (if monthly filer) *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28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File by statutory deadline; retain confirmation number; post payment to 2420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GOSI payment: process and confirm employer + employee contributions *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 / C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30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Must be submitted via Mudad by the statutory deadline (last day of following month)</w:t>
            </w:r>
          </w:p>
        </w:tc>
      </w:tr>
      <w:tr>
        <w:tc>
          <w:tcPr>
            <w:tcW w:type="dxa" w:w="5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30</w:t>
            </w:r>
          </w:p>
        </w:tc>
        <w:tc>
          <w:tcPr>
            <w:tcW w:type="dxa" w:w="3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Month-end archive: store all working papers, bank statements, reconciliations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</w:t>
            </w:r>
          </w:p>
        </w:tc>
        <w:tc>
          <w:tcPr>
            <w:tcW w:type="dxa" w:w="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30</w:t>
            </w:r>
          </w:p>
        </w:tc>
        <w:tc>
          <w:tcPr>
            <w:tcW w:type="dxa" w:w="21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Digital folder per month (YYYY-MM format); access-controlled; retained 7 years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SLA Summary &amp; Escalation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Day</w:t>
            </w:r>
          </w:p>
        </w:tc>
        <w:tc>
          <w:tcPr>
            <w:tcW w:type="dxa" w:w="14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600"/>
            <w:shd w:fill="2D6E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Books locked (no further entries without authorization)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25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Finance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Accounting system period closed and confirmed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Management accounts (P&amp;L + BS + Cash Flow)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18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Finance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PDF + Excel distributed to Founder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Variance commentary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19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Finance / COO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Written memo or email with table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 sign-off on final accounts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23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Email confirmation retained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Investor Monthly Update dispatched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26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Founder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Email to investor distribution list</w:t>
            </w:r>
          </w:p>
        </w:tc>
      </w:tr>
      <w:tr>
        <w:tc>
          <w:tcPr>
            <w:tcW w:type="dxa" w:w="28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Board pack (board meeting months only)</w:t>
            </w:r>
          </w:p>
        </w:tc>
        <w:tc>
          <w:tcPr>
            <w:tcW w:type="dxa" w:w="12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Day 27</w:t>
            </w:r>
          </w:p>
        </w:tc>
        <w:tc>
          <w:tcPr>
            <w:tcW w:type="dxa" w:w="14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Finance / Founder</w:t>
            </w:r>
          </w:p>
        </w:tc>
        <w:tc>
          <w:tcPr>
            <w:tcW w:type="dxa" w:w="2600"/>
            <w:shd w:fill="F5F2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0E12"/>
                <w:sz w:val="22"/>
                <w:szCs w:val="22"/>
              </w:rPr>
              <w:t xml:space="preserve">PDF presentation + financials attachment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A0E12"/>
          <w:sz w:val="22"/>
          <w:szCs w:val="22"/>
        </w:rPr>
        <w:t xml:space="preserve">Escalation rule: if any SLA is at risk of missing by more than 2 business days, Finance must notify the Founder immediately with: (1) reason for delay, (2) revised completion date, (3) any regulatory or financial risk from the delay. ZATCA filing deadlines are statutory — a penalty of 5–25% of unpaid tax applies for late filings and cannot be waived. Finance must always prioritize VAT entries (Day 13) regardless of other delays.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Fly GACA  ·  Finance  ·  Confidential      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E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2026-05-05T03:34:26.516Z</dcterms:created>
  <dcterms:modified xsi:type="dcterms:W3CDTF">2026-05-05T03:34:26.516Z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