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rPr>
          <w:sz w:val="48"/>
          <w:szCs w:val="48"/>
        </w:rPr>
        <w:t xml:space="preserve"/>
      </w:r>
    </w:p>
    <w:p>
      <w:pPr>
        <w:shd w:fill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FLY GACA</w:t>
      </w:r>
    </w:p>
    <w:p>
      <w:pPr>
        <w:shd w:fill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C8A04A"/>
          <w:sz w:val="28"/>
          <w:szCs w:val="28"/>
        </w:rPr>
        <w:t xml:space="preserve">Saudi Government &amp; Tax</w:t>
      </w:r>
    </w:p>
    <w:p>
      <w:pPr>
        <w:pBdr>
          <w:bottom w:val="single" w:color="C8A04A" w:sz="8" w:space="4"/>
        </w:pBdr>
        <w:spacing w:after="240" w:before="8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D6E8A"/>
          <w:sz w:val="48"/>
          <w:szCs w:val="48"/>
        </w:rPr>
        <w:t xml:space="preserve">MISA Investment License
Application Bundle</w:t>
      </w:r>
    </w:p>
    <w:p>
      <w:pPr>
        <w:spacing w:after="9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Ministry of Investment Saudi Arabia — Service License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Fly GACA  ·  Saudi Gov &amp; Tax  ·  v1.0  ·  May 2026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BDA Company International (Fly GACA)  ·  Adel Yahya A. Madkhali  ·  i@flygaca.com  ·  +966 51 096 6969  ·  flygaca.com</w:t>
      </w:r>
    </w:p>
    <w:p>
      <w:pPr>
        <w:pageBreakBefore/>
      </w:pPr>
      <w:r/>
    </w:p>
    <w:p>
      <w:pPr>
        <w:shd w:fill="B5DDC2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1A3D2A"/>
          <w:sz w:val="22"/>
          <w:szCs w:val="22"/>
        </w:rPr>
        <w:t xml:space="preserve">Obtaining a MISA license is the legal gateway to operating a technology business in Saudi Arabia. This bundle walks Fly GACA through license type selection, document preparation, application process, fees, and post-license obligations.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Overview of MISA License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License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&amp; Fly GACA Relevance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Service 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For companies providing services (tech, consulting, EdTech). RECOMMENDED for Fly GACA.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Industrial 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For manufacturing/production activities. Not applicable.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Trading 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For import/export/retail of goods. Not applicable.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Holding 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For holding subsidiaries. Future consideration post-Year 3 expansion.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Fly GACA Recommendation: Service License (Technology Services)</w:t>
      </w:r>
    </w:p>
    <w:p>
      <w:r>
        <w:rPr>
          <w:rFonts w:ascii="Arial" w:cs="Arial" w:eastAsia="Arial" w:hAnsi="Arial"/>
          <w:sz w:val="22"/>
          <w:szCs w:val="22"/>
        </w:rPr>
        <w:t xml:space="preserve">Fly GACA’s core activity — AI-powered flight training software and GACA regulatory content delivery — falls squarely within “Technology and Software Services” under the MISA classification system (ISIC 6201/6202). A Service License (Technology) is the correct and fastest path.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Required Documents Checklist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3.1 Founder / Company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Saudi National ID (Iqama not applicable — founder is Saudi)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Completed MISA application form (online via Saudi Business Center portal)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Memorandum of Association (MoA) — single-member LLC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Articles of Association (if applicable)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Proposed company name reservation (3 options via Ministry of Commerce)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Capital deposit proof — 500,000 SAR deposited in a Saudi bank in company’s pre-incorporation account [BANK LETTER REQUIRED]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Signed declaration of beneficial ownership (Founder: Adel Yahya A. Madkhali)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3.2 Premises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Lease agreement or property ownership proof for registered office [BALADIYA-REGISTERED LEASE REQUIRED]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Ejari (lease registration) certificate from local municipality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3.3 Business Activity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activity description (Arabic and English): “Development and provision of AI-powered aviation training software, regulatory content, and EdTech services”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ISIC code selection: 6201 (Computer Programming) + 6202 (Computer Consultancy)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Capital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Minimum Capital (Service License)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100,000 SAR statutory minimum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Fly GACA Elected Capital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500,000 SAR (5x minimum — enhances credibility with GACA, banks, enterprise clients)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Capital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Cash deposit in Saudi bank prior to CR issuance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Proof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Official bank letter confirming capital deposit on company letterhead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Step-by-Step Application via Saudi Business Center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1: Create account at businesscenter.gov.sa (use Saudi ID / Absher)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2: Select “Investment License” → “New License” → Service License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3: Enter company information, activity codes, and capital amount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4: Upload all required documents (PDF, max 5MB each)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5: Pay MISA license fee online (12,000 SAR initial)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6: Receive MISA license (digital + physical) within 4–6 weeks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7: Proceed immediately to Commercial Registration (CR) at Ministry of Commerce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8: Register with ZATCA for tax purposes within 30 days of CR issuance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Timeline &amp;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MISA License Processing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4–6 weeks (expedited service available for additional fee)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Initial License Fee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12,000 SAR (paid online at application)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Annual Renewal Fee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60,000 SAR (due on license anniversary)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CR Issuance (post-MISA)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1–2 weeks via Ministry of Commerce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CR Renewal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Annual — fee varies by capital amount (est. 1,200–3,000 SAR)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Total Year 1 Government Fees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Est. 73,000–80,000 SAR (MISA + CR + miscellaneous stamps)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Post-License Obligations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Annual report to MISA confirming continued operations within license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Beneficial ownership disclosure update annually (or within 15 days of any change)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 registered office address and notify MISA of any change within 30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change of business activity without prior MISA approval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Employment of Saudi nationals per Nitaqat/Saudization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Register with ZATCA for VAT/Zakat within 30 days of CR — see Doc 3 &amp; 4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8. Cross-References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ZATCA Registration → see Doc 2 (ZATCA Fatoora) and Doc 3 (VAT Compliance Memo)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GOSI Registration → register within 10 days of first hire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Monsha’at → register as SME immediately post-CR (see Doc 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NTDP Grants → apply Q3 2026 post-MISA (see Doc 7)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E8A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Fly GACA  ·  Saudi Gov &amp; Tax  ·  Confidential  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04A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Fly GACA  ·  Saudi Gov &amp; Tax  ·  v1.0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2026-05-05T03:23:01.774Z</dcterms:created>
  <dcterms:modified xsi:type="dcterms:W3CDTF">2026-05-05T03:23:01.774Z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