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VAT Compliance Memo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Saudi Value-Added Tax (15%) — Registration, Treatment &amp; Returns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BDA Company International (Fly GACA)  ·  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Saudi VAT at 15% applies to virtually all domestic services Fly GACA provides. Correct classification of each revenue stream — standard-rated, zero-rated, or exempt — directly determines pricing strategy and cash flow. STATUS UPDATE 2026-07-27: the company IS registered — VAT 311415259500003, effective 2025-11-01, quarterly; the first return was due 2026-01-31 and is overdue — file via the ZATCA portal immediately (see 03-finance/invoicing-and-vat-returns). Voluntary registration enables input VAT recovery that offsets cloud infrastructure costs.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VAT Registration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Revenue Trigger &amp; Fly GACA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Mandatory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375,000 SAR/year. Fly GACA must register once this threshold is breached.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Voluntary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187,500 SAR/year. Fly GACA SHOULD register voluntarily upon Pro tier launch to recover input VAT on cloud/API expenses.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Non-Resident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 threshold — any taxable supply in KSA triggers registration. Relevant if Fly GACA uses foreign SaaS vendors billing into KSA.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Recommendation: Register voluntarily with ZATCA for VAT upon commercial launch (Q3 2026), regardless of revenue level. Benefits of early registration outweigh compliance burden at the startup stage.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VAT Treatment by Service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/ Revenue Stream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VAT Rate &amp; 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Pro Subscription (29 SAR/mo) — B2C, KSA resident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15% standard rate. Customer pays 33.35 SAR total (29 + 4.35 VAT). Display as “29 SAR + VAT” or “33.35 SAR VAT-inclusive”.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Academy Seat License (150 SAR/cadet/yr) — B2B, KSA flight school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15% standard rate. Invoice 150 SAR + 22.50 SAR VAT = 172.50 SAR per cadet.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White Label Platform License — B2B, KSA airline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15% standard rate. Billed under commercial contract; must issue standard tax invoice with ZATCA clearance.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Academy License — GCC country (UAE, Bahrain, Qatar, etc.)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0% zero-rated (GCC cross-border service export under Article 34 KSA VAT Law). Must retain evidence of non-KSA delivery.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International Academy/White Label (non-GCC)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0% zero-rated (exported service). Must document customer domicile outside KSA and GCC.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Free Tier (0 SAR)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 supply / no VAT. Out of scope but retain user data for potential future taxable supply.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Input VAT Recovery</w:t>
      </w:r>
    </w:p>
    <w:p>
      <w:r>
        <w:rPr>
          <w:rFonts w:ascii="Arial" w:cs="Arial" w:eastAsia="Arial" w:hAnsi="Arial"/>
          <w:sz w:val="22"/>
          <w:szCs w:val="22"/>
        </w:rPr>
        <w:t xml:space="preserve">Fly GACA may deduct VAT paid on business expenses against VAT collected from customers. Key recoverable 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Cloud / Firebase (me-central2 Dammam): If Google charges Saudi VAT — recover as input. If charged as non-resident (zero-rated): apply reverse charge.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API (Google AI): Subject to reverse charge mechanism (see Section 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payment gateway fees: Recover input VAT if Moyasar charges Saudi VAT.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 lease: Recover input VAT on commercial lease if VAT-registered landlord.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Hardware, equipment, professional services (legal, accounting): Recover with valid tax invoices.</w:t>
      </w:r>
    </w:p>
    <w:p>
      <w:r>
        <w:rPr>
          <w:rFonts w:ascii="Arial" w:cs="Arial" w:eastAsia="Arial" w:hAnsi="Arial"/>
          <w:sz w:val="22"/>
          <w:szCs w:val="22"/>
        </w:rPr>
        <w:t xml:space="preserve">Partial exemption does not apply to Fly GACA (no exempt supplies) — 100% input VAT recovery permitted.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Quarterly VAT Returns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Filing frequency: Quarterly (January–March, April–June, July–September, October–December)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Filing deadline: 30 days after the end of each VAT period (e.g., April 30 for Q1)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Filing portal: ZATCA online portal (zatca.gov.sa) or integrated via Qoyod/Zoho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Payment: Must accompany filing if net VAT due. Bank transfer to ZATCA account.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Refunds: If input VAT exceeds output VAT (common in early stage), Fly GACA may request a VAT refund. ZATCA processes within 15 business days.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Reverse Charge Mechanism (RCM)</w:t>
      </w:r>
    </w:p>
    <w:p>
      <w:r>
        <w:rPr>
          <w:rFonts w:ascii="Arial" w:cs="Arial" w:eastAsia="Arial" w:hAnsi="Arial"/>
          <w:sz w:val="22"/>
          <w:szCs w:val="22"/>
        </w:rPr>
        <w:t xml:space="preserve">When Fly GACA receives services from non-resident suppliers (e.g., Google AI API, OpenAI, international legal counsel), Fly GACA must self-account for VAT under the Reverse Charge Mechanism: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15% VAT on the foreign invoice 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as both output VAT (Box 9 of VAT return) and input VAT (Box 10 of VAT return)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effect is zero cash outflow IF 100% input VAT recovery applies (i.e., all supplies are taxable)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foreign suppliers triggering RCM: Google Cloud/AI APIs, Stripe (if used), AWS, international SaaS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Practical Implications for Moyasar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collects payment inclusive of VAT from customer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Fly GACA must configure Moyasar to add 15% VAT to displayed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settlement: Fly GACA receives net amount; must remit VAT component to ZATCA quarterly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transaction data must map to ZATCA e-invoice records (automated via Qoyod integration)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Record-Keeping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Retain all tax invoices (issued and received) for minimum 6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Records must be in Arabic or accompanied by Arabic translation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Electronic records acceptable — must be accessible for ZATCA audit on demand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logs of Moyasar transactions + ZATCA clearance records = dual audit trail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2026-05-05T03:23:01.838Z</dcterms:created>
  <dcterms:modified xsi:type="dcterms:W3CDTF">2026-05-05T03:23:01.838Z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