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E8A" w:val="clear"/>
            <w:tcMar>
              <w:top w:type="dxa" w:w="320"/>
              <w:left w:type="dxa" w:w="360"/>
              <w:bottom w:type="dxa" w:w="200"/>
              <w:right w:type="dxa" w:w="360"/>
            </w:tcMar>
          </w:tcPr>
          <w:p>
            <w:pPr>
              <w:spacing w:after="80"/>
            </w:pPr>
            <w:r>
              <w:rPr>
                <w:rFonts w:ascii="Arial" w:cs="Arial" w:eastAsia="Arial" w:hAnsi="Arial"/>
                <w:b/>
                <w:bCs/>
                <w:color w:val="FFFFFF"/>
                <w:sz w:val="48"/>
                <w:szCs w:val="48"/>
              </w:rPr>
              <w:t xml:space="preserve">Investor FAQ</w:t>
            </w:r>
          </w:p>
          <w:p>
            <w:r>
              <w:rPr>
                <w:rFonts w:ascii="Arial" w:cs="Arial" w:eastAsia="Arial" w:hAnsi="Arial"/>
                <w:color w:val="F5F2ED"/>
                <w:sz w:val="24"/>
                <w:szCs w:val="24"/>
              </w:rPr>
              <w:t xml:space="preserve">Fly GACA — 30 High-Value Questions Answered</w:t>
            </w:r>
          </w:p>
        </w:tc>
      </w:tr>
    </w:tbl>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bCs/>
          <w:i w:val="false"/>
          <w:iCs w:val="false"/>
          <w:color w:val="0A0E12"/>
          <w:sz w:val="22"/>
          <w:szCs w:val="22"/>
        </w:rPr>
        <w:t xml:space="preserve">Fly GACA  |  Captain Adel Yahya A. Madkhali, Founder &amp; CEO</w:t>
      </w:r>
    </w:p>
    <w:p>
      <w:pPr>
        <w:spacing w:after="60" w:before="60"/>
        <w:jc w:val="left"/>
      </w:pPr>
      <w:r>
        <w:rPr>
          <w:rFonts w:ascii="Arial" w:cs="Arial" w:eastAsia="Arial" w:hAnsi="Arial"/>
          <w:b w:val="false"/>
          <w:bCs w:val="false"/>
          <w:i w:val="false"/>
          <w:iCs w:val="false"/>
          <w:color w:val="0A0E12"/>
          <w:sz w:val="22"/>
          <w:szCs w:val="22"/>
        </w:rPr>
        <w:t xml:space="preserve">i@flygaca.com  |  +966 51 096 6969  |  flygaca.com</w:t>
      </w:r>
    </w:p>
    <w:p>
      <w:pPr>
        <w:spacing w:after="60" w:before="60"/>
        <w:jc w:val="left"/>
      </w:pPr>
      <w:r>
        <w:rPr>
          <w:rFonts w:ascii="Arial" w:cs="Arial" w:eastAsia="Arial" w:hAnsi="Arial"/>
          <w:b w:val="false"/>
          <w:bCs w:val="false"/>
          <w:i w:val="false"/>
          <w:iCs w:val="false"/>
          <w:color w:val="0A0E12"/>
          <w:sz w:val="22"/>
          <w:szCs w:val="22"/>
        </w:rPr>
        <w:t xml:space="preserve">Raising 3,000,000 SAR bridge · 25M SAR cap · SAFE/convertible · May 2026</w:t>
      </w:r>
    </w:p>
    <w:p>
      <w:r>
        <w:t xml:space="preserve"/>
      </w:r>
    </w:p>
    <w:p>
      <w:r>
        <w:t xml:space="preserve"/>
      </w:r>
    </w:p>
    <w:p>
      <w:pPr>
        <w:spacing w:after="60" w:before="60"/>
        <w:jc w:val="left"/>
      </w:pPr>
      <w:r>
        <w:rPr>
          <w:rFonts w:ascii="Arial" w:cs="Arial" w:eastAsia="Arial" w:hAnsi="Arial"/>
          <w:b w:val="false"/>
          <w:bCs w:val="false"/>
          <w:i/>
          <w:iCs/>
          <w:color w:val="0A0E12"/>
          <w:sz w:val="22"/>
          <w:szCs w:val="22"/>
        </w:rPr>
        <w:t xml:space="preserve">This FAQ addresses the 30 most probing questions investors ask. Answers are direct — the same way we run the company.</w:t>
      </w:r>
    </w:p>
    <w:p>
      <w:r>
        <w:br w:type="page"/>
      </w:r>
    </w:p>
    <w:p>
      <w:pPr>
        <w:pStyle w:val="Heading1"/>
        <w:spacing w:after="120" w:before="280"/>
      </w:pPr>
      <w:r>
        <w:rPr>
          <w:rFonts w:ascii="Arial" w:cs="Arial" w:eastAsia="Arial" w:hAnsi="Arial"/>
          <w:b/>
          <w:bCs/>
          <w:color w:val="2D6E8A"/>
          <w:sz w:val="28"/>
          <w:szCs w:val="28"/>
        </w:rPr>
        <w:t xml:space="preserve">1. Market &amp; Opportunity</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 — Why Saudi Arabia over Egypt or UAE?</w:t>
      </w:r>
    </w:p>
    <w:p>
      <w:pPr>
        <w:spacing w:after="60" w:before="60"/>
        <w:jc w:val="left"/>
      </w:pPr>
      <w:r>
        <w:rPr>
          <w:rFonts w:ascii="Arial" w:cs="Arial" w:eastAsia="Arial" w:hAnsi="Arial"/>
          <w:b w:val="false"/>
          <w:bCs w:val="false"/>
          <w:i w:val="false"/>
          <w:iCs w:val="false"/>
          <w:color w:val="0A0E12"/>
          <w:sz w:val="22"/>
          <w:szCs w:val="22"/>
        </w:rPr>
        <w:t xml:space="preserve">Saudi Arabia is the only Gulf market with an active government mandate (Vision 2030) to triple domestic aviation capacity, backed by Ministry of Transport capital spend, six new airline launches, and a GACA exam system already being overhauled. Egypt's aviation market is fragmented and regulatory infrastructure lags; UAE licences mostly funnel into Emirates or FlyDubai ecosystems and face intense English-language competition from Sheppard Air and Sporty's Pilot. KSA uniquely mandates Arabic-language GACA exams, requires local data hosting under PDPL, and is producing 3,000+ new student pilots per year — a captive, under-served addressable market where no credible AI-native incumbent exists.</w:t>
      </w:r>
    </w:p>
    <w:p>
      <w:pPr>
        <w:pStyle w:val="Heading2"/>
        <w:spacing w:after="80" w:before="200"/>
      </w:pPr>
      <w:r>
        <w:rPr>
          <w:rFonts w:ascii="Arial" w:cs="Arial" w:eastAsia="Arial" w:hAnsi="Arial"/>
          <w:b/>
          <w:bCs/>
          <w:color w:val="0A0E12"/>
          <w:sz w:val="24"/>
          <w:szCs w:val="24"/>
        </w:rPr>
        <w:t xml:space="preserve">Q2 — What is the realistic TAM, stripping Vision 2030 hype?</w:t>
      </w:r>
    </w:p>
    <w:p>
      <w:pPr>
        <w:spacing w:after="60" w:before="60"/>
        <w:jc w:val="left"/>
      </w:pPr>
      <w:r>
        <w:rPr>
          <w:rFonts w:ascii="Arial" w:cs="Arial" w:eastAsia="Arial" w:hAnsi="Arial"/>
          <w:b w:val="false"/>
          <w:bCs w:val="false"/>
          <w:i w:val="false"/>
          <w:iCs w:val="false"/>
          <w:color w:val="0A0E12"/>
          <w:sz w:val="22"/>
          <w:szCs w:val="22"/>
        </w:rPr>
        <w:t xml:space="preserve">Bottom-up: ~4,000 active student/ab-initio pilots today + ~12,000 working pilots maintaining currency + ~800 cadets added annually across six accredited academies. At 290 SAR/yr Pro and 150 SAR/cadet/yr Academy, steady-state KSA-only ARR ceiling is approximately 7–9M SAR by Year 5 without White Label. Add 8–12 MENA academies at White Label pricing (150K–300K SAR/yr each) and the serviceable total exceeds 15M SAR ARR. We model conservatively — our deck shows 11.2M SAR ARR at Year 5, below ceiling.</w:t>
      </w:r>
    </w:p>
    <w:p>
      <w:pPr>
        <w:pStyle w:val="Heading2"/>
        <w:spacing w:after="80" w:before="200"/>
      </w:pPr>
      <w:r>
        <w:rPr>
          <w:rFonts w:ascii="Arial" w:cs="Arial" w:eastAsia="Arial" w:hAnsi="Arial"/>
          <w:b/>
          <w:bCs/>
          <w:color w:val="0A0E12"/>
          <w:sz w:val="24"/>
          <w:szCs w:val="24"/>
        </w:rPr>
        <w:t xml:space="preserve">Q3 — What if Vision 2030 aviation targets slip by 5 years?</w:t>
      </w:r>
    </w:p>
    <w:p>
      <w:pPr>
        <w:spacing w:after="60" w:before="60"/>
        <w:jc w:val="left"/>
      </w:pPr>
      <w:r>
        <w:rPr>
          <w:rFonts w:ascii="Arial" w:cs="Arial" w:eastAsia="Arial" w:hAnsi="Arial"/>
          <w:b w:val="false"/>
          <w:bCs w:val="false"/>
          <w:i w:val="false"/>
          <w:iCs w:val="false"/>
          <w:color w:val="0A0E12"/>
          <w:sz w:val="22"/>
          <w:szCs w:val="22"/>
        </w:rPr>
        <w:t xml:space="preserve">Our model does not require 2030 targets to hit. Year-1 revenue is built on students already enrolled at existing academies today. If mega-projects (NEOM, King Salman Airport) delay, the existing 4,000+ active pilots still need annual renewal, proficiency checks, and GACA exam prep — that demand is independent of new airline launches. A 5-year slip compresses the growth curve but does not break unit economics, since marginal cost of serving incremental users is near-zero.</w:t>
      </w:r>
    </w:p>
    <w:p>
      <w:pPr>
        <w:pStyle w:val="Heading2"/>
        <w:spacing w:after="80" w:before="200"/>
      </w:pPr>
      <w:r>
        <w:rPr>
          <w:rFonts w:ascii="Arial" w:cs="Arial" w:eastAsia="Arial" w:hAnsi="Arial"/>
          <w:b/>
          <w:bCs/>
          <w:color w:val="0A0E12"/>
          <w:sz w:val="24"/>
          <w:szCs w:val="24"/>
        </w:rPr>
        <w:t xml:space="preserve">Q4 — Why hasn't a Saudi player built this already?</w:t>
      </w:r>
    </w:p>
    <w:p>
      <w:pPr>
        <w:spacing w:after="60" w:before="60"/>
        <w:jc w:val="left"/>
      </w:pPr>
      <w:r>
        <w:rPr>
          <w:rFonts w:ascii="Arial" w:cs="Arial" w:eastAsia="Arial" w:hAnsi="Arial"/>
          <w:b w:val="false"/>
          <w:bCs w:val="false"/>
          <w:i w:val="false"/>
          <w:iCs w:val="false"/>
          <w:color w:val="0A0E12"/>
          <w:sz w:val="22"/>
          <w:szCs w:val="22"/>
        </w:rPr>
        <w:t xml:space="preserve">Three reasons. First, the data problem: 96 GACA regulatory documents are Arabic-only, inconsistently structured, and collectively exceed 29,000 content chunks — aggregating and chunking them required 6+ months of domain-expert curation. Second, no prior Saudi EdTech founder had the combination of GACA-licensed ATPL + CFII credentials and the software literacy to see the opportunity. Third, the market was too small to attract overseas VC-backed players until Vision 2030 triggered the demand signal. The window is now.</w:t>
      </w:r>
    </w:p>
    <w:p>
      <w:pPr>
        <w:pStyle w:val="Heading2"/>
        <w:spacing w:after="80" w:before="200"/>
      </w:pPr>
      <w:r>
        <w:rPr>
          <w:rFonts w:ascii="Arial" w:cs="Arial" w:eastAsia="Arial" w:hAnsi="Arial"/>
          <w:b/>
          <w:bCs/>
          <w:color w:val="0A0E12"/>
          <w:sz w:val="24"/>
          <w:szCs w:val="24"/>
        </w:rPr>
        <w:t xml:space="preserve">Q5 — Won't Boeing, Airbus, or Saudia build this themselves?</w:t>
      </w:r>
    </w:p>
    <w:p>
      <w:pPr>
        <w:spacing w:after="60" w:before="60"/>
        <w:jc w:val="left"/>
      </w:pPr>
      <w:r>
        <w:rPr>
          <w:rFonts w:ascii="Arial" w:cs="Arial" w:eastAsia="Arial" w:hAnsi="Arial"/>
          <w:b w:val="false"/>
          <w:bCs w:val="false"/>
          <w:i w:val="false"/>
          <w:iCs w:val="false"/>
          <w:color w:val="0A0E12"/>
          <w:sz w:val="22"/>
          <w:szCs w:val="22"/>
        </w:rPr>
        <w:t xml:space="preserve">Large OEMs and airlines build cabin-crew training and type-rating simulators, not GACA exam prep for individual pilots. Saudia Group HR training is focused on cabin crew and operations, not aviation theory exam software. Airbus and Boeing have no incentive to invest in a 15M SAR KSA-specific niche when their engineering resources are directed at MRO tech and supply chain. The window for institutional competition exists in Year 3+, which is precisely why our moat strategy prioritises data lock, academy contracts, and brand — not just product features.</w:t>
      </w:r>
    </w:p>
    <w:p>
      <w:r>
        <w:br w:type="page"/>
      </w:r>
    </w:p>
    <w:p>
      <w:pPr>
        <w:pStyle w:val="Heading1"/>
        <w:spacing w:after="120" w:before="280"/>
      </w:pPr>
      <w:r>
        <w:rPr>
          <w:rFonts w:ascii="Arial" w:cs="Arial" w:eastAsia="Arial" w:hAnsi="Arial"/>
          <w:b/>
          <w:bCs/>
          <w:color w:val="2D6E8A"/>
          <w:sz w:val="28"/>
          <w:szCs w:val="28"/>
        </w:rPr>
        <w:t xml:space="preserve">2. Product &amp; Technology</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Q6 — What if GPT-5 or Claude 4 leapfrog Gemini tomorrow?</w:t>
      </w:r>
    </w:p>
    <w:p>
      <w:pPr>
        <w:spacing w:after="60" w:before="60"/>
        <w:jc w:val="left"/>
      </w:pPr>
      <w:r>
        <w:rPr>
          <w:rFonts w:ascii="Arial" w:cs="Arial" w:eastAsia="Arial" w:hAnsi="Arial"/>
          <w:b w:val="false"/>
          <w:bCs w:val="false"/>
          <w:i w:val="false"/>
          <w:iCs w:val="false"/>
          <w:color w:val="0A0E12"/>
          <w:sz w:val="22"/>
          <w:szCs w:val="22"/>
        </w:rPr>
        <w:t xml:space="preserve">Our RAG architecture is model-agnostic at the retrieval layer. Switching the underlying LLM requires changing three environment variables and re-running evals — a two-day engineering task. We chose Gemini Flash on me-central2 (Dammam) for in-Kingdom data residency and cost ($0.075/1M tokens input), not out of irreversible technical commitment. If a competitor model delivers better accuracy at lower cost while meeting PDPL residency requirements, we switch.</w:t>
      </w:r>
    </w:p>
    <w:p>
      <w:pPr>
        <w:pStyle w:val="Heading2"/>
        <w:spacing w:after="80" w:before="200"/>
      </w:pPr>
      <w:r>
        <w:rPr>
          <w:rFonts w:ascii="Arial" w:cs="Arial" w:eastAsia="Arial" w:hAnsi="Arial"/>
          <w:b/>
          <w:bCs/>
          <w:color w:val="0A0E12"/>
          <w:sz w:val="24"/>
          <w:szCs w:val="24"/>
        </w:rPr>
        <w:t xml:space="preserve">Q7 — How do you measure Captain Adel accuracy and what is your eval methodology?</w:t>
      </w:r>
    </w:p>
    <w:p>
      <w:pPr>
        <w:spacing w:after="60" w:before="60"/>
        <w:jc w:val="left"/>
      </w:pPr>
      <w:r>
        <w:rPr>
          <w:rFonts w:ascii="Arial" w:cs="Arial" w:eastAsia="Arial" w:hAnsi="Arial"/>
          <w:b w:val="false"/>
          <w:bCs w:val="false"/>
          <w:i w:val="false"/>
          <w:iCs w:val="false"/>
          <w:color w:val="0A0E12"/>
          <w:sz w:val="22"/>
          <w:szCs w:val="22"/>
        </w:rPr>
        <w:t xml:space="preserve">We use a 200-question golden set drawn from past GACA exams and cross-referenced against source documents in our library. Each RAG response is scored on three axes: factual accuracy (citation traceable to source chunk), completeness (key regulatory elements present), and hallucination absence (no fabricated regulation numbers). Current pass rate: 5 of 7 categories at threshold (71%). We publish this in the data room. Year-1 target is 6/7. Eval runs monthly as part of CI.</w:t>
      </w:r>
    </w:p>
    <w:p>
      <w:pPr>
        <w:pStyle w:val="Heading2"/>
        <w:spacing w:after="80" w:before="200"/>
      </w:pPr>
      <w:r>
        <w:rPr>
          <w:rFonts w:ascii="Arial" w:cs="Arial" w:eastAsia="Arial" w:hAnsi="Arial"/>
          <w:b/>
          <w:bCs/>
          <w:color w:val="0A0E12"/>
          <w:sz w:val="24"/>
          <w:szCs w:val="24"/>
        </w:rPr>
        <w:t xml:space="preserve">Q8 — What stops ChatGPT from indexing GACA PDFs and building the same product?</w:t>
      </w:r>
    </w:p>
    <w:p>
      <w:pPr>
        <w:spacing w:after="60" w:before="60"/>
        <w:jc w:val="left"/>
      </w:pPr>
      <w:r>
        <w:rPr>
          <w:rFonts w:ascii="Arial" w:cs="Arial" w:eastAsia="Arial" w:hAnsi="Arial"/>
          <w:b w:val="false"/>
          <w:bCs w:val="false"/>
          <w:i w:val="false"/>
          <w:iCs w:val="false"/>
          <w:color w:val="0A0E12"/>
          <w:sz w:val="22"/>
          <w:szCs w:val="22"/>
        </w:rPr>
        <w:t xml:space="preserve">ChatGPT cannot ingest GACA PDFs by default — GACA does not publish them as crawlable web content. Our 96-document library was assembled manually through official GACA channels and direct relationships. Beyond acquisition, ChatGPT lacks: (a) BM25 hybrid retrieval tuned to Arabic aviation terminology, (b) in-Kingdom hosting required by PDPL, and (c) the domain-expert curation that maps regulatory amendments to specific exam question patterns. A competitor could replicate in 12–18 months; we will be 24 months ahead by then.</w:t>
      </w:r>
    </w:p>
    <w:p>
      <w:pPr>
        <w:pStyle w:val="Heading2"/>
        <w:spacing w:after="80" w:before="200"/>
      </w:pPr>
      <w:r>
        <w:rPr>
          <w:rFonts w:ascii="Arial" w:cs="Arial" w:eastAsia="Arial" w:hAnsi="Arial"/>
          <w:b/>
          <w:bCs/>
          <w:color w:val="0A0E12"/>
          <w:sz w:val="24"/>
          <w:szCs w:val="24"/>
        </w:rPr>
        <w:t xml:space="preserve">Q9 — Do you have rights to redistribute the GACA document library?</w:t>
      </w:r>
    </w:p>
    <w:p>
      <w:pPr>
        <w:spacing w:after="60" w:before="60"/>
        <w:jc w:val="left"/>
      </w:pPr>
      <w:r>
        <w:rPr>
          <w:rFonts w:ascii="Arial" w:cs="Arial" w:eastAsia="Arial" w:hAnsi="Arial"/>
          <w:b w:val="false"/>
          <w:bCs w:val="false"/>
          <w:i w:val="false"/>
          <w:iCs w:val="false"/>
          <w:color w:val="0A0E12"/>
          <w:sz w:val="22"/>
          <w:szCs w:val="22"/>
        </w:rPr>
        <w:t xml:space="preserve">GACA regulatory documents are public-domain government publications. Our platform cites them with full attribution and links to source; we do not charge for the documents themselves but for AI-assisted comprehension and exam prep layered on top. We are pursuing a formal non-objection letter from GACA as part of our regulatory engagement roadmap (Q3 2026). No competitor has this letter either — it is a differentiator, not a blocker.</w:t>
      </w:r>
    </w:p>
    <w:p>
      <w:r>
        <w:br w:type="page"/>
      </w:r>
    </w:p>
    <w:p>
      <w:pPr>
        <w:pStyle w:val="Heading1"/>
        <w:spacing w:after="120" w:before="280"/>
      </w:pPr>
      <w:r>
        <w:rPr>
          <w:rFonts w:ascii="Arial" w:cs="Arial" w:eastAsia="Arial" w:hAnsi="Arial"/>
          <w:b/>
          <w:bCs/>
          <w:color w:val="2D6E8A"/>
          <w:sz w:val="28"/>
          <w:szCs w:val="28"/>
        </w:rPr>
        <w:t xml:space="preserve">3. GTM &amp; Sales</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Q10 — How do you avoid 12-month academy procurement cycles?</w:t>
      </w:r>
    </w:p>
    <w:p>
      <w:pPr>
        <w:spacing w:after="60" w:before="60"/>
        <w:jc w:val="left"/>
      </w:pPr>
      <w:r>
        <w:rPr>
          <w:rFonts w:ascii="Arial" w:cs="Arial" w:eastAsia="Arial" w:hAnsi="Arial"/>
          <w:b w:val="false"/>
          <w:bCs w:val="false"/>
          <w:i w:val="false"/>
          <w:iCs w:val="false"/>
          <w:color w:val="0A0E12"/>
          <w:sz w:val="22"/>
          <w:szCs w:val="22"/>
        </w:rPr>
        <w:t xml:space="preserve">We enter academies through department heads and chief flight instructors (CFIs), not procurement committees. The pitch is a 30-day free pilot cohort for 20 students — zero budget approval required. Revenue conversion happens after demonstrated results. Three of our six target academies have already agreed to pilots; budget formalisation follows proof-of-concept, not precedes it. Contract value at 150 SAR/cadet/yr sits below most academy CFO approval thresholds.</w:t>
      </w:r>
    </w:p>
    <w:p>
      <w:pPr>
        <w:pStyle w:val="Heading2"/>
        <w:spacing w:after="80" w:before="200"/>
      </w:pPr>
      <w:r>
        <w:rPr>
          <w:rFonts w:ascii="Arial" w:cs="Arial" w:eastAsia="Arial" w:hAnsi="Arial"/>
          <w:b/>
          <w:bCs/>
          <w:color w:val="0A0E12"/>
          <w:sz w:val="24"/>
          <w:szCs w:val="24"/>
        </w:rPr>
        <w:t xml:space="preserve">Q11 — Is 60 SAR customer acquisition cost realistic in KSA?</w:t>
      </w:r>
    </w:p>
    <w:p>
      <w:pPr>
        <w:spacing w:after="60" w:before="60"/>
        <w:jc w:val="left"/>
      </w:pPr>
      <w:r>
        <w:rPr>
          <w:rFonts w:ascii="Arial" w:cs="Arial" w:eastAsia="Arial" w:hAnsi="Arial"/>
          <w:b w:val="false"/>
          <w:bCs w:val="false"/>
          <w:i w:val="false"/>
          <w:iCs w:val="false"/>
          <w:color w:val="0A0E12"/>
          <w:sz w:val="22"/>
          <w:szCs w:val="22"/>
        </w:rPr>
        <w:t xml:space="preserve">For consumer Pro users, yes. KSA pilot WhatsApp communities (several with 2,000+ members), GACA exam date announcement channels, and YouTube flight-training content have near-zero CPM for highly targeted aviation audiences. Our early organic signups cost effectively zero — we have 312 beta users acquired via a single WhatsApp broadcast. Paid CPL via Instagram aviation hashtags runs ~40–80 SAR. The 60 SAR blended CAC in our model is supported by current data.</w:t>
      </w:r>
    </w:p>
    <w:p>
      <w:pPr>
        <w:pStyle w:val="Heading2"/>
        <w:spacing w:after="80" w:before="200"/>
      </w:pPr>
      <w:r>
        <w:rPr>
          <w:rFonts w:ascii="Arial" w:cs="Arial" w:eastAsia="Arial" w:hAnsi="Arial"/>
          <w:b/>
          <w:bCs/>
          <w:color w:val="0A0E12"/>
          <w:sz w:val="24"/>
          <w:szCs w:val="24"/>
        </w:rPr>
        <w:t xml:space="preserve">Q12 — What freemium conversion data do you have so far?</w:t>
      </w:r>
    </w:p>
    <w:p>
      <w:pPr>
        <w:spacing w:after="60" w:before="60"/>
        <w:jc w:val="left"/>
      </w:pPr>
      <w:r>
        <w:rPr>
          <w:rFonts w:ascii="Arial" w:cs="Arial" w:eastAsia="Arial" w:hAnsi="Arial"/>
          <w:b w:val="false"/>
          <w:bCs w:val="false"/>
          <w:i w:val="false"/>
          <w:iCs w:val="false"/>
          <w:color w:val="0A0E12"/>
          <w:sz w:val="22"/>
          <w:szCs w:val="22"/>
        </w:rPr>
        <w:t xml:space="preserve">Beta cohort of 312 users: 18 converted to paid (5.8% conversion rate), all within 14 days of hitting the free-tier limit of 20 AI queries/day. Average time to first paywall hit: 6.3 days. This is early-stage data on a soft-launched product, but the conversion velocity supports our 6% year-1 assumption. We will have 90-day cohort data by Series A.</w:t>
      </w:r>
    </w:p>
    <w:p>
      <w:pPr>
        <w:pStyle w:val="Heading2"/>
        <w:spacing w:after="80" w:before="200"/>
      </w:pPr>
      <w:r>
        <w:rPr>
          <w:rFonts w:ascii="Arial" w:cs="Arial" w:eastAsia="Arial" w:hAnsi="Arial"/>
          <w:b/>
          <w:bCs/>
          <w:color w:val="0A0E12"/>
          <w:sz w:val="24"/>
          <w:szCs w:val="24"/>
        </w:rPr>
        <w:t xml:space="preserve">Q13 — How do you reach time-poor working pilots?</w:t>
      </w:r>
    </w:p>
    <w:p>
      <w:pPr>
        <w:spacing w:after="60" w:before="60"/>
        <w:jc w:val="left"/>
      </w:pPr>
      <w:r>
        <w:rPr>
          <w:rFonts w:ascii="Arial" w:cs="Arial" w:eastAsia="Arial" w:hAnsi="Arial"/>
          <w:b w:val="false"/>
          <w:bCs w:val="false"/>
          <w:i w:val="false"/>
          <w:iCs w:val="false"/>
          <w:color w:val="0A0E12"/>
          <w:sz w:val="22"/>
          <w:szCs w:val="22"/>
        </w:rPr>
        <w:t xml:space="preserve">Working pilots (ATPL holders in active service) have constrained desktop time but high smartphone use on layovers and between rotations. We deliver via: (a) mobile-first UI with offline exam question packs, (b) push notifications timed to known recurrency windows, (c) partnerships with three Saudi airline training departments for voluntary enrolment, and (d) WhatsApp-native mini sessions (a planned Q4 feature). CAC for this segment is higher (~120 SAR) but LTV is 3x consumer Pro given annual renewal habit.</w:t>
      </w:r>
    </w:p>
    <w:p>
      <w:r>
        <w:br w:type="page"/>
      </w:r>
    </w:p>
    <w:p>
      <w:pPr>
        <w:pStyle w:val="Heading1"/>
        <w:spacing w:after="120" w:before="280"/>
      </w:pPr>
      <w:r>
        <w:rPr>
          <w:rFonts w:ascii="Arial" w:cs="Arial" w:eastAsia="Arial" w:hAnsi="Arial"/>
          <w:b/>
          <w:bCs/>
          <w:color w:val="2D6E8A"/>
          <w:sz w:val="28"/>
          <w:szCs w:val="28"/>
        </w:rPr>
        <w:t xml:space="preserve">4. Competition &amp; Moat</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Q14 — Sheppard Air could localize — how defensible are you?</w:t>
      </w:r>
    </w:p>
    <w:p>
      <w:pPr>
        <w:spacing w:after="60" w:before="60"/>
        <w:jc w:val="left"/>
      </w:pPr>
      <w:r>
        <w:rPr>
          <w:rFonts w:ascii="Arial" w:cs="Arial" w:eastAsia="Arial" w:hAnsi="Arial"/>
          <w:b w:val="false"/>
          <w:bCs w:val="false"/>
          <w:i w:val="false"/>
          <w:iCs w:val="false"/>
          <w:color w:val="0A0E12"/>
          <w:sz w:val="22"/>
          <w:szCs w:val="22"/>
        </w:rPr>
        <w:t xml:space="preserve">Sheppard Air has not localised to any non-English jurisdiction in 30 years of operation. Their business model is question-bank memorisation without AI tutoring or regulatory narrative — a fundamentally different product. Localising to Arabic GACA requires: new content team, Arabic NLP fine-tuning, in-Kingdom data residency infrastructure, and Saudi sales relationships. Their $49 one-time price point cannot fund this. If they tried, we would be the acquiree, not the loser.</w:t>
      </w:r>
    </w:p>
    <w:p>
      <w:pPr>
        <w:pStyle w:val="Heading2"/>
        <w:spacing w:after="80" w:before="200"/>
      </w:pPr>
      <w:r>
        <w:rPr>
          <w:rFonts w:ascii="Arial" w:cs="Arial" w:eastAsia="Arial" w:hAnsi="Arial"/>
          <w:b/>
          <w:bCs/>
          <w:color w:val="0A0E12"/>
          <w:sz w:val="24"/>
          <w:szCs w:val="24"/>
        </w:rPr>
        <w:t xml:space="preserve">Q15 — What stops an academy from building this internally?</w:t>
      </w:r>
    </w:p>
    <w:p>
      <w:pPr>
        <w:spacing w:after="60" w:before="60"/>
        <w:jc w:val="left"/>
      </w:pPr>
      <w:r>
        <w:rPr>
          <w:rFonts w:ascii="Arial" w:cs="Arial" w:eastAsia="Arial" w:hAnsi="Arial"/>
          <w:b w:val="false"/>
          <w:bCs w:val="false"/>
          <w:i w:val="false"/>
          <w:iCs w:val="false"/>
          <w:color w:val="0A0E12"/>
          <w:sz w:val="22"/>
          <w:szCs w:val="22"/>
        </w:rPr>
        <w:t xml:space="preserve">Cost and capability. A senior ML engineer in KSA costs 25,000–40,000 SAR/month; add product, design, and DevOps and an internal build runs 1.5–2M SAR/yr with no guarantee of quality. Academies are flight operations businesses, not software companies. We have seen one academy attempt an internal LMS; it stalled after 8 months. We offer white-label pricing at 150K–300K SAR/yr — cheaper than one hire, with a working product on day one.</w:t>
      </w:r>
    </w:p>
    <w:p>
      <w:pPr>
        <w:pStyle w:val="Heading2"/>
        <w:spacing w:after="80" w:before="200"/>
      </w:pPr>
      <w:r>
        <w:rPr>
          <w:rFonts w:ascii="Arial" w:cs="Arial" w:eastAsia="Arial" w:hAnsi="Arial"/>
          <w:b/>
          <w:bCs/>
          <w:color w:val="0A0E12"/>
          <w:sz w:val="24"/>
          <w:szCs w:val="24"/>
        </w:rPr>
        <w:t xml:space="preserve">Q16 — What is the moat in 5 years?</w:t>
      </w:r>
    </w:p>
    <w:p>
      <w:pPr>
        <w:spacing w:after="60" w:before="60"/>
        <w:jc w:val="left"/>
      </w:pPr>
      <w:r>
        <w:rPr>
          <w:rFonts w:ascii="Arial" w:cs="Arial" w:eastAsia="Arial" w:hAnsi="Arial"/>
          <w:b w:val="false"/>
          <w:bCs w:val="false"/>
          <w:i w:val="false"/>
          <w:iCs w:val="false"/>
          <w:color w:val="0A0E12"/>
          <w:sz w:val="22"/>
          <w:szCs w:val="22"/>
        </w:rPr>
        <w:t xml:space="preserve">Four compounding layers: (1) Data — 29,749 RAG chunks growing with every new GACA amendment, our proprietary annotations unavailable anywhere else. (2) Brand — “Captain Adel” as the trusted name in Saudi aviation exam prep, like Sporty’s is in the US. (3) Switching cost — academy cohort dashboards, progress tracking, and instructor workflows create institutional stickiness. (4) Regulatory relationships — GACA non-objection letter and potential official endorsement, which a newcomer must spend 18+ months earning.</w:t>
      </w:r>
    </w:p>
    <w:p>
      <w:r>
        <w:br w:type="page"/>
      </w:r>
    </w:p>
    <w:p>
      <w:pPr>
        <w:pStyle w:val="Heading1"/>
        <w:spacing w:after="120" w:before="280"/>
      </w:pPr>
      <w:r>
        <w:rPr>
          <w:rFonts w:ascii="Arial" w:cs="Arial" w:eastAsia="Arial" w:hAnsi="Arial"/>
          <w:b/>
          <w:bCs/>
          <w:color w:val="2D6E8A"/>
          <w:sz w:val="28"/>
          <w:szCs w:val="28"/>
        </w:rPr>
        <w:t xml:space="preserve">5. Financial</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Q17 — What is the single biggest risk in your 5-year financial ramp?</w:t>
      </w:r>
    </w:p>
    <w:p>
      <w:pPr>
        <w:spacing w:after="60" w:before="60"/>
        <w:jc w:val="left"/>
      </w:pPr>
      <w:r>
        <w:rPr>
          <w:rFonts w:ascii="Arial" w:cs="Arial" w:eastAsia="Arial" w:hAnsi="Arial"/>
          <w:b w:val="false"/>
          <w:bCs w:val="false"/>
          <w:i w:val="false"/>
          <w:iCs w:val="false"/>
          <w:color w:val="0A0E12"/>
          <w:sz w:val="22"/>
          <w:szCs w:val="22"/>
        </w:rPr>
        <w:t xml:space="preserve">Academy contract slippage. If our top-6 academy targets each slip one quarter, Year-2 ARR drops ~35%. This is why the bridge is sized for 18 months with explicit milestone gates at Month 6 (first paid academy contract) and Month 12 (three paid academies). Consumer Pro revenue provides a floor; academy revenue provides the ramp. We model three scenarios — base, bear (2-quarter slip), and bull — all shared in the data room.</w:t>
      </w:r>
    </w:p>
    <w:p>
      <w:pPr>
        <w:pStyle w:val="Heading2"/>
        <w:spacing w:after="80" w:before="200"/>
      </w:pPr>
      <w:r>
        <w:rPr>
          <w:rFonts w:ascii="Arial" w:cs="Arial" w:eastAsia="Arial" w:hAnsi="Arial"/>
          <w:b/>
          <w:bCs/>
          <w:color w:val="0A0E12"/>
          <w:sz w:val="24"/>
          <w:szCs w:val="24"/>
        </w:rPr>
        <w:t xml:space="preserve">Q18 — What if Gemini API costs do not decline as projected?</w:t>
      </w:r>
    </w:p>
    <w:p>
      <w:pPr>
        <w:spacing w:after="60" w:before="60"/>
        <w:jc w:val="left"/>
      </w:pPr>
      <w:r>
        <w:rPr>
          <w:rFonts w:ascii="Arial" w:cs="Arial" w:eastAsia="Arial" w:hAnsi="Arial"/>
          <w:b w:val="false"/>
          <w:bCs w:val="false"/>
          <w:i w:val="false"/>
          <w:iCs w:val="false"/>
          <w:color w:val="0A0E12"/>
          <w:sz w:val="22"/>
          <w:szCs w:val="22"/>
        </w:rPr>
        <w:t xml:space="preserve">Our unit economics are profitable at current Gemini Flash pricing ($0.075/1M input tokens). We modelled Year-3 assuming 40% cost decline — if that does not materialise, gross margin drops from 78% to 72%, EBITDA breakeven shifts 2 quarters, and we still reach profitability in Year 3. We have a fallback: our BM25 retrieval layer reduces LLM calls by ~60% via deterministic answer-matching for common exam questions. API cost is a variable we actively manage, not a binary bet.</w:t>
      </w:r>
    </w:p>
    <w:p>
      <w:pPr>
        <w:pStyle w:val="Heading2"/>
        <w:spacing w:after="80" w:before="200"/>
      </w:pPr>
      <w:r>
        <w:rPr>
          <w:rFonts w:ascii="Arial" w:cs="Arial" w:eastAsia="Arial" w:hAnsi="Arial"/>
          <w:b/>
          <w:bCs/>
          <w:color w:val="0A0E12"/>
          <w:sz w:val="24"/>
          <w:szCs w:val="24"/>
        </w:rPr>
        <w:t xml:space="preserve">Q19 — Year 3 EBITDA crossover looks aggressive — what pushes it to Year 4?</w:t>
      </w:r>
    </w:p>
    <w:p>
      <w:pPr>
        <w:spacing w:after="60" w:before="60"/>
        <w:jc w:val="left"/>
      </w:pPr>
      <w:r>
        <w:rPr>
          <w:rFonts w:ascii="Arial" w:cs="Arial" w:eastAsia="Arial" w:hAnsi="Arial"/>
          <w:b w:val="false"/>
          <w:bCs w:val="false"/>
          <w:i w:val="false"/>
          <w:iCs w:val="false"/>
          <w:color w:val="0A0E12"/>
          <w:sz w:val="22"/>
          <w:szCs w:val="22"/>
        </w:rPr>
        <w:t xml:space="preserve">Three scenarios push EBITDA to Year 4: (a) academy sales cycle extends beyond 9 months, (b) we hire a second engineer before Month 12 to accelerate mobile features (adds 480K SAR/yr in burn), or (c) Gemini API costs increase rather than decline. Our bear case models all three simultaneously and still shows Year-4 EBITDA breakeven. We have chosen to show the base case in the deck — the bear case is in the data room and we welcome scrutiny.</w:t>
      </w:r>
    </w:p>
    <w:p>
      <w:pPr>
        <w:pStyle w:val="Heading2"/>
        <w:spacing w:after="80" w:before="200"/>
      </w:pPr>
      <w:r>
        <w:rPr>
          <w:rFonts w:ascii="Arial" w:cs="Arial" w:eastAsia="Arial" w:hAnsi="Arial"/>
          <w:b/>
          <w:bCs/>
          <w:color w:val="0A0E12"/>
          <w:sz w:val="24"/>
          <w:szCs w:val="24"/>
        </w:rPr>
        <w:t xml:space="preserve">Q20 — What are your Series A targets and required milestones?</w:t>
      </w:r>
    </w:p>
    <w:p>
      <w:pPr>
        <w:spacing w:after="60" w:before="60"/>
        <w:jc w:val="left"/>
      </w:pPr>
      <w:r>
        <w:rPr>
          <w:rFonts w:ascii="Arial" w:cs="Arial" w:eastAsia="Arial" w:hAnsi="Arial"/>
          <w:b w:val="false"/>
          <w:bCs w:val="false"/>
          <w:i w:val="false"/>
          <w:iCs w:val="false"/>
          <w:color w:val="0A0E12"/>
          <w:sz w:val="22"/>
          <w:szCs w:val="22"/>
        </w:rPr>
        <w:t xml:space="preserve">Series A target: 12–18M SAR at 80–100M SAR post-money, 18 months from bridge close. Required milestones: 3+ signed academy contracts, 1,000+ paying Pro users, MRR ≥ 60,000 SAR, 90-day churn &lt; 5%, and at least one white-label letter of intent. These are operational targets, not financial engineering. A Series A investor buying at those milestones gets a proven go-to-market, not a promise.</w:t>
      </w:r>
    </w:p>
    <w:p>
      <w:r>
        <w:br w:type="page"/>
      </w:r>
    </w:p>
    <w:p>
      <w:pPr>
        <w:pStyle w:val="Heading1"/>
        <w:spacing w:after="120" w:before="280"/>
      </w:pPr>
      <w:r>
        <w:rPr>
          <w:rFonts w:ascii="Arial" w:cs="Arial" w:eastAsia="Arial" w:hAnsi="Arial"/>
          <w:b/>
          <w:bCs/>
          <w:color w:val="2D6E8A"/>
          <w:sz w:val="28"/>
          <w:szCs w:val="28"/>
        </w:rPr>
        <w:t xml:space="preserve">6. Team</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Q21 — Solo founder — what is the hiring plan?</w:t>
      </w:r>
    </w:p>
    <w:p>
      <w:pPr>
        <w:spacing w:after="60" w:before="60"/>
        <w:jc w:val="left"/>
      </w:pPr>
      <w:r>
        <w:rPr>
          <w:rFonts w:ascii="Arial" w:cs="Arial" w:eastAsia="Arial" w:hAnsi="Arial"/>
          <w:b w:val="false"/>
          <w:bCs w:val="false"/>
          <w:i w:val="false"/>
          <w:iCs w:val="false"/>
          <w:color w:val="0A0E12"/>
          <w:sz w:val="22"/>
          <w:szCs w:val="22"/>
        </w:rPr>
        <w:t xml:space="preserve">Three hires in 18 months, in order: (1) Month 3–4: Full-stack engineer (React Native + Firebase) at 18,000–22,000 SAR/month — to accelerate mobile and academy dashboard. (2) Month 8–10: Head of Academy Sales (commission-heavy, 12,000 SAR base + 3% of TCV) — to own the B2B pipeline while founder focuses on product. (3) Month 14–16: Arabic content lead / curriculum editor (10,000–14,000 SAR/month) — to maintain RAG quality as GACA amendments accelerate. ESOP pool is 15% of fully-diluted; first two hires receive 1–2% each.</w:t>
      </w:r>
    </w:p>
    <w:p>
      <w:pPr>
        <w:pStyle w:val="Heading2"/>
        <w:spacing w:after="80" w:before="200"/>
      </w:pPr>
      <w:r>
        <w:rPr>
          <w:rFonts w:ascii="Arial" w:cs="Arial" w:eastAsia="Arial" w:hAnsi="Arial"/>
          <w:b/>
          <w:bCs/>
          <w:color w:val="0A0E12"/>
          <w:sz w:val="24"/>
          <w:szCs w:val="24"/>
        </w:rPr>
        <w:t xml:space="preserve">Q22 — Founder is a pilot, not an ML engineer — how do you cover the technical gap?</w:t>
      </w:r>
    </w:p>
    <w:p>
      <w:pPr>
        <w:spacing w:after="60" w:before="60"/>
        <w:jc w:val="left"/>
      </w:pPr>
      <w:r>
        <w:rPr>
          <w:rFonts w:ascii="Arial" w:cs="Arial" w:eastAsia="Arial" w:hAnsi="Arial"/>
          <w:b w:val="false"/>
          <w:bCs w:val="false"/>
          <w:i w:val="false"/>
          <w:iCs w:val="false"/>
          <w:color w:val="0A0E12"/>
          <w:sz w:val="22"/>
          <w:szCs w:val="22"/>
        </w:rPr>
        <w:t xml:space="preserve">Captain Adel holds an ATPL/CFII and has built the current product personally (Firebase, Gemini API, BM25 RAG, Flutter) — the ‘pilot not ML’ framing undersells the technical capability. The genuine gap is ML ops and model fine-tuning at scale; this is covered by (a) Gemini’s managed inference — no model training required, (b) a technical advisor (KAUST ML PhD, unpaid equity) who reviews eval methodology quarterly, and (c) the first engineering hire who owns infrastructure. We are not an AI lab; we are a domain-expert-led product company.</w:t>
      </w:r>
    </w:p>
    <w:p>
      <w:pPr>
        <w:pStyle w:val="Heading2"/>
        <w:spacing w:after="80" w:before="200"/>
      </w:pPr>
      <w:r>
        <w:rPr>
          <w:rFonts w:ascii="Arial" w:cs="Arial" w:eastAsia="Arial" w:hAnsi="Arial"/>
          <w:b/>
          <w:bCs/>
          <w:color w:val="0A0E12"/>
          <w:sz w:val="24"/>
          <w:szCs w:val="24"/>
        </w:rPr>
        <w:t xml:space="preserve">Q23 — Top 3 hires in 18 months and comp structure?</w:t>
      </w:r>
    </w:p>
    <w:p>
      <w:pPr>
        <w:spacing w:after="60" w:before="60"/>
        <w:jc w:val="left"/>
      </w:pPr>
      <w:r>
        <w:rPr>
          <w:rFonts w:ascii="Arial" w:cs="Arial" w:eastAsia="Arial" w:hAnsi="Arial"/>
          <w:b w:val="false"/>
          <w:bCs w:val="false"/>
          <w:i w:val="false"/>
          <w:iCs w:val="false"/>
          <w:color w:val="0A0E12"/>
          <w:sz w:val="22"/>
          <w:szCs w:val="22"/>
        </w:rPr>
        <w:t xml:space="preserve">1. Full-stack Engineer: 18,000–22,000 SAR/month + 1.5% ESOP vesting over 4 years (1-year cliff). Reporting to founder. Owns mobile app, academy dashboard, and API reliability. 2. Head of Academy Sales: 12,000 SAR base + 3% TCV commission + 0.75% ESOP. Owns six priority academies plus MENA pipeline. 3. Arabic Content &amp; Curriculum Lead: 10,000–14,000 SAR/month + 0.5% ESOP. Owns document QA, RAG chunk quality, and GACA amendment tracking. Total 18-month payroll budget: 1.1–1.4M SAR, well within 3M SAR bridge allocation.</w:t>
      </w:r>
    </w:p>
    <w:p>
      <w:r>
        <w:br w:type="page"/>
      </w:r>
    </w:p>
    <w:p>
      <w:pPr>
        <w:pStyle w:val="Heading1"/>
        <w:spacing w:after="120" w:before="280"/>
      </w:pPr>
      <w:r>
        <w:rPr>
          <w:rFonts w:ascii="Arial" w:cs="Arial" w:eastAsia="Arial" w:hAnsi="Arial"/>
          <w:b/>
          <w:bCs/>
          <w:color w:val="2D6E8A"/>
          <w:sz w:val="28"/>
          <w:szCs w:val="28"/>
        </w:rPr>
        <w:t xml:space="preserve">7. Regulatory &amp; Legal</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Q24 — Worst case if GACA formally objects to the platform?</w:t>
      </w:r>
    </w:p>
    <w:p>
      <w:pPr>
        <w:spacing w:after="60" w:before="60"/>
        <w:jc w:val="left"/>
      </w:pPr>
      <w:r>
        <w:rPr>
          <w:rFonts w:ascii="Arial" w:cs="Arial" w:eastAsia="Arial" w:hAnsi="Arial"/>
          <w:b w:val="false"/>
          <w:bCs w:val="false"/>
          <w:i w:val="false"/>
          <w:iCs w:val="false"/>
          <w:color w:val="0A0E12"/>
          <w:sz w:val="22"/>
          <w:szCs w:val="22"/>
        </w:rPr>
        <w:t xml:space="preserve">GACA’s regulatory mandate is licensing and safety, not EdTech content restriction. An objection would most likely relate to: (a) misrepresentation of regulatory content — mitigated by verbatim citation and source links, or (b) unauthorized use of GACA branding — we use no GACA logo or trademark. In the extreme scenario, we remove the GACA document library and pivot to an AI tutor over flight school proprietary syllabi — a smaller but still viable market. We are proactively seeking a non-objection letter to close this risk before Series A.</w:t>
      </w:r>
    </w:p>
    <w:p>
      <w:pPr>
        <w:pStyle w:val="Heading2"/>
        <w:spacing w:after="80" w:before="200"/>
      </w:pPr>
      <w:r>
        <w:rPr>
          <w:rFonts w:ascii="Arial" w:cs="Arial" w:eastAsia="Arial" w:hAnsi="Arial"/>
          <w:b/>
          <w:bCs/>
          <w:color w:val="0A0E12"/>
          <w:sz w:val="24"/>
          <w:szCs w:val="24"/>
        </w:rPr>
        <w:t xml:space="preserve">Q25 — Tell us the PDPL and in-Kingdom data residency story.</w:t>
      </w:r>
    </w:p>
    <w:p>
      <w:pPr>
        <w:spacing w:after="60" w:before="60"/>
        <w:jc w:val="left"/>
      </w:pPr>
      <w:r>
        <w:rPr>
          <w:rFonts w:ascii="Arial" w:cs="Arial" w:eastAsia="Arial" w:hAnsi="Arial"/>
          <w:b w:val="false"/>
          <w:bCs w:val="false"/>
          <w:i w:val="false"/>
          <w:iCs w:val="false"/>
          <w:color w:val="0A0E12"/>
          <w:sz w:val="22"/>
          <w:szCs w:val="22"/>
        </w:rPr>
        <w:t xml:space="preserve">All user data is stored in Firebase Firestore on Google Cloud me-central2 (Dammam, KSA). Gemini inference also runs on me-central2. No user PII transits outside KSA except for Moyasar payment processing (PCI-DSS certified, KSA-registered). We have a documented PDPL compliance program, a data inventory, and a 72-hour breach notification SOP aligned to SDAIA’s requirements. PDPL is an asset, not a burden — it is the reason overseas competitors cannot easily enter our market.</w:t>
      </w:r>
    </w:p>
    <w:p>
      <w:pPr>
        <w:pStyle w:val="Heading2"/>
        <w:spacing w:after="80" w:before="200"/>
      </w:pPr>
      <w:r>
        <w:rPr>
          <w:rFonts w:ascii="Arial" w:cs="Arial" w:eastAsia="Arial" w:hAnsi="Arial"/>
          <w:b/>
          <w:bCs/>
          <w:color w:val="0A0E12"/>
          <w:sz w:val="24"/>
          <w:szCs w:val="24"/>
        </w:rPr>
        <w:t xml:space="preserve">Q26 — Commercial Registration — what is its status?</w:t>
      </w:r>
    </w:p>
    <w:p>
      <w:pPr>
        <w:spacing w:after="60" w:before="60"/>
        <w:jc w:val="left"/>
      </w:pPr>
      <w:r>
        <w:rPr>
          <w:rFonts w:ascii="Arial" w:cs="Arial" w:eastAsia="Arial" w:hAnsi="Arial"/>
          <w:b w:val="false"/>
          <w:bCs w:val="false"/>
          <w:i w:val="false"/>
          <w:iCs w:val="false"/>
          <w:color w:val="0A0E12"/>
          <w:sz w:val="22"/>
          <w:szCs w:val="22"/>
        </w:rPr>
        <w:t xml:space="preserve">Issued and active (corrected 2026-07-27): BDA Company International (شركة بدع الدولية), a Saudi limited liability company, unified national number 7030976893, issued 23/09/2022. The company is VAT-registered (311415259500003, effective 2025-11-01) and holds a business bank account. There is no CR-pendency risk.</w:t>
      </w:r>
    </w:p>
    <w:p>
      <w:r>
        <w:br w:type="page"/>
      </w:r>
    </w:p>
    <w:p>
      <w:pPr>
        <w:pStyle w:val="Heading1"/>
        <w:spacing w:after="120" w:before="280"/>
      </w:pPr>
      <w:r>
        <w:rPr>
          <w:rFonts w:ascii="Arial" w:cs="Arial" w:eastAsia="Arial" w:hAnsi="Arial"/>
          <w:b/>
          <w:bCs/>
          <w:color w:val="2D6E8A"/>
          <w:sz w:val="28"/>
          <w:szCs w:val="28"/>
        </w:rPr>
        <w:t xml:space="preserve">8. The Hardest Questions</w:t>
      </w:r>
    </w:p>
    <w:p>
      <w:pPr>
        <w:pBdr>
          <w:bottom w:val="single" w:color="2D6E8A" w:sz="3" w:space="1"/>
        </w:pBdr>
        <w:spacing w:after="80" w:before="0"/>
      </w:pPr>
      <w:r>
        <w:t xml:space="preserve"/>
      </w:r>
    </w:p>
    <w:p>
      <w:pPr>
        <w:pStyle w:val="Heading2"/>
        <w:spacing w:after="80" w:before="200"/>
      </w:pPr>
      <w:r>
        <w:rPr>
          <w:rFonts w:ascii="Arial" w:cs="Arial" w:eastAsia="Arial" w:hAnsi="Arial"/>
          <w:b/>
          <w:bCs/>
          <w:color w:val="0A0E12"/>
          <w:sz w:val="24"/>
          <w:szCs w:val="24"/>
        </w:rPr>
        <w:t xml:space="preserve">Q27 — Why bet on you specifically?</w:t>
      </w:r>
    </w:p>
    <w:p>
      <w:pPr>
        <w:spacing w:after="60" w:before="60"/>
        <w:jc w:val="left"/>
      </w:pPr>
      <w:r>
        <w:rPr>
          <w:rFonts w:ascii="Arial" w:cs="Arial" w:eastAsia="Arial" w:hAnsi="Arial"/>
          <w:b w:val="false"/>
          <w:bCs w:val="false"/>
          <w:i w:val="false"/>
          <w:iCs w:val="false"/>
          <w:color w:val="0A0E12"/>
          <w:sz w:val="22"/>
          <w:szCs w:val="22"/>
        </w:rPr>
        <w:t xml:space="preserve">Because the person who built the GACA exam content library from scratch is the person most qualified to build the AI layer on top of it. Domain expertise + technical execution + local network is a combination that cannot be hired or replicated quickly. I have flown with and trained pilots at Oxford Saudia, Saudia Aviation Academy, and PSAA — these are relationships, not cold contacts. I am the only person in KSA who has combined GACA ATPL credentials with a working AI tutoring product. That specificity is the bet.</w:t>
      </w:r>
    </w:p>
    <w:p>
      <w:pPr>
        <w:pStyle w:val="Heading2"/>
        <w:spacing w:after="80" w:before="200"/>
      </w:pPr>
      <w:r>
        <w:rPr>
          <w:rFonts w:ascii="Arial" w:cs="Arial" w:eastAsia="Arial" w:hAnsi="Arial"/>
          <w:b/>
          <w:bCs/>
          <w:color w:val="0A0E12"/>
          <w:sz w:val="24"/>
          <w:szCs w:val="24"/>
        </w:rPr>
        <w:t xml:space="preserve">Q28 — What is the one thing you are scared of that is not in the deck?</w:t>
      </w:r>
    </w:p>
    <w:p>
      <w:pPr>
        <w:spacing w:after="60" w:before="60"/>
        <w:jc w:val="left"/>
      </w:pPr>
      <w:r>
        <w:rPr>
          <w:rFonts w:ascii="Arial" w:cs="Arial" w:eastAsia="Arial" w:hAnsi="Arial"/>
          <w:b w:val="false"/>
          <w:bCs w:val="false"/>
          <w:i w:val="false"/>
          <w:iCs w:val="false"/>
          <w:color w:val="0A0E12"/>
          <w:sz w:val="22"/>
          <w:szCs w:val="22"/>
        </w:rPr>
        <w:t xml:space="preserve">Talent. Finding a senior Arabic-fluent full-stack engineer in Riyadh who can ship production-quality Flutter + Firebase at 20,000 SAR/month and who wants to join a pre-Series A startup is genuinely hard. The Saudization pressure (Nitaqat) adds complexity. If the first engineering hire takes 6 months instead of 3, the mobile roadmap slips one quarter and academy demos are under-featured. This is the execution risk I think about most. Mitigation: I have two candidates in late-stage conversations today.</w:t>
      </w:r>
    </w:p>
    <w:p>
      <w:pPr>
        <w:pStyle w:val="Heading2"/>
        <w:spacing w:after="80" w:before="200"/>
      </w:pPr>
      <w:r>
        <w:rPr>
          <w:rFonts w:ascii="Arial" w:cs="Arial" w:eastAsia="Arial" w:hAnsi="Arial"/>
          <w:b/>
          <w:bCs/>
          <w:color w:val="0A0E12"/>
          <w:sz w:val="24"/>
          <w:szCs w:val="24"/>
        </w:rPr>
        <w:t xml:space="preserve">Q29 — If this fails, what kills it?</w:t>
      </w:r>
    </w:p>
    <w:p>
      <w:pPr>
        <w:spacing w:after="60" w:before="60"/>
        <w:jc w:val="left"/>
      </w:pPr>
      <w:r>
        <w:rPr>
          <w:rFonts w:ascii="Arial" w:cs="Arial" w:eastAsia="Arial" w:hAnsi="Arial"/>
          <w:b w:val="false"/>
          <w:bCs w:val="false"/>
          <w:i w:val="false"/>
          <w:iCs w:val="false"/>
          <w:color w:val="0A0E12"/>
          <w:sz w:val="22"/>
          <w:szCs w:val="22"/>
        </w:rPr>
        <w:t xml:space="preserve">In order of probability: (1) B2B sales velocity — academies move slower than modelled and we run out of runway before reaching 3 signed contracts. Mitigation: consumer Pro revenue extends runway. (2) GACA regulatory friction — unexpected objection to AI tutoring content. Mitigation: non-objection letter in progress. (3) Founder burnout — solo founder, limited support structure. Mitigation: first hire is engineer, freeing founder from shipping burden. None of these is binary; all are manageable with the right capital and mentorship from investors.</w:t>
      </w:r>
    </w:p>
    <w:p>
      <w:pPr>
        <w:pStyle w:val="Heading2"/>
        <w:spacing w:after="80" w:before="200"/>
      </w:pPr>
      <w:r>
        <w:rPr>
          <w:rFonts w:ascii="Arial" w:cs="Arial" w:eastAsia="Arial" w:hAnsi="Arial"/>
          <w:b/>
          <w:bCs/>
          <w:color w:val="0A0E12"/>
          <w:sz w:val="24"/>
          <w:szCs w:val="24"/>
        </w:rPr>
        <w:t xml:space="preserve">Q30 — If you gave me 10M SAR instead of 3M, what changes?</w:t>
      </w:r>
    </w:p>
    <w:p>
      <w:pPr>
        <w:spacing w:after="60" w:before="60"/>
        <w:jc w:val="left"/>
      </w:pPr>
      <w:r>
        <w:rPr>
          <w:rFonts w:ascii="Arial" w:cs="Arial" w:eastAsia="Arial" w:hAnsi="Arial"/>
          <w:b w:val="false"/>
          <w:bCs w:val="false"/>
          <w:i w:val="false"/>
          <w:iCs w:val="false"/>
          <w:color w:val="0A0E12"/>
          <w:sz w:val="22"/>
          <w:szCs w:val="22"/>
        </w:rPr>
        <w:t xml:space="preserve">Speed, not strategy. 10M SAR funds: (a) 3 engineers instead of 1 — mobile app launches 6 months earlier, (b) a proper Arabic content team of 3 vs 1 part-time lead — RAG quality reaches 7/7 eval pass in Year 1 vs Year 2, (c) paid marketing budget of 1.5M SAR — reaches 5,000 Pro users in Year 1 vs Year 2, (d) MENA expansion in Year 2 instead of Year 3. The unit economics do not change; we have already proven the model works at small scale. Extra capital compresses the timeline. We are raising 3M SAR because that is what the milestones require — not because we cannot deploy more.</w:t>
      </w:r>
    </w:p>
    <w:p>
      <w:r>
        <w:t xml:space="preserve"/>
      </w:r>
    </w:p>
    <w:p>
      <w:pPr>
        <w:pBdr>
          <w:bottom w:val="single" w:color="C8A04A" w:sz="6" w:space="1"/>
        </w:pBdr>
        <w:spacing w:after="120" w:before="0"/>
      </w:pPr>
      <w:r>
        <w:t xml:space="preserve"/>
      </w:r>
    </w:p>
    <w:p>
      <w:pPr>
        <w:spacing w:after="60" w:before="60"/>
        <w:jc w:val="left"/>
      </w:pPr>
      <w:r>
        <w:rPr>
          <w:rFonts w:ascii="Arial" w:cs="Arial" w:eastAsia="Arial" w:hAnsi="Arial"/>
          <w:b w:val="false"/>
          <w:bCs w:val="false"/>
          <w:i/>
          <w:iCs/>
          <w:color w:val="0A0E12"/>
          <w:sz w:val="22"/>
          <w:szCs w:val="22"/>
        </w:rPr>
        <w:t xml:space="preserve">For the data room, financial model, or investor references, contact: i@flygaca.com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A" w:sz="2" w:space="4"/>
      </w:pBdr>
      <w:spacing w:before="60"/>
      <w:jc w:val="center"/>
    </w:pPr>
    <w:r>
      <w:rPr>
        <w:rFonts w:ascii="Arial" w:cs="Arial" w:eastAsia="Arial" w:hAnsi="Arial"/>
        <w:color w:val="777777"/>
        <w:sz w:val="16"/>
        <w:szCs w:val="16"/>
      </w:rPr>
      <w:t xml:space="preserve">Fly GACA  |  Investor FAQ  |  v1.0  |  May 2026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2026-05-05T03:04:53.308Z</dcterms:created>
  <dcterms:modified xsi:type="dcterms:W3CDTF">2026-05-05T03:04:53.308Z</dcterms:modified>
</cp:coreProperties>
</file>

<file path=docProps/custom.xml><?xml version="1.0" encoding="utf-8"?>
<Properties xmlns="http://schemas.openxmlformats.org/officeDocument/2006/custom-properties" xmlns:vt="http://schemas.openxmlformats.org/officeDocument/2006/docPropsVTypes"/>
</file>