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2D6E8A" w:val="solid"/>
        <w:spacing w:after="60" w:before="0"/>
        <w:ind w:left="360"/>
      </w:pPr>
      <w:r>
        <w:rPr>
          <w:rFonts w:ascii="Arial" w:cs="Arial" w:eastAsia="Arial" w:hAnsi="Arial"/>
          <w:b/>
          <w:bCs/>
          <w:color w:val="FFFFFF"/>
          <w:sz w:val="28"/>
          <w:szCs w:val="28"/>
        </w:rPr>
        <w:t xml:space="preserve">Fly GACA  ·  Strategic &amp; Governance</w:t>
      </w:r>
    </w:p>
    <w:p>
      <w:pPr>
        <w:spacing w:after="100" w:before="300"/>
      </w:pPr>
      <w:r>
        <w:rPr>
          <w:rFonts w:ascii="Arial" w:cs="Arial" w:eastAsia="Arial" w:hAnsi="Arial"/>
          <w:b/>
          <w:bCs/>
          <w:color w:val="2D6E8A"/>
          <w:sz w:val="52"/>
          <w:szCs w:val="52"/>
        </w:rPr>
        <w:t xml:space="preserve">Annual Strategic Plan &amp; OKRs</w:t>
      </w:r>
    </w:p>
    <w:p>
      <w:pPr>
        <w:spacing w:after="60" w:before="0"/>
      </w:pPr>
      <w:r>
        <w:rPr>
          <w:rFonts w:ascii="Arial" w:cs="Arial" w:eastAsia="Arial" w:hAnsi="Arial"/>
          <w:i/>
          <w:iCs/>
          <w:color w:val="C8A04A"/>
          <w:sz w:val="22"/>
          <w:szCs w:val="22"/>
        </w:rPr>
        <w:t xml:space="preserve">FY2026–2027  ·  Fly GACA  ·  Strategic &amp; Governance  ·  v1.0  ·  May 2026</w:t>
      </w:r>
    </w:p>
    <w:p>
      <w:pPr>
        <w:spacing w:after="400" w:before="0"/>
      </w:pPr>
      <w:r>
        <w:rPr>
          <w:rFonts w:ascii="Arial" w:cs="Arial" w:eastAsia="Arial" w:hAnsi="Arial"/>
          <w:color w:val="0A0E12"/>
          <w:sz w:val="18"/>
          <w:szCs w:val="18"/>
        </w:rPr>
        <w:t xml:space="preserve">Confidential — Not for Distribution</w:t>
      </w:r>
    </w:p>
    <w:p>
      <w:pPr>
        <w:spacing w:after="60" w:before="0"/>
      </w:pPr>
      <w:r>
        <w:rPr>
          <w:rFonts w:ascii="Arial" w:cs="Arial" w:eastAsia="Arial" w:hAnsi="Arial"/>
          <w:b/>
          <w:bCs/>
          <w:color w:val="0A0E12"/>
          <w:sz w:val="20"/>
          <w:szCs w:val="20"/>
        </w:rPr>
        <w:t xml:space="preserve">Captain Adel Yahya A. Madkhali  ·  Founder &amp; GACA-Licensed Pilot</w:t>
      </w:r>
    </w:p>
    <w:p>
      <w:pPr>
        <w:spacing w:after="600" w:before="0"/>
      </w:pPr>
      <w:r>
        <w:rPr>
          <w:rFonts w:ascii="Arial" w:cs="Arial" w:eastAsia="Arial" w:hAnsi="Arial"/>
          <w:color w:val="0A0E12"/>
          <w:sz w:val="20"/>
          <w:szCs w:val="20"/>
        </w:rPr>
        <w:t xml:space="preserve">+966 51 096 6969  ·  i@flygaca.com  ·  flygaca.com</w:t>
      </w:r>
    </w:p>
    <w:p>
      <w:pPr>
        <w:pBdr>
          <w:left w:val="thick" w:color="2D6E8A" w:sz="12"/>
        </w:pBdr>
        <w:shd w:color="B5DDC2" w:val="solid"/>
        <w:spacing w:after="180" w:before="120"/>
        <w:ind w:left="200" w:right="200"/>
      </w:pPr>
      <w:r>
        <w:rPr>
          <w:rFonts w:ascii="Arial" w:cs="Arial" w:eastAsia="Arial" w:hAnsi="Arial"/>
          <w:i/>
          <w:iCs/>
          <w:color w:val="0A0E12"/>
          <w:sz w:val="20"/>
          <w:szCs w:val="20"/>
        </w:rPr>
        <w:t xml:space="preserve">  This is the single source of truth for where Fly GACA is going, why, and how we measure success. Read it before every quarterly review and update it every six months.  </w:t>
      </w:r>
    </w:p>
    <w:p>
      <w:pPr>
        <w:pBdr>
          <w:bottom w:val="single" w:color="2D6E8A" w:sz="6"/>
        </w:pBdr>
        <w:spacing w:after="120" w:before="360"/>
      </w:pPr>
      <w:r>
        <w:rPr>
          <w:rFonts w:ascii="Arial" w:cs="Arial" w:eastAsia="Arial" w:hAnsi="Arial"/>
          <w:b/>
          <w:bCs/>
          <w:color w:val="2D6E8A"/>
          <w:sz w:val="28"/>
          <w:szCs w:val="28"/>
        </w:rPr>
        <w:t xml:space="preserve">1. Three-Year Vision</w:t>
      </w:r>
    </w:p>
    <w:p>
      <w:pPr>
        <w:spacing w:after="80" w:before="240"/>
      </w:pPr>
      <w:r>
        <w:rPr>
          <w:rFonts w:ascii="Arial" w:cs="Arial" w:eastAsia="Arial" w:hAnsi="Arial"/>
          <w:b/>
          <w:bCs/>
          <w:color w:val="0A0E12"/>
          <w:sz w:val="24"/>
          <w:szCs w:val="24"/>
        </w:rPr>
        <w:t xml:space="preserve">2026 — Launch &amp; First Academies</w:t>
      </w:r>
    </w:p>
    <w:p>
      <w:pPr>
        <w:spacing w:after="80" w:before="60"/>
      </w:pPr>
      <w:r>
        <w:rPr>
          <w:rFonts w:ascii="Arial" w:cs="Arial" w:eastAsia="Arial" w:hAnsi="Arial"/>
          <w:color w:val="0A0E12"/>
          <w:sz w:val="22"/>
          <w:szCs w:val="22"/>
        </w:rPr>
        <w:t xml:space="preserve">Fly GACA completes commercial registration, onboards 3–5 licensed KSA aviation academies on cohort license agreements, and establishes Captain Adel as a trusted AI co-instructor with GACA-aligned citations. RAG evaluation pass rate reaches ≥85%. The 3M SAR bridge round is deployed with 18-month runway maintained. Captain Adel processes its first 100,000 cadet questions.</w:t>
      </w:r>
    </w:p>
    <w:p>
      <w:pPr>
        <w:spacing w:after="80" w:before="240"/>
      </w:pPr>
      <w:r>
        <w:rPr>
          <w:rFonts w:ascii="Arial" w:cs="Arial" w:eastAsia="Arial" w:hAnsi="Arial"/>
          <w:b/>
          <w:bCs/>
          <w:color w:val="0A0E12"/>
          <w:sz w:val="24"/>
          <w:szCs w:val="24"/>
        </w:rPr>
        <w:t xml:space="preserve">2027 — GCC Expansion</w:t>
      </w:r>
    </w:p>
    <w:p>
      <w:pPr>
        <w:spacing w:after="80" w:before="60"/>
      </w:pPr>
      <w:r>
        <w:rPr>
          <w:rFonts w:ascii="Arial" w:cs="Arial" w:eastAsia="Arial" w:hAnsi="Arial"/>
          <w:color w:val="0A0E12"/>
          <w:sz w:val="22"/>
          <w:szCs w:val="22"/>
        </w:rPr>
        <w:t xml:space="preserve">Series A (target 50–80M SAR pre-money) closes by September 2027. Fly GACA expands into UAE and Bahrain, signing 2+ GCC academies with Arabic regulatory content for GCAA and Bahrain CAA. ARR crosses 1.8M SAR. The team reaches 8–10 FTEs with ≥40% Saudization maintained.</w:t>
      </w:r>
    </w:p>
    <w:p>
      <w:pPr>
        <w:spacing w:after="80" w:before="240"/>
      </w:pPr>
      <w:r>
        <w:rPr>
          <w:rFonts w:ascii="Arial" w:cs="Arial" w:eastAsia="Arial" w:hAnsi="Arial"/>
          <w:b/>
          <w:bCs/>
          <w:color w:val="0A0E12"/>
          <w:sz w:val="24"/>
          <w:szCs w:val="24"/>
        </w:rPr>
        <w:t xml:space="preserve">2028 — Category Leadership KSA + GCC</w:t>
      </w:r>
    </w:p>
    <w:p>
      <w:pPr>
        <w:spacing w:after="80" w:before="60"/>
      </w:pPr>
      <w:r>
        <w:rPr>
          <w:rFonts w:ascii="Arial" w:cs="Arial" w:eastAsia="Arial" w:hAnsi="Arial"/>
          <w:color w:val="0A0E12"/>
          <w:sz w:val="22"/>
          <w:szCs w:val="22"/>
        </w:rPr>
        <w:t xml:space="preserve">Fly GACA becomes the default AI study platform for cadet pilots and ground instructors across Saudi Arabia and the GCC. ARR targets 8–10M SAR. Series B preparation begins (Y5 target). EBITDA approaches breakeven. A content partnership with a GACA-approved training organisation is formalised. Platform processes ≥1M exam practice questions per quarter.</w:t>
      </w:r>
    </w:p>
    <w:p>
      <w:pPr>
        <w:pBdr>
          <w:bottom w:val="single" w:color="2D6E8A" w:sz="6"/>
        </w:pBdr>
        <w:spacing w:after="120" w:before="360"/>
      </w:pPr>
      <w:r>
        <w:rPr>
          <w:rFonts w:ascii="Arial" w:cs="Arial" w:eastAsia="Arial" w:hAnsi="Arial"/>
          <w:b/>
          <w:bCs/>
          <w:color w:val="2D6E8A"/>
          <w:sz w:val="28"/>
          <w:szCs w:val="28"/>
        </w:rPr>
        <w:t xml:space="preserve">2. Annual Mission FY2026–2027</w:t>
      </w:r>
    </w:p>
    <w:p>
      <w:pPr>
        <w:spacing w:after="80" w:before="60"/>
      </w:pPr>
      <w:r>
        <w:rPr>
          <w:rFonts w:ascii="Arial" w:cs="Arial" w:eastAsia="Arial" w:hAnsi="Arial"/>
          <w:color w:val="0A0E12"/>
          <w:sz w:val="22"/>
          <w:szCs w:val="22"/>
        </w:rPr>
        <w:t xml:space="preserve">Close 5 paying academy accounts. Hit 1.8M SAR ARR. Build a team of 5 FTEs with ≥40% Saudization. Raise Series A at 50–80M SAR pre-money by September 2027 — while maintaining GACA citation integrity and ≥18 months cash runway at all times.</w:t>
      </w:r>
    </w:p>
    <w:p>
      <w:pPr>
        <w:pBdr>
          <w:bottom w:val="single" w:color="2D6E8A" w:sz="6"/>
        </w:pBdr>
        <w:spacing w:after="120" w:before="360"/>
      </w:pPr>
      <w:r>
        <w:rPr>
          <w:rFonts w:ascii="Arial" w:cs="Arial" w:eastAsia="Arial" w:hAnsi="Arial"/>
          <w:b/>
          <w:bCs/>
          <w:color w:val="2D6E8A"/>
          <w:sz w:val="28"/>
          <w:szCs w:val="28"/>
        </w:rPr>
        <w:t xml:space="preserve">3. Objectives &amp; Key Results</w:t>
      </w:r>
    </w:p>
    <w:p>
      <w:pPr>
        <w:spacing w:after="80" w:before="240"/>
      </w:pPr>
      <w:r>
        <w:rPr>
          <w:rFonts w:ascii="Arial" w:cs="Arial" w:eastAsia="Arial" w:hAnsi="Arial"/>
          <w:b/>
          <w:bCs/>
          <w:color w:val="0A0E12"/>
          <w:sz w:val="24"/>
          <w:szCs w:val="24"/>
        </w:rPr>
        <w:t xml:space="preserve">O1 — Go-To-Market: Close 5 Paying Academies</w:t>
      </w:r>
    </w:p>
    <w:p>
      <w:pPr>
        <w:spacing w:after="80" w:before="60"/>
      </w:pPr>
      <w:r>
        <w:rPr>
          <w:rFonts w:ascii="Arial" w:cs="Arial" w:eastAsia="Arial" w:hAnsi="Arial"/>
          <w:color w:val="0A0E12"/>
          <w:sz w:val="22"/>
          <w:szCs w:val="22"/>
        </w:rPr>
        <w:t xml:space="preserve">Win by embedding Captain Adel as a mission-critical study platform that instructors and cadets depend on every day — not a nice-to-have SaaS add-on.</w:t>
      </w:r>
    </w:p>
    <w:p>
      <w:pPr>
        <w:pStyle w:val="ListParagraph"/>
        <w:numPr>
          <w:ilvl w:val="0"/>
          <w:numId w:val="1"/>
        </w:numPr>
        <w:spacing w:after="40" w:before="40"/>
      </w:pPr>
      <w:r>
        <w:rPr>
          <w:rFonts w:ascii="Arial" w:cs="Arial" w:eastAsia="Arial" w:hAnsi="Arial"/>
          <w:color w:val="0A0E12"/>
          <w:sz w:val="22"/>
          <w:szCs w:val="22"/>
        </w:rPr>
        <w:t xml:space="preserve">KR 1.1  Sign 1 paying academy by 30 Sep 2026</w:t>
      </w:r>
    </w:p>
    <w:p>
      <w:pPr>
        <w:pStyle w:val="ListParagraph"/>
        <w:numPr>
          <w:ilvl w:val="0"/>
          <w:numId w:val="1"/>
        </w:numPr>
        <w:spacing w:after="40" w:before="40"/>
      </w:pPr>
      <w:r>
        <w:rPr>
          <w:rFonts w:ascii="Arial" w:cs="Arial" w:eastAsia="Arial" w:hAnsi="Arial"/>
          <w:color w:val="0A0E12"/>
          <w:sz w:val="22"/>
          <w:szCs w:val="22"/>
        </w:rPr>
        <w:t xml:space="preserve">KR 1.2  Sign 3 cumulative paying academies by 31 Mar 2027</w:t>
      </w:r>
    </w:p>
    <w:p>
      <w:pPr>
        <w:pStyle w:val="ListParagraph"/>
        <w:numPr>
          <w:ilvl w:val="0"/>
          <w:numId w:val="1"/>
        </w:numPr>
        <w:spacing w:after="40" w:before="40"/>
      </w:pPr>
      <w:r>
        <w:rPr>
          <w:rFonts w:ascii="Arial" w:cs="Arial" w:eastAsia="Arial" w:hAnsi="Arial"/>
          <w:color w:val="0A0E12"/>
          <w:sz w:val="22"/>
          <w:szCs w:val="22"/>
        </w:rPr>
        <w:t xml:space="preserve">KR 1.3  Sign 5 cumulative paying academies by 30 Sep 2027</w:t>
      </w:r>
    </w:p>
    <w:p>
      <w:pPr>
        <w:pStyle w:val="ListParagraph"/>
        <w:numPr>
          <w:ilvl w:val="0"/>
          <w:numId w:val="1"/>
        </w:numPr>
        <w:spacing w:after="40" w:before="40"/>
      </w:pPr>
      <w:r>
        <w:rPr>
          <w:rFonts w:ascii="Arial" w:cs="Arial" w:eastAsia="Arial" w:hAnsi="Arial"/>
          <w:color w:val="0A0E12"/>
          <w:sz w:val="22"/>
          <w:szCs w:val="22"/>
        </w:rPr>
        <w:t xml:space="preserve">KR 1.4  Pilot-to-paid conversion rate ≥60% across all pilots initiated in FY2026–27</w:t>
      </w:r>
    </w:p>
    <w:p>
      <w:pPr>
        <w:pStyle w:val="ListParagraph"/>
        <w:numPr>
          <w:ilvl w:val="0"/>
          <w:numId w:val="1"/>
        </w:numPr>
        <w:spacing w:after="40" w:before="40"/>
      </w:pPr>
      <w:r>
        <w:rPr>
          <w:rFonts w:ascii="Arial" w:cs="Arial" w:eastAsia="Arial" w:hAnsi="Arial"/>
          <w:color w:val="0A0E12"/>
          <w:sz w:val="22"/>
          <w:szCs w:val="22"/>
        </w:rPr>
        <w:t xml:space="preserve">KR 1.5  1,500 paying Pro subscribers (cadets) by 30 Sep 2027</w:t>
      </w:r>
    </w:p>
    <w:p>
      <w:pPr>
        <w:spacing w:after="80" w:before="240"/>
      </w:pPr>
      <w:r>
        <w:rPr>
          <w:rFonts w:ascii="Arial" w:cs="Arial" w:eastAsia="Arial" w:hAnsi="Arial"/>
          <w:b/>
          <w:bCs/>
          <w:color w:val="0A0E12"/>
          <w:sz w:val="24"/>
          <w:szCs w:val="24"/>
        </w:rPr>
        <w:t xml:space="preserve">O2 — Product: Captain Adel Reaches GACA-Instructor Parity</w:t>
      </w:r>
    </w:p>
    <w:p>
      <w:pPr>
        <w:spacing w:after="80" w:before="60"/>
      </w:pPr>
      <w:r>
        <w:rPr>
          <w:rFonts w:ascii="Arial" w:cs="Arial" w:eastAsia="Arial" w:hAnsi="Arial"/>
          <w:color w:val="0A0E12"/>
          <w:sz w:val="22"/>
          <w:szCs w:val="22"/>
        </w:rPr>
        <w:t xml:space="preserve">The product is only as good as its answers are accurate and trustworthy. Every metric is a proxy for instructor-grade reliability.</w:t>
      </w:r>
    </w:p>
    <w:p>
      <w:pPr>
        <w:pStyle w:val="ListParagraph"/>
        <w:numPr>
          <w:ilvl w:val="0"/>
          <w:numId w:val="1"/>
        </w:numPr>
        <w:spacing w:after="40" w:before="40"/>
      </w:pPr>
      <w:r>
        <w:rPr>
          <w:rFonts w:ascii="Arial" w:cs="Arial" w:eastAsia="Arial" w:hAnsi="Arial"/>
          <w:color w:val="0A0E12"/>
          <w:sz w:val="22"/>
          <w:szCs w:val="22"/>
        </w:rPr>
        <w:t xml:space="preserve">KR 2.1  RAG evaluation pass rate ≥85% (baseline: 71%) by Q2 FY2027</w:t>
      </w:r>
    </w:p>
    <w:p>
      <w:pPr>
        <w:pStyle w:val="ListParagraph"/>
        <w:numPr>
          <w:ilvl w:val="0"/>
          <w:numId w:val="1"/>
        </w:numPr>
        <w:spacing w:after="40" w:before="40"/>
      </w:pPr>
      <w:r>
        <w:rPr>
          <w:rFonts w:ascii="Arial" w:cs="Arial" w:eastAsia="Arial" w:hAnsi="Arial"/>
          <w:color w:val="0A0E12"/>
          <w:sz w:val="22"/>
          <w:szCs w:val="22"/>
        </w:rPr>
        <w:t xml:space="preserve">KR 2.2  ≥90% of all citations link to a clickable, verifiable GACA source</w:t>
      </w:r>
    </w:p>
    <w:p>
      <w:pPr>
        <w:pStyle w:val="ListParagraph"/>
        <w:numPr>
          <w:ilvl w:val="0"/>
          <w:numId w:val="1"/>
        </w:numPr>
        <w:spacing w:after="40" w:before="40"/>
      </w:pPr>
      <w:r>
        <w:rPr>
          <w:rFonts w:ascii="Arial" w:cs="Arial" w:eastAsia="Arial" w:hAnsi="Arial"/>
          <w:color w:val="0A0E12"/>
          <w:sz w:val="22"/>
          <w:szCs w:val="22"/>
        </w:rPr>
        <w:t xml:space="preserve">KR 2.3  Mobile-first PWA install rate ≥40% of active users by Q3 FY2027</w:t>
      </w:r>
    </w:p>
    <w:p>
      <w:pPr>
        <w:pStyle w:val="ListParagraph"/>
        <w:numPr>
          <w:ilvl w:val="0"/>
          <w:numId w:val="1"/>
        </w:numPr>
        <w:spacing w:after="40" w:before="40"/>
      </w:pPr>
      <w:r>
        <w:rPr>
          <w:rFonts w:ascii="Arial" w:cs="Arial" w:eastAsia="Arial" w:hAnsi="Arial"/>
          <w:color w:val="0A0E12"/>
          <w:sz w:val="22"/>
          <w:szCs w:val="22"/>
        </w:rPr>
        <w:t xml:space="preserve">KR 2.4  ≥75 NPS from instructors following 60-day pilot</w:t>
      </w:r>
    </w:p>
    <w:p>
      <w:pPr>
        <w:spacing w:after="80" w:before="240"/>
      </w:pPr>
      <w:r>
        <w:rPr>
          <w:rFonts w:ascii="Arial" w:cs="Arial" w:eastAsia="Arial" w:hAnsi="Arial"/>
          <w:b/>
          <w:bCs/>
          <w:color w:val="0A0E12"/>
          <w:sz w:val="24"/>
          <w:szCs w:val="24"/>
        </w:rPr>
        <w:t xml:space="preserve">O3 — People &amp; Saudization: Build the Team to Ship and Serve</w:t>
      </w:r>
    </w:p>
    <w:p>
      <w:pPr>
        <w:spacing w:after="80" w:before="60"/>
      </w:pPr>
      <w:r>
        <w:rPr>
          <w:rFonts w:ascii="Arial" w:cs="Arial" w:eastAsia="Arial" w:hAnsi="Arial"/>
          <w:color w:val="0A0E12"/>
          <w:sz w:val="22"/>
          <w:szCs w:val="22"/>
        </w:rPr>
        <w:t xml:space="preserve">Saudization is not a compliance checkbox — it is a strategic advantage in winning academy trust and government goodwill.</w:t>
      </w:r>
    </w:p>
    <w:p>
      <w:pPr>
        <w:pStyle w:val="ListParagraph"/>
        <w:numPr>
          <w:ilvl w:val="0"/>
          <w:numId w:val="1"/>
        </w:numPr>
        <w:spacing w:after="40" w:before="40"/>
      </w:pPr>
      <w:r>
        <w:rPr>
          <w:rFonts w:ascii="Arial" w:cs="Arial" w:eastAsia="Arial" w:hAnsi="Arial"/>
          <w:color w:val="0A0E12"/>
          <w:sz w:val="22"/>
          <w:szCs w:val="22"/>
        </w:rPr>
        <w:t xml:space="preserve">KR 3.1  5 FTEs hired and onboarded by 31 Mar 2027</w:t>
      </w:r>
    </w:p>
    <w:p>
      <w:pPr>
        <w:pStyle w:val="ListParagraph"/>
        <w:numPr>
          <w:ilvl w:val="0"/>
          <w:numId w:val="1"/>
        </w:numPr>
        <w:spacing w:after="40" w:before="40"/>
      </w:pPr>
      <w:r>
        <w:rPr>
          <w:rFonts w:ascii="Arial" w:cs="Arial" w:eastAsia="Arial" w:hAnsi="Arial"/>
          <w:color w:val="0A0E12"/>
          <w:sz w:val="22"/>
          <w:szCs w:val="22"/>
        </w:rPr>
        <w:t xml:space="preserve">KR 3.2  Saudization ratio ≥40% (Green-High bracket) maintained throughout FY2026–27</w:t>
      </w:r>
    </w:p>
    <w:p>
      <w:pPr>
        <w:pStyle w:val="ListParagraph"/>
        <w:numPr>
          <w:ilvl w:val="0"/>
          <w:numId w:val="1"/>
        </w:numPr>
        <w:spacing w:after="40" w:before="40"/>
      </w:pPr>
      <w:r>
        <w:rPr>
          <w:rFonts w:ascii="Arial" w:cs="Arial" w:eastAsia="Arial" w:hAnsi="Arial"/>
          <w:color w:val="0A0E12"/>
          <w:sz w:val="22"/>
          <w:szCs w:val="22"/>
        </w:rPr>
        <w:t xml:space="preserve">KR 3.3  0 voluntary regrettable attrition across FY2026–27</w:t>
      </w:r>
    </w:p>
    <w:p>
      <w:pPr>
        <w:spacing w:after="80" w:before="240"/>
      </w:pPr>
      <w:r>
        <w:rPr>
          <w:rFonts w:ascii="Arial" w:cs="Arial" w:eastAsia="Arial" w:hAnsi="Arial"/>
          <w:b/>
          <w:bCs/>
          <w:color w:val="0A0E12"/>
          <w:sz w:val="24"/>
          <w:szCs w:val="24"/>
        </w:rPr>
        <w:t xml:space="preserve">O4 — Financial: Fund the Next Chapter</w:t>
      </w:r>
    </w:p>
    <w:p>
      <w:pPr>
        <w:spacing w:after="80" w:before="60"/>
      </w:pPr>
      <w:r>
        <w:rPr>
          <w:rFonts w:ascii="Arial" w:cs="Arial" w:eastAsia="Arial" w:hAnsi="Arial"/>
          <w:color w:val="0A0E12"/>
          <w:sz w:val="22"/>
          <w:szCs w:val="22"/>
        </w:rPr>
        <w:t xml:space="preserve">Cash is oxygen. Raise from a position of product-market signal, not desperation.</w:t>
      </w:r>
    </w:p>
    <w:p>
      <w:pPr>
        <w:pStyle w:val="ListParagraph"/>
        <w:numPr>
          <w:ilvl w:val="0"/>
          <w:numId w:val="1"/>
        </w:numPr>
        <w:spacing w:after="40" w:before="40"/>
      </w:pPr>
      <w:r>
        <w:rPr>
          <w:rFonts w:ascii="Arial" w:cs="Arial" w:eastAsia="Arial" w:hAnsi="Arial"/>
          <w:color w:val="0A0E12"/>
          <w:sz w:val="22"/>
          <w:szCs w:val="22"/>
        </w:rPr>
        <w:t xml:space="preserve">KR 4.1  18-month cash runway maintained at all times throughout FY2026–27</w:t>
      </w:r>
    </w:p>
    <w:p>
      <w:pPr>
        <w:pStyle w:val="ListParagraph"/>
        <w:numPr>
          <w:ilvl w:val="0"/>
          <w:numId w:val="1"/>
        </w:numPr>
        <w:spacing w:after="40" w:before="40"/>
      </w:pPr>
      <w:r>
        <w:rPr>
          <w:rFonts w:ascii="Arial" w:cs="Arial" w:eastAsia="Arial" w:hAnsi="Arial"/>
          <w:color w:val="0A0E12"/>
          <w:sz w:val="22"/>
          <w:szCs w:val="22"/>
        </w:rPr>
        <w:t xml:space="preserve">KR 4.2  Series A term sheet received by 30 Sep 2027 at ≥50M SAR pre-money</w:t>
      </w:r>
    </w:p>
    <w:p>
      <w:pPr>
        <w:pStyle w:val="ListParagraph"/>
        <w:numPr>
          <w:ilvl w:val="0"/>
          <w:numId w:val="1"/>
        </w:numPr>
        <w:spacing w:after="40" w:before="40"/>
      </w:pPr>
      <w:r>
        <w:rPr>
          <w:rFonts w:ascii="Arial" w:cs="Arial" w:eastAsia="Arial" w:hAnsi="Arial"/>
          <w:color w:val="0A0E12"/>
          <w:sz w:val="22"/>
          <w:szCs w:val="22"/>
        </w:rPr>
        <w:t xml:space="preserve">KR 4.3  Gross margin ≥75% by Q4 FY2026 (Oct–Dec 2026)</w:t>
      </w:r>
    </w:p>
    <w:p>
      <w:pPr>
        <w:pBdr>
          <w:bottom w:val="single" w:color="2D6E8A" w:sz="6"/>
        </w:pBdr>
        <w:spacing w:after="120" w:before="360"/>
      </w:pPr>
      <w:r>
        <w:rPr>
          <w:rFonts w:ascii="Arial" w:cs="Arial" w:eastAsia="Arial" w:hAnsi="Arial"/>
          <w:b/>
          <w:bCs/>
          <w:color w:val="2D6E8A"/>
          <w:sz w:val="28"/>
          <w:szCs w:val="28"/>
        </w:rPr>
        <w:t xml:space="preserve">4. Quarterly OKR Cascade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Quarter</w:t>
            </w:r>
          </w:p>
        </w:tc>
        <w:tc>
          <w:tcPr>
            <w:shd w:color="2D6E8A" w:val="solid"/>
            <w:vAlign w:val="center"/>
          </w:tcPr>
          <w:p>
            <w:pPr>
              <w:spacing w:after="60" w:before="60"/>
              <w:ind w:left="80"/>
            </w:pPr>
            <w:r>
              <w:rPr>
                <w:rFonts w:ascii="Arial" w:cs="Arial" w:eastAsia="Arial" w:hAnsi="Arial"/>
                <w:b/>
                <w:bCs/>
                <w:color w:val="FFFFFF"/>
                <w:sz w:val="20"/>
                <w:szCs w:val="20"/>
              </w:rPr>
              <w:t xml:space="preserve">O1 GTM Sub-KR</w:t>
            </w:r>
          </w:p>
        </w:tc>
        <w:tc>
          <w:tcPr>
            <w:shd w:color="2D6E8A" w:val="solid"/>
            <w:vAlign w:val="center"/>
          </w:tcPr>
          <w:p>
            <w:pPr>
              <w:spacing w:after="60" w:before="60"/>
              <w:ind w:left="80"/>
            </w:pPr>
            <w:r>
              <w:rPr>
                <w:rFonts w:ascii="Arial" w:cs="Arial" w:eastAsia="Arial" w:hAnsi="Arial"/>
                <w:b/>
                <w:bCs/>
                <w:color w:val="FFFFFF"/>
                <w:sz w:val="20"/>
                <w:szCs w:val="20"/>
              </w:rPr>
              <w:t xml:space="preserve">O2 Product Sub-KR</w:t>
            </w:r>
          </w:p>
        </w:tc>
        <w:tc>
          <w:tcPr>
            <w:shd w:color="2D6E8A" w:val="solid"/>
            <w:vAlign w:val="center"/>
          </w:tcPr>
          <w:p>
            <w:pPr>
              <w:spacing w:after="60" w:before="60"/>
              <w:ind w:left="80"/>
            </w:pPr>
            <w:r>
              <w:rPr>
                <w:rFonts w:ascii="Arial" w:cs="Arial" w:eastAsia="Arial" w:hAnsi="Arial"/>
                <w:b/>
                <w:bCs/>
                <w:color w:val="FFFFFF"/>
                <w:sz w:val="20"/>
                <w:szCs w:val="20"/>
              </w:rPr>
              <w:t xml:space="preserve">O3 People Sub-KR</w:t>
            </w:r>
          </w:p>
        </w:tc>
        <w:tc>
          <w:tcPr>
            <w:shd w:color="2D6E8A" w:val="solid"/>
            <w:vAlign w:val="center"/>
          </w:tcPr>
          <w:p>
            <w:pPr>
              <w:spacing w:after="60" w:before="60"/>
              <w:ind w:left="80"/>
            </w:pPr>
            <w:r>
              <w:rPr>
                <w:rFonts w:ascii="Arial" w:cs="Arial" w:eastAsia="Arial" w:hAnsi="Arial"/>
                <w:b/>
                <w:bCs/>
                <w:color w:val="FFFFFF"/>
                <w:sz w:val="20"/>
                <w:szCs w:val="20"/>
              </w:rPr>
              <w:t xml:space="preserve">O4 Finance Sub-KR</w:t>
            </w:r>
          </w:p>
        </w:tc>
      </w:tr>
      <w:tr>
        <w:tc>
          <w:tcPr>
            <w:shd w:color="F5F2ED" w:val="solid"/>
          </w:tcPr>
          <w:p>
            <w:pPr>
              <w:spacing w:after="60" w:before="60"/>
              <w:ind w:left="80"/>
            </w:pPr>
            <w:r>
              <w:rPr>
                <w:rFonts w:ascii="Arial" w:cs="Arial" w:eastAsia="Arial" w:hAnsi="Arial"/>
                <w:color w:val="0A0E12"/>
                <w:sz w:val="20"/>
                <w:szCs w:val="20"/>
              </w:rPr>
              <w:t xml:space="preserve">Q1 Jul–Sep 2026</w:t>
            </w:r>
          </w:p>
        </w:tc>
        <w:tc>
          <w:tcPr>
            <w:shd w:color="F5F2ED" w:val="solid"/>
          </w:tcPr>
          <w:p>
            <w:pPr>
              <w:spacing w:after="60" w:before="60"/>
              <w:ind w:left="80"/>
            </w:pPr>
            <w:r>
              <w:rPr>
                <w:rFonts w:ascii="Arial" w:cs="Arial" w:eastAsia="Arial" w:hAnsi="Arial"/>
                <w:color w:val="0A0E12"/>
                <w:sz w:val="20"/>
                <w:szCs w:val="20"/>
              </w:rPr>
              <w:t xml:space="preserve">Pipeline ≥10 academies; 1 pilot signed</w:t>
            </w:r>
          </w:p>
        </w:tc>
        <w:tc>
          <w:tcPr>
            <w:shd w:color="F5F2ED" w:val="solid"/>
          </w:tcPr>
          <w:p>
            <w:pPr>
              <w:spacing w:after="60" w:before="60"/>
              <w:ind w:left="80"/>
            </w:pPr>
            <w:r>
              <w:rPr>
                <w:rFonts w:ascii="Arial" w:cs="Arial" w:eastAsia="Arial" w:hAnsi="Arial"/>
                <w:color w:val="0A0E12"/>
                <w:sz w:val="20"/>
                <w:szCs w:val="20"/>
              </w:rPr>
              <w:t xml:space="preserve">RAG 75%; PWA launched</w:t>
            </w:r>
          </w:p>
        </w:tc>
        <w:tc>
          <w:tcPr>
            <w:shd w:color="F5F2ED" w:val="solid"/>
          </w:tcPr>
          <w:p>
            <w:pPr>
              <w:spacing w:after="60" w:before="60"/>
              <w:ind w:left="80"/>
            </w:pPr>
            <w:r>
              <w:rPr>
                <w:rFonts w:ascii="Arial" w:cs="Arial" w:eastAsia="Arial" w:hAnsi="Arial"/>
                <w:color w:val="0A0E12"/>
                <w:sz w:val="20"/>
                <w:szCs w:val="20"/>
              </w:rPr>
              <w:t xml:space="preserve">1 FTE hired (eng/product)</w:t>
            </w:r>
          </w:p>
        </w:tc>
        <w:tc>
          <w:tcPr>
            <w:shd w:color="F5F2ED" w:val="solid"/>
          </w:tcPr>
          <w:p>
            <w:pPr>
              <w:spacing w:after="60" w:before="60"/>
              <w:ind w:left="80"/>
            </w:pPr>
            <w:r>
              <w:rPr>
                <w:rFonts w:ascii="Arial" w:cs="Arial" w:eastAsia="Arial" w:hAnsi="Arial"/>
                <w:color w:val="0A0E12"/>
                <w:sz w:val="20"/>
                <w:szCs w:val="20"/>
              </w:rPr>
              <w:t xml:space="preserve">Bridge closed; runway ≥18mo</w:t>
            </w:r>
          </w:p>
        </w:tc>
      </w:tr>
      <w:tr>
        <w:tc>
          <w:p>
            <w:pPr>
              <w:spacing w:after="60" w:before="60"/>
              <w:ind w:left="80"/>
            </w:pPr>
            <w:r>
              <w:rPr>
                <w:rFonts w:ascii="Arial" w:cs="Arial" w:eastAsia="Arial" w:hAnsi="Arial"/>
                <w:color w:val="0A0E12"/>
                <w:sz w:val="20"/>
                <w:szCs w:val="20"/>
              </w:rPr>
              <w:t xml:space="preserve">Q2 Oct–Dec 2026</w:t>
            </w:r>
          </w:p>
        </w:tc>
        <w:tc>
          <w:p>
            <w:pPr>
              <w:spacing w:after="60" w:before="60"/>
              <w:ind w:left="80"/>
            </w:pPr>
            <w:r>
              <w:rPr>
                <w:rFonts w:ascii="Arial" w:cs="Arial" w:eastAsia="Arial" w:hAnsi="Arial"/>
                <w:color w:val="0A0E12"/>
                <w:sz w:val="20"/>
                <w:szCs w:val="20"/>
              </w:rPr>
              <w:t xml:space="preserve">1 paid academy; 200 Pro subs</w:t>
            </w:r>
          </w:p>
        </w:tc>
        <w:tc>
          <w:p>
            <w:pPr>
              <w:spacing w:after="60" w:before="60"/>
              <w:ind w:left="80"/>
            </w:pPr>
            <w:r>
              <w:rPr>
                <w:rFonts w:ascii="Arial" w:cs="Arial" w:eastAsia="Arial" w:hAnsi="Arial"/>
                <w:color w:val="0A0E12"/>
                <w:sz w:val="20"/>
                <w:szCs w:val="20"/>
              </w:rPr>
              <w:t xml:space="preserve">RAG 80%; citation ≥85%</w:t>
            </w:r>
          </w:p>
        </w:tc>
        <w:tc>
          <w:p>
            <w:pPr>
              <w:spacing w:after="60" w:before="60"/>
              <w:ind w:left="80"/>
            </w:pPr>
            <w:r>
              <w:rPr>
                <w:rFonts w:ascii="Arial" w:cs="Arial" w:eastAsia="Arial" w:hAnsi="Arial"/>
                <w:color w:val="0A0E12"/>
                <w:sz w:val="20"/>
                <w:szCs w:val="20"/>
              </w:rPr>
              <w:t xml:space="preserve">2 FTEs; Saud ≥40%</w:t>
            </w:r>
          </w:p>
        </w:tc>
        <w:tc>
          <w:p>
            <w:pPr>
              <w:spacing w:after="60" w:before="60"/>
              <w:ind w:left="80"/>
            </w:pPr>
            <w:r>
              <w:rPr>
                <w:rFonts w:ascii="Arial" w:cs="Arial" w:eastAsia="Arial" w:hAnsi="Arial"/>
                <w:color w:val="0A0E12"/>
                <w:sz w:val="20"/>
                <w:szCs w:val="20"/>
              </w:rPr>
              <w:t xml:space="preserve">GM ≥75%; MRR ≥100K SAR</w:t>
            </w:r>
          </w:p>
        </w:tc>
      </w:tr>
      <w:tr>
        <w:tc>
          <w:tcPr>
            <w:shd w:color="F5F2ED" w:val="solid"/>
          </w:tcPr>
          <w:p>
            <w:pPr>
              <w:spacing w:after="60" w:before="60"/>
              <w:ind w:left="80"/>
            </w:pPr>
            <w:r>
              <w:rPr>
                <w:rFonts w:ascii="Arial" w:cs="Arial" w:eastAsia="Arial" w:hAnsi="Arial"/>
                <w:color w:val="0A0E12"/>
                <w:sz w:val="20"/>
                <w:szCs w:val="20"/>
              </w:rPr>
              <w:t xml:space="preserve">Q3 Jan–Mar 2027</w:t>
            </w:r>
          </w:p>
        </w:tc>
        <w:tc>
          <w:tcPr>
            <w:shd w:color="F5F2ED" w:val="solid"/>
          </w:tcPr>
          <w:p>
            <w:pPr>
              <w:spacing w:after="60" w:before="60"/>
              <w:ind w:left="80"/>
            </w:pPr>
            <w:r>
              <w:rPr>
                <w:rFonts w:ascii="Arial" w:cs="Arial" w:eastAsia="Arial" w:hAnsi="Arial"/>
                <w:color w:val="0A0E12"/>
                <w:sz w:val="20"/>
                <w:szCs w:val="20"/>
              </w:rPr>
              <w:t xml:space="preserve">3 paid academies; 700 Pro subs</w:t>
            </w:r>
          </w:p>
        </w:tc>
        <w:tc>
          <w:tcPr>
            <w:shd w:color="F5F2ED" w:val="solid"/>
          </w:tcPr>
          <w:p>
            <w:pPr>
              <w:spacing w:after="60" w:before="60"/>
              <w:ind w:left="80"/>
            </w:pPr>
            <w:r>
              <w:rPr>
                <w:rFonts w:ascii="Arial" w:cs="Arial" w:eastAsia="Arial" w:hAnsi="Arial"/>
                <w:color w:val="0A0E12"/>
                <w:sz w:val="20"/>
                <w:szCs w:val="20"/>
              </w:rPr>
              <w:t xml:space="preserve">RAG 83%; NPS ≥70</w:t>
            </w:r>
          </w:p>
        </w:tc>
        <w:tc>
          <w:tcPr>
            <w:shd w:color="F5F2ED" w:val="solid"/>
          </w:tcPr>
          <w:p>
            <w:pPr>
              <w:spacing w:after="60" w:before="60"/>
              <w:ind w:left="80"/>
            </w:pPr>
            <w:r>
              <w:rPr>
                <w:rFonts w:ascii="Arial" w:cs="Arial" w:eastAsia="Arial" w:hAnsi="Arial"/>
                <w:color w:val="0A0E12"/>
                <w:sz w:val="20"/>
                <w:szCs w:val="20"/>
              </w:rPr>
              <w:t xml:space="preserve">4 FTEs; 0 regret attrition</w:t>
            </w:r>
          </w:p>
        </w:tc>
        <w:tc>
          <w:tcPr>
            <w:shd w:color="F5F2ED" w:val="solid"/>
          </w:tcPr>
          <w:p>
            <w:pPr>
              <w:spacing w:after="60" w:before="60"/>
              <w:ind w:left="80"/>
            </w:pPr>
            <w:r>
              <w:rPr>
                <w:rFonts w:ascii="Arial" w:cs="Arial" w:eastAsia="Arial" w:hAnsi="Arial"/>
                <w:color w:val="0A0E12"/>
                <w:sz w:val="20"/>
                <w:szCs w:val="20"/>
              </w:rPr>
              <w:t xml:space="preserve">Series A deck live; runway ≥18mo</w:t>
            </w:r>
          </w:p>
        </w:tc>
      </w:tr>
      <w:tr>
        <w:tc>
          <w:p>
            <w:pPr>
              <w:spacing w:after="60" w:before="60"/>
              <w:ind w:left="80"/>
            </w:pPr>
            <w:r>
              <w:rPr>
                <w:rFonts w:ascii="Arial" w:cs="Arial" w:eastAsia="Arial" w:hAnsi="Arial"/>
                <w:color w:val="0A0E12"/>
                <w:sz w:val="20"/>
                <w:szCs w:val="20"/>
              </w:rPr>
              <w:t xml:space="preserve">Q4 Apr–Sep 2027</w:t>
            </w:r>
          </w:p>
        </w:tc>
        <w:tc>
          <w:p>
            <w:pPr>
              <w:spacing w:after="60" w:before="60"/>
              <w:ind w:left="80"/>
            </w:pPr>
            <w:r>
              <w:rPr>
                <w:rFonts w:ascii="Arial" w:cs="Arial" w:eastAsia="Arial" w:hAnsi="Arial"/>
                <w:color w:val="0A0E12"/>
                <w:sz w:val="20"/>
                <w:szCs w:val="20"/>
              </w:rPr>
              <w:t xml:space="preserve">5 paid academies; 1,500 Pro subs</w:t>
            </w:r>
          </w:p>
        </w:tc>
        <w:tc>
          <w:p>
            <w:pPr>
              <w:spacing w:after="60" w:before="60"/>
              <w:ind w:left="80"/>
            </w:pPr>
            <w:r>
              <w:rPr>
                <w:rFonts w:ascii="Arial" w:cs="Arial" w:eastAsia="Arial" w:hAnsi="Arial"/>
                <w:color w:val="0A0E12"/>
                <w:sz w:val="20"/>
                <w:szCs w:val="20"/>
              </w:rPr>
              <w:t xml:space="preserve">RAG ≥85%; install ≥40%</w:t>
            </w:r>
          </w:p>
        </w:tc>
        <w:tc>
          <w:p>
            <w:pPr>
              <w:spacing w:after="60" w:before="60"/>
              <w:ind w:left="80"/>
            </w:pPr>
            <w:r>
              <w:rPr>
                <w:rFonts w:ascii="Arial" w:cs="Arial" w:eastAsia="Arial" w:hAnsi="Arial"/>
                <w:color w:val="0A0E12"/>
                <w:sz w:val="20"/>
                <w:szCs w:val="20"/>
              </w:rPr>
              <w:t xml:space="preserve">5 FTEs; eNPS ≥40</w:t>
            </w:r>
          </w:p>
        </w:tc>
        <w:tc>
          <w:p>
            <w:pPr>
              <w:spacing w:after="60" w:before="60"/>
              <w:ind w:left="80"/>
            </w:pPr>
            <w:r>
              <w:rPr>
                <w:rFonts w:ascii="Arial" w:cs="Arial" w:eastAsia="Arial" w:hAnsi="Arial"/>
                <w:color w:val="0A0E12"/>
                <w:sz w:val="20"/>
                <w:szCs w:val="20"/>
              </w:rPr>
              <w:t xml:space="preserve">Series A term sheet; ARR ≥1.8M SAR</w:t>
            </w:r>
          </w:p>
        </w:tc>
      </w:tr>
    </w:tbl>
    <w:p>
      <w:pPr>
        <w:pBdr>
          <w:bottom w:val="single" w:color="2D6E8A" w:sz="6"/>
        </w:pBdr>
        <w:spacing w:after="120" w:before="360"/>
      </w:pPr>
      <w:r>
        <w:rPr>
          <w:rFonts w:ascii="Arial" w:cs="Arial" w:eastAsia="Arial" w:hAnsi="Arial"/>
          <w:b/>
          <w:bCs/>
          <w:color w:val="2D6E8A"/>
          <w:sz w:val="28"/>
          <w:szCs w:val="28"/>
        </w:rPr>
        <w:t xml:space="preserve">5. Operating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Cadence</w:t>
            </w:r>
          </w:p>
        </w:tc>
        <w:tc>
          <w:tcPr>
            <w:shd w:color="2D6E8A" w:val="solid"/>
            <w:vAlign w:val="center"/>
          </w:tcPr>
          <w:p>
            <w:pPr>
              <w:spacing w:after="60" w:before="60"/>
              <w:ind w:left="80"/>
            </w:pPr>
            <w:r>
              <w:rPr>
                <w:rFonts w:ascii="Arial" w:cs="Arial" w:eastAsia="Arial" w:hAnsi="Arial"/>
                <w:b/>
                <w:bCs/>
                <w:color w:val="FFFFFF"/>
                <w:sz w:val="20"/>
                <w:szCs w:val="20"/>
              </w:rPr>
              <w:t xml:space="preserve">Participants</w:t>
            </w:r>
          </w:p>
        </w:tc>
        <w:tc>
          <w:tcPr>
            <w:shd w:color="2D6E8A" w:val="solid"/>
            <w:vAlign w:val="center"/>
          </w:tcPr>
          <w:p>
            <w:pPr>
              <w:spacing w:after="60" w:before="60"/>
              <w:ind w:left="80"/>
            </w:pPr>
            <w:r>
              <w:rPr>
                <w:rFonts w:ascii="Arial" w:cs="Arial" w:eastAsia="Arial" w:hAnsi="Arial"/>
                <w:b/>
                <w:bCs/>
                <w:color w:val="FFFFFF"/>
                <w:sz w:val="20"/>
                <w:szCs w:val="20"/>
              </w:rPr>
              <w:t xml:space="preserve">Agenda Focus</w:t>
            </w:r>
          </w:p>
        </w:tc>
        <w:tc>
          <w:tcPr>
            <w:shd w:color="2D6E8A" w:val="solid"/>
            <w:vAlign w:val="center"/>
          </w:tcPr>
          <w:p>
            <w:pPr>
              <w:spacing w:after="60" w:before="60"/>
              <w:ind w:left="80"/>
            </w:pPr>
            <w:r>
              <w:rPr>
                <w:rFonts w:ascii="Arial" w:cs="Arial" w:eastAsia="Arial" w:hAnsi="Arial"/>
                <w:b/>
                <w:bCs/>
                <w:color w:val="FFFFFF"/>
                <w:sz w:val="20"/>
                <w:szCs w:val="20"/>
              </w:rPr>
              <w:t xml:space="preserve">Output</w:t>
            </w:r>
          </w:p>
        </w:tc>
      </w:tr>
      <w:tr>
        <w:tc>
          <w:tcPr>
            <w:shd w:color="F5F2ED" w:val="solid"/>
          </w:tcPr>
          <w:p>
            <w:pPr>
              <w:spacing w:after="60" w:before="60"/>
              <w:ind w:left="80"/>
            </w:pPr>
            <w:r>
              <w:rPr>
                <w:rFonts w:ascii="Arial" w:cs="Arial" w:eastAsia="Arial" w:hAnsi="Arial"/>
                <w:color w:val="0A0E12"/>
                <w:sz w:val="20"/>
                <w:szCs w:val="20"/>
              </w:rPr>
              <w:t xml:space="preserve">Weekly Leadership (Mon 09:00 AST)</w:t>
            </w:r>
          </w:p>
        </w:tc>
        <w:tc>
          <w:tcPr>
            <w:shd w:color="F5F2ED" w:val="solid"/>
          </w:tcPr>
          <w:p>
            <w:pPr>
              <w:spacing w:after="60" w:before="60"/>
              <w:ind w:left="80"/>
            </w:pPr>
            <w:r>
              <w:rPr>
                <w:rFonts w:ascii="Arial" w:cs="Arial" w:eastAsia="Arial" w:hAnsi="Arial"/>
                <w:color w:val="0A0E12"/>
                <w:sz w:val="20"/>
                <w:szCs w:val="20"/>
              </w:rPr>
              <w:t xml:space="preserve">Founder + leads</w:t>
            </w:r>
          </w:p>
        </w:tc>
        <w:tc>
          <w:tcPr>
            <w:shd w:color="F5F2ED" w:val="solid"/>
          </w:tcPr>
          <w:p>
            <w:pPr>
              <w:spacing w:after="60" w:before="60"/>
              <w:ind w:left="80"/>
            </w:pPr>
            <w:r>
              <w:rPr>
                <w:rFonts w:ascii="Arial" w:cs="Arial" w:eastAsia="Arial" w:hAnsi="Arial"/>
                <w:color w:val="0A0E12"/>
                <w:sz w:val="20"/>
                <w:szCs w:val="20"/>
              </w:rPr>
              <w:t xml:space="preserve">OKR pulse, blockers, decisions needed</w:t>
            </w:r>
          </w:p>
        </w:tc>
        <w:tc>
          <w:tcPr>
            <w:shd w:color="F5F2ED" w:val="solid"/>
          </w:tcPr>
          <w:p>
            <w:pPr>
              <w:spacing w:after="60" w:before="60"/>
              <w:ind w:left="80"/>
            </w:pPr>
            <w:r>
              <w:rPr>
                <w:rFonts w:ascii="Arial" w:cs="Arial" w:eastAsia="Arial" w:hAnsi="Arial"/>
                <w:color w:val="0A0E12"/>
                <w:sz w:val="20"/>
                <w:szCs w:val="20"/>
              </w:rPr>
              <w:t xml:space="preserve">Action log updated in Decision Log</w:t>
            </w:r>
          </w:p>
        </w:tc>
      </w:tr>
      <w:tr>
        <w:tc>
          <w:p>
            <w:pPr>
              <w:spacing w:after="60" w:before="60"/>
              <w:ind w:left="80"/>
            </w:pPr>
            <w:r>
              <w:rPr>
                <w:rFonts w:ascii="Arial" w:cs="Arial" w:eastAsia="Arial" w:hAnsi="Arial"/>
                <w:color w:val="0A0E12"/>
                <w:sz w:val="20"/>
                <w:szCs w:val="20"/>
              </w:rPr>
              <w:t xml:space="preserve">Monthly All-Hands (1st Thu)</w:t>
            </w:r>
          </w:p>
        </w:tc>
        <w:tc>
          <w:p>
            <w:pPr>
              <w:spacing w:after="60" w:before="60"/>
              <w:ind w:left="80"/>
            </w:pPr>
            <w:r>
              <w:rPr>
                <w:rFonts w:ascii="Arial" w:cs="Arial" w:eastAsia="Arial" w:hAnsi="Arial"/>
                <w:color w:val="0A0E12"/>
                <w:sz w:val="20"/>
                <w:szCs w:val="20"/>
              </w:rPr>
              <w:t xml:space="preserve">All FTEs</w:t>
            </w:r>
          </w:p>
        </w:tc>
        <w:tc>
          <w:p>
            <w:pPr>
              <w:spacing w:after="60" w:before="60"/>
              <w:ind w:left="80"/>
            </w:pPr>
            <w:r>
              <w:rPr>
                <w:rFonts w:ascii="Arial" w:cs="Arial" w:eastAsia="Arial" w:hAnsi="Arial"/>
                <w:color w:val="0A0E12"/>
                <w:sz w:val="20"/>
                <w:szCs w:val="20"/>
              </w:rPr>
              <w:t xml:space="preserve">Wins, lessons, 30-day priorities, Q&amp;A</w:t>
            </w:r>
          </w:p>
        </w:tc>
        <w:tc>
          <w:p>
            <w:pPr>
              <w:spacing w:after="60" w:before="60"/>
              <w:ind w:left="80"/>
            </w:pPr>
            <w:r>
              <w:rPr>
                <w:rFonts w:ascii="Arial" w:cs="Arial" w:eastAsia="Arial" w:hAnsi="Arial"/>
                <w:color w:val="0A0E12"/>
                <w:sz w:val="20"/>
                <w:szCs w:val="20"/>
              </w:rPr>
              <w:t xml:space="preserve">All-hands notes shared via Slack/email</w:t>
            </w:r>
          </w:p>
        </w:tc>
      </w:tr>
      <w:tr>
        <w:tc>
          <w:tcPr>
            <w:shd w:color="F5F2ED" w:val="solid"/>
          </w:tcPr>
          <w:p>
            <w:pPr>
              <w:spacing w:after="60" w:before="60"/>
              <w:ind w:left="80"/>
            </w:pPr>
            <w:r>
              <w:rPr>
                <w:rFonts w:ascii="Arial" w:cs="Arial" w:eastAsia="Arial" w:hAnsi="Arial"/>
                <w:color w:val="0A0E12"/>
                <w:sz w:val="20"/>
                <w:szCs w:val="20"/>
              </w:rPr>
              <w:t xml:space="preserve">Quarterly OKR Review</w:t>
            </w:r>
          </w:p>
        </w:tc>
        <w:tc>
          <w:tcPr>
            <w:shd w:color="F5F2ED" w:val="solid"/>
          </w:tcPr>
          <w:p>
            <w:pPr>
              <w:spacing w:after="60" w:before="60"/>
              <w:ind w:left="80"/>
            </w:pPr>
            <w:r>
              <w:rPr>
                <w:rFonts w:ascii="Arial" w:cs="Arial" w:eastAsia="Arial" w:hAnsi="Arial"/>
                <w:color w:val="0A0E12"/>
                <w:sz w:val="20"/>
                <w:szCs w:val="20"/>
              </w:rPr>
              <w:t xml:space="preserve">Founder + board observer</w:t>
            </w:r>
          </w:p>
        </w:tc>
        <w:tc>
          <w:tcPr>
            <w:shd w:color="F5F2ED" w:val="solid"/>
          </w:tcPr>
          <w:p>
            <w:pPr>
              <w:spacing w:after="60" w:before="60"/>
              <w:ind w:left="80"/>
            </w:pPr>
            <w:r>
              <w:rPr>
                <w:rFonts w:ascii="Arial" w:cs="Arial" w:eastAsia="Arial" w:hAnsi="Arial"/>
                <w:color w:val="0A0E12"/>
                <w:sz w:val="20"/>
                <w:szCs w:val="20"/>
              </w:rPr>
              <w:t xml:space="preserve">OKR scorecard, QBR pack, next quarter plan</w:t>
            </w:r>
          </w:p>
        </w:tc>
        <w:tc>
          <w:tcPr>
            <w:shd w:color="F5F2ED" w:val="solid"/>
          </w:tcPr>
          <w:p>
            <w:pPr>
              <w:spacing w:after="60" w:before="60"/>
              <w:ind w:left="80"/>
            </w:pPr>
            <w:r>
              <w:rPr>
                <w:rFonts w:ascii="Arial" w:cs="Arial" w:eastAsia="Arial" w:hAnsi="Arial"/>
                <w:color w:val="0A0E12"/>
                <w:sz w:val="20"/>
                <w:szCs w:val="20"/>
              </w:rPr>
              <w:t xml:space="preserve">QBR doc filed in 09 Strategic folder</w:t>
            </w:r>
          </w:p>
        </w:tc>
      </w:tr>
      <w:tr>
        <w:tc>
          <w:p>
            <w:pPr>
              <w:spacing w:after="60" w:before="60"/>
              <w:ind w:left="80"/>
            </w:pPr>
            <w:r>
              <w:rPr>
                <w:rFonts w:ascii="Arial" w:cs="Arial" w:eastAsia="Arial" w:hAnsi="Arial"/>
                <w:color w:val="0A0E12"/>
                <w:sz w:val="20"/>
                <w:szCs w:val="20"/>
              </w:rPr>
              <w:t xml:space="preserve">Annual Strategy Offsite</w:t>
            </w:r>
          </w:p>
        </w:tc>
        <w:tc>
          <w:p>
            <w:pPr>
              <w:spacing w:after="60" w:before="60"/>
              <w:ind w:left="80"/>
            </w:pPr>
            <w:r>
              <w:rPr>
                <w:rFonts w:ascii="Arial" w:cs="Arial" w:eastAsia="Arial" w:hAnsi="Arial"/>
                <w:color w:val="0A0E12"/>
                <w:sz w:val="20"/>
                <w:szCs w:val="20"/>
              </w:rPr>
              <w:t xml:space="preserve">Founder + all FTEs</w:t>
            </w:r>
          </w:p>
        </w:tc>
        <w:tc>
          <w:p>
            <w:pPr>
              <w:spacing w:after="60" w:before="60"/>
              <w:ind w:left="80"/>
            </w:pPr>
            <w:r>
              <w:rPr>
                <w:rFonts w:ascii="Arial" w:cs="Arial" w:eastAsia="Arial" w:hAnsi="Arial"/>
                <w:color w:val="0A0E12"/>
                <w:sz w:val="20"/>
                <w:szCs w:val="20"/>
              </w:rPr>
              <w:t xml:space="preserve">3-year vision refresh, culture, OKR reset</w:t>
            </w:r>
          </w:p>
        </w:tc>
        <w:tc>
          <w:p>
            <w:pPr>
              <w:spacing w:after="60" w:before="60"/>
              <w:ind w:left="80"/>
            </w:pPr>
            <w:r>
              <w:rPr>
                <w:rFonts w:ascii="Arial" w:cs="Arial" w:eastAsia="Arial" w:hAnsi="Arial"/>
                <w:color w:val="0A0E12"/>
                <w:sz w:val="20"/>
                <w:szCs w:val="20"/>
              </w:rPr>
              <w:t xml:space="preserve">Updated Strategic Plan v.next</w:t>
            </w:r>
          </w:p>
        </w:tc>
      </w:tr>
    </w:tbl>
    <w:p>
      <w:pPr>
        <w:pBdr>
          <w:bottom w:val="single" w:color="2D6E8A" w:sz="6"/>
        </w:pBdr>
        <w:spacing w:after="120" w:before="360"/>
      </w:pPr>
      <w:r>
        <w:rPr>
          <w:rFonts w:ascii="Arial" w:cs="Arial" w:eastAsia="Arial" w:hAnsi="Arial"/>
          <w:b/>
          <w:bCs/>
          <w:color w:val="2D6E8A"/>
          <w:sz w:val="28"/>
          <w:szCs w:val="28"/>
        </w:rPr>
        <w:t xml:space="preserve">6. Decision Principles</w:t>
      </w:r>
    </w:p>
    <w:p>
      <w:pPr>
        <w:pStyle w:val="ListParagraph"/>
        <w:numPr>
          <w:ilvl w:val="0"/>
          <w:numId w:val="1"/>
        </w:numPr>
        <w:spacing w:after="40" w:before="40"/>
      </w:pPr>
      <w:r>
        <w:rPr>
          <w:rFonts w:ascii="Arial" w:cs="Arial" w:eastAsia="Arial" w:hAnsi="Arial"/>
          <w:color w:val="0A0E12"/>
          <w:sz w:val="22"/>
          <w:szCs w:val="22"/>
        </w:rPr>
        <w:t xml:space="preserve">In-Kingdom-first — regulatory, data residency, and partnership decisions default to KSA requirements before international norms.</w:t>
      </w:r>
    </w:p>
    <w:p>
      <w:pPr>
        <w:pStyle w:val="ListParagraph"/>
        <w:numPr>
          <w:ilvl w:val="0"/>
          <w:numId w:val="1"/>
        </w:numPr>
        <w:spacing w:after="40" w:before="40"/>
      </w:pPr>
      <w:r>
        <w:rPr>
          <w:rFonts w:ascii="Arial" w:cs="Arial" w:eastAsia="Arial" w:hAnsi="Arial"/>
          <w:color w:val="0A0E12"/>
          <w:sz w:val="22"/>
          <w:szCs w:val="22"/>
        </w:rPr>
        <w:t xml:space="preserve">Citation-grounded — every Captain Adel answer must be traceable to an official GACA, ICAO, or EASA publication.</w:t>
      </w:r>
    </w:p>
    <w:p>
      <w:pPr>
        <w:pStyle w:val="ListParagraph"/>
        <w:numPr>
          <w:ilvl w:val="0"/>
          <w:numId w:val="1"/>
        </w:numPr>
        <w:spacing w:after="40" w:before="40"/>
      </w:pPr>
      <w:r>
        <w:rPr>
          <w:rFonts w:ascii="Arial" w:cs="Arial" w:eastAsia="Arial" w:hAnsi="Arial"/>
          <w:color w:val="0A0E12"/>
          <w:sz w:val="22"/>
          <w:szCs w:val="22"/>
        </w:rPr>
        <w:t xml:space="preserve">Bilingual by default — all customer-facing product, contracts, and communications ship in Arabic and English.</w:t>
      </w:r>
    </w:p>
    <w:p>
      <w:pPr>
        <w:pStyle w:val="ListParagraph"/>
        <w:numPr>
          <w:ilvl w:val="0"/>
          <w:numId w:val="1"/>
        </w:numPr>
        <w:spacing w:after="40" w:before="40"/>
      </w:pPr>
      <w:r>
        <w:rPr>
          <w:rFonts w:ascii="Arial" w:cs="Arial" w:eastAsia="Arial" w:hAnsi="Arial"/>
          <w:color w:val="0A0E12"/>
          <w:sz w:val="22"/>
          <w:szCs w:val="22"/>
        </w:rPr>
        <w:t xml:space="preserve">Never replace the official source — Captain Adel augments and cites; it does not supersede GACA regulations.</w:t>
      </w:r>
    </w:p>
    <w:p>
      <w:pPr>
        <w:pStyle w:val="ListParagraph"/>
        <w:numPr>
          <w:ilvl w:val="0"/>
          <w:numId w:val="1"/>
        </w:numPr>
        <w:spacing w:after="40" w:before="40"/>
      </w:pPr>
      <w:r>
        <w:rPr>
          <w:rFonts w:ascii="Arial" w:cs="Arial" w:eastAsia="Arial" w:hAnsi="Arial"/>
          <w:color w:val="0A0E12"/>
          <w:sz w:val="22"/>
          <w:szCs w:val="22"/>
        </w:rPr>
        <w:t xml:space="preserve">Two-way doors first — prefer reversible decisions; document irreversible ones formally in the Decision Log.</w:t>
      </w:r>
    </w:p>
    <w:p>
      <w:pPr>
        <w:pStyle w:val="ListParagraph"/>
        <w:numPr>
          <w:ilvl w:val="0"/>
          <w:numId w:val="1"/>
        </w:numPr>
        <w:spacing w:after="40" w:before="40"/>
      </w:pPr>
      <w:r>
        <w:rPr>
          <w:rFonts w:ascii="Arial" w:cs="Arial" w:eastAsia="Arial" w:hAnsi="Arial"/>
          <w:color w:val="0A0E12"/>
          <w:sz w:val="22"/>
          <w:szCs w:val="22"/>
        </w:rPr>
        <w:t xml:space="preserve">Transparency with the board — no surprises; bad news travels up immediately.</w:t>
      </w:r>
    </w:p>
    <w:p>
      <w:pPr>
        <w:spacing w:after="160"/>
      </w:pPr>
      <w:r>
        <w:rPr>
          <w:sz w:val="22"/>
          <w:szCs w:val="22"/>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A0E12"/>
        <w:sz w:val="16"/>
        <w:szCs w:val="16"/>
      </w:rPr>
      <w:t xml:space="preserve">Fly GACA  ·  Strategic  ·  Confidential     Page </w:t>
    </w:r>
    <w:r>
      <w:rPr>
        <w:rFonts w:ascii="Arial" w:cs="Arial" w:eastAsia="Arial" w:hAnsi="Arial"/>
        <w:color w:val="0A0E12"/>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Strategic Plan &amp; OKRs FY2026-2027</dc:title>
  <dc:creator>Fly GACA</dc:creator>
  <cp:lastModifiedBy>Un-named</cp:lastModifiedBy>
  <cp:revision>1</cp:revision>
  <dcterms:created xsi:type="dcterms:W3CDTF">2026-05-05T06:48:00.322Z</dcterms:created>
  <dcterms:modified xsi:type="dcterms:W3CDTF">2026-05-05T06:48:00.322Z</dcterms:modified>
</cp:coreProperties>
</file>

<file path=docProps/custom.xml><?xml version="1.0" encoding="utf-8"?>
<Properties xmlns="http://schemas.openxmlformats.org/officeDocument/2006/custom-properties" xmlns:vt="http://schemas.openxmlformats.org/officeDocument/2006/docPropsVTypes"/>
</file>