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none"/>
              <w:left w:val="none"/>
              <w:bottom w:val="single" w:color="C8A04A" w:sz="12"/>
              <w:right w:val="none"/>
            </w:tcBorders>
            <w:shd w:fill="2D6E8A" w:val="clear"/>
            <w:tcMar>
              <w:top w:type="dxa" w:w="280"/>
              <w:left w:type="dxa" w:w="400"/>
              <w:bottom w:type="dxa" w:w="280"/>
              <w:right w:type="dxa" w:w="400"/>
            </w:tcMar>
          </w:tcPr>
          <w:p>
            <w:pPr>
              <w:jc w:val="center"/>
            </w:pPr>
            <w:r>
              <w:rPr>
                <w:rFonts w:ascii="Arial" w:cs="Arial" w:eastAsia="Arial" w:hAnsi="Arial"/>
                <w:b/>
                <w:bCs/>
                <w:color w:val="FFFFFF"/>
                <w:sz w:val="52"/>
                <w:szCs w:val="52"/>
              </w:rPr>
              <w:t xml:space="preserve">FLY GACA</w:t>
            </w:r>
          </w:p>
          <w:p>
            <w:pPr>
              <w:jc w:val="center"/>
            </w:pPr>
            <w:r>
              <w:rPr>
                <w:rFonts w:ascii="Arial" w:cs="Arial" w:eastAsia="Arial" w:hAnsi="Arial"/>
                <w:b/>
                <w:bCs/>
                <w:color w:val="C8A04A"/>
                <w:sz w:val="28"/>
                <w:szCs w:val="28"/>
              </w:rPr>
              <w:t xml:space="preserve">Finance &amp; Accounting</w:t>
            </w:r>
          </w:p>
        </w:tc>
      </w:tr>
    </w:tbl>
    <w:p>
      <w:pPr>
        <w:spacing w:after="0" w:before="120"/>
      </w:pPr>
      <w:r>
        <w:t xml:space="preserve"/>
      </w:r>
    </w:p>
    <w:p>
      <w:pPr>
        <w:spacing w:after="200" w:before="200"/>
        <w:jc w:val="center"/>
      </w:pPr>
      <w:r>
        <w:rPr>
          <w:rFonts w:ascii="Arial" w:cs="Arial" w:eastAsia="Arial" w:hAnsi="Arial"/>
          <w:b/>
          <w:bCs/>
          <w:color w:val="2D6E8A"/>
          <w:sz w:val="48"/>
          <w:szCs w:val="48"/>
        </w:rPr>
        <w:t xml:space="preserve">Procurement Policy</w:t>
      </w:r>
    </w:p>
    <w:p>
      <w:pPr>
        <w:spacing w:after="80" w:before="80"/>
        <w:jc w:val="center"/>
      </w:pPr>
      <w:r>
        <w:rPr>
          <w:rFonts w:ascii="Arial" w:cs="Arial" w:eastAsia="Arial" w:hAnsi="Arial"/>
          <w:color w:val="555555"/>
          <w:sz w:val="20"/>
          <w:szCs w:val="20"/>
        </w:rPr>
        <w:t xml:space="preserve">Fly GACA  ·  Finance &amp; Accounting  ·  v1.0  ·  May 2026</w:t>
      </w:r>
    </w:p>
    <w:p>
      <w:pPr>
        <w:spacing w:after="40" w:before="40"/>
        <w:jc w:val="center"/>
      </w:pPr>
      <w:r>
        <w:rPr>
          <w:rFonts w:ascii="Arial" w:cs="Arial" w:eastAsia="Arial" w:hAnsi="Arial"/>
          <w:color w:val="555555"/>
          <w:sz w:val="20"/>
          <w:szCs w:val="20"/>
        </w:rPr>
        <w:t xml:space="preserve">Captain Adel Yahya A. Madkhali, Founder</w:t>
      </w:r>
    </w:p>
    <w:p>
      <w:pPr>
        <w:spacing w:after="80" w:before="40"/>
        <w:jc w:val="center"/>
      </w:pPr>
      <w:r>
        <w:rPr>
          <w:rFonts w:ascii="Arial" w:cs="Arial" w:eastAsia="Arial" w:hAnsi="Arial"/>
          <w:color w:val="555555"/>
          <w:sz w:val="18"/>
          <w:szCs w:val="18"/>
        </w:rPr>
        <w:t xml:space="preserve">i@flygaca.com  ·  +966 51 096 6969  ·  flygaca.com</w:t>
      </w:r>
    </w:p>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C8A04A" w:sz="4"/>
              <w:left w:val="single" w:color="2D6E8A" w:sz="12"/>
              <w:bottom w:val="single" w:color="C8A04A" w:sz="4"/>
              <w:right w:val="none" w:color="FFFFFF" w:sz="0"/>
            </w:tcBorders>
            <w:shd w:fill="B5DDC2" w:val="clear"/>
            <w:tcMar>
              <w:top w:type="dxa" w:w="120"/>
              <w:left w:type="dxa" w:w="180"/>
              <w:bottom w:type="dxa" w:w="120"/>
              <w:right w:type="dxa" w:w="180"/>
            </w:tcMar>
          </w:tcPr>
          <w:p>
            <w:pPr>
              <w:spacing w:after="0" w:before="0"/>
            </w:pPr>
            <w:r>
              <w:rPr>
                <w:rFonts w:ascii="Arial" w:cs="Arial" w:eastAsia="Arial" w:hAnsi="Arial"/>
                <w:b/>
                <w:bCs/>
                <w:color w:val="0A0E12"/>
                <w:sz w:val="20"/>
                <w:szCs w:val="20"/>
              </w:rPr>
              <w:t xml:space="preserve">Why This Matters  </w:t>
            </w:r>
            <w:r>
              <w:rPr>
                <w:rFonts w:ascii="Arial" w:cs="Arial" w:eastAsia="Arial" w:hAnsi="Arial"/>
                <w:color w:val="0A0E12"/>
                <w:sz w:val="20"/>
                <w:szCs w:val="20"/>
              </w:rPr>
              <w:t xml:space="preserve">Systematic procurement protects Fly GACA from overpaying, locks in compliant vendor relationships, and prevents conflicts of interest that could derail fundraising due diligence. Every vendor touches our cost structure and data.</w:t>
            </w:r>
          </w:p>
        </w:tc>
      </w:tr>
    </w:tbl>
    <w:p>
      <w:pPr>
        <w:spacing w:after="0" w:before="120"/>
      </w:pPr>
      <w:r>
        <w:t xml:space="preserve"/>
      </w:r>
    </w:p>
    <w:p>
      <w:pPr>
        <w:spacing w:after="120" w:before="240"/>
      </w:pPr>
      <w:r>
        <w:rPr>
          <w:rFonts w:ascii="Arial" w:cs="Arial" w:eastAsia="Arial" w:hAnsi="Arial"/>
          <w:b/>
          <w:bCs/>
          <w:color w:val="2D6E8A"/>
          <w:sz w:val="28"/>
          <w:szCs w:val="28"/>
        </w:rPr>
        <w:t xml:space="preserve">1. Procurement Principles</w:t>
      </w:r>
    </w:p>
    <w:p>
      <w:pPr>
        <w:pStyle w:val="ListParagraph"/>
        <w:numPr>
          <w:ilvl w:val="0"/>
          <w:numId w:val="1"/>
        </w:numPr>
        <w:spacing w:after="40" w:before="40"/>
      </w:pPr>
      <w:r>
        <w:rPr>
          <w:rFonts w:ascii="Arial" w:cs="Arial" w:eastAsia="Arial" w:hAnsi="Arial"/>
          <w:color w:val="0A0E12"/>
          <w:sz w:val="22"/>
          <w:szCs w:val="22"/>
        </w:rPr>
        <w:t xml:space="preserve">Value for Money: Select vendors offering the best outcome per riyal spent, not the lowest price alone.</w:t>
      </w:r>
    </w:p>
    <w:p>
      <w:pPr>
        <w:pStyle w:val="ListParagraph"/>
        <w:numPr>
          <w:ilvl w:val="0"/>
          <w:numId w:val="1"/>
        </w:numPr>
        <w:spacing w:after="40" w:before="40"/>
      </w:pPr>
      <w:r>
        <w:rPr>
          <w:rFonts w:ascii="Arial" w:cs="Arial" w:eastAsia="Arial" w:hAnsi="Arial"/>
          <w:color w:val="0A0E12"/>
          <w:sz w:val="22"/>
          <w:szCs w:val="22"/>
        </w:rPr>
        <w:t xml:space="preserve">Transparency: Maintain clear records of vendor selection rationale and documentation.</w:t>
      </w:r>
    </w:p>
    <w:p>
      <w:pPr>
        <w:pStyle w:val="ListParagraph"/>
        <w:numPr>
          <w:ilvl w:val="0"/>
          <w:numId w:val="1"/>
        </w:numPr>
        <w:spacing w:after="40" w:before="40"/>
      </w:pPr>
      <w:r>
        <w:rPr>
          <w:rFonts w:ascii="Arial" w:cs="Arial" w:eastAsia="Arial" w:hAnsi="Arial"/>
          <w:color w:val="0A0E12"/>
          <w:sz w:val="22"/>
          <w:szCs w:val="22"/>
        </w:rPr>
        <w:t xml:space="preserve">Competition: Seek competitive quotes proportionate to contract value.</w:t>
      </w:r>
    </w:p>
    <w:p>
      <w:pPr>
        <w:pStyle w:val="ListParagraph"/>
        <w:numPr>
          <w:ilvl w:val="0"/>
          <w:numId w:val="1"/>
        </w:numPr>
        <w:spacing w:after="40" w:before="40"/>
      </w:pPr>
      <w:r>
        <w:rPr>
          <w:rFonts w:ascii="Arial" w:cs="Arial" w:eastAsia="Arial" w:hAnsi="Arial"/>
          <w:color w:val="0A0E12"/>
          <w:sz w:val="22"/>
          <w:szCs w:val="22"/>
        </w:rPr>
        <w:t xml:space="preserve">Ethics: No procurement decision shall be influenced by personal gain. See Section 7 on Conflicts of Interest.</w:t>
      </w:r>
    </w:p>
    <w:p>
      <w:pPr>
        <w:pStyle w:val="ListParagraph"/>
        <w:numPr>
          <w:ilvl w:val="0"/>
          <w:numId w:val="1"/>
        </w:numPr>
        <w:spacing w:after="40" w:before="40"/>
      </w:pPr>
      <w:r>
        <w:rPr>
          <w:rFonts w:ascii="Arial" w:cs="Arial" w:eastAsia="Arial" w:hAnsi="Arial"/>
          <w:color w:val="0A0E12"/>
          <w:sz w:val="22"/>
          <w:szCs w:val="22"/>
        </w:rPr>
        <w:t xml:space="preserve">Compliance: All vendors must hold valid legal registration; Saudi vendors must present a current CR.</w:t>
      </w:r>
    </w:p>
    <w:p>
      <w:pPr>
        <w:spacing w:after="120" w:before="240"/>
      </w:pPr>
      <w:r>
        <w:rPr>
          <w:rFonts w:ascii="Arial" w:cs="Arial" w:eastAsia="Arial" w:hAnsi="Arial"/>
          <w:b/>
          <w:bCs/>
          <w:color w:val="2D6E8A"/>
          <w:sz w:val="28"/>
          <w:szCs w:val="28"/>
        </w:rPr>
        <w:t xml:space="preserve">2. Approval Thresholds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800"/>
            <w:shd w:fill="2D6E8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Contract Value (SAR)</w:t>
            </w:r>
          </w:p>
        </w:tc>
        <w:tc>
          <w:tcPr>
            <w:tcW w:type="dxa" w:w="1700"/>
            <w:shd w:fill="2D6E8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Approval Required</w:t>
            </w:r>
          </w:p>
        </w:tc>
        <w:tc>
          <w:tcPr>
            <w:tcW w:type="dxa" w:w="1800"/>
            <w:shd w:fill="2D6E8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Quotes Required</w:t>
            </w:r>
          </w:p>
        </w:tc>
        <w:tc>
          <w:tcPr>
            <w:tcW w:type="dxa" w:w="2200"/>
            <w:shd w:fill="2D6E8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Contract Review</w:t>
            </w:r>
          </w:p>
        </w:tc>
      </w:tr>
      <w:tr>
        <w:tc>
          <w:tcPr>
            <w:tcW w:type="dxa" w:w="18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&lt; 5,000</w:t>
            </w:r>
          </w:p>
        </w:tc>
        <w:tc>
          <w:tcPr>
            <w:tcW w:type="dxa" w:w="17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Manager or Founder</w:t>
            </w:r>
          </w:p>
        </w:tc>
        <w:tc>
          <w:tcPr>
            <w:tcW w:type="dxa" w:w="18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None (documented rationale)</w:t>
            </w:r>
          </w:p>
        </w:tc>
        <w:tc>
          <w:tcPr>
            <w:tcW w:type="dxa" w:w="22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Not required</w:t>
            </w:r>
          </w:p>
        </w:tc>
      </w:tr>
      <w:tr>
        <w:tc>
          <w:tcPr>
            <w:tcW w:type="dxa" w:w="18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5,000 – 10,000</w:t>
            </w:r>
          </w:p>
        </w:tc>
        <w:tc>
          <w:tcPr>
            <w:tcW w:type="dxa" w:w="17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Founder</w:t>
            </w:r>
          </w:p>
        </w:tc>
        <w:tc>
          <w:tcPr>
            <w:tcW w:type="dxa" w:w="18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1 quote minimum</w:t>
            </w:r>
          </w:p>
        </w:tc>
        <w:tc>
          <w:tcPr>
            <w:tcW w:type="dxa" w:w="22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Founder sign-off on invoice</w:t>
            </w:r>
          </w:p>
        </w:tc>
      </w:tr>
      <w:tr>
        <w:tc>
          <w:tcPr>
            <w:tcW w:type="dxa" w:w="18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10,001 – 50,000</w:t>
            </w:r>
          </w:p>
        </w:tc>
        <w:tc>
          <w:tcPr>
            <w:tcW w:type="dxa" w:w="17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Founder</w:t>
            </w:r>
          </w:p>
        </w:tc>
        <w:tc>
          <w:tcPr>
            <w:tcW w:type="dxa" w:w="18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2 competitive written quotes</w:t>
            </w:r>
          </w:p>
        </w:tc>
        <w:tc>
          <w:tcPr>
            <w:tcW w:type="dxa" w:w="22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Founder sign-off on contract</w:t>
            </w:r>
          </w:p>
        </w:tc>
      </w:tr>
      <w:tr>
        <w:tc>
          <w:tcPr>
            <w:tcW w:type="dxa" w:w="18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50,001 – 250,000</w:t>
            </w:r>
          </w:p>
        </w:tc>
        <w:tc>
          <w:tcPr>
            <w:tcW w:type="dxa" w:w="17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Founder + Board Notification</w:t>
            </w:r>
          </w:p>
        </w:tc>
        <w:tc>
          <w:tcPr>
            <w:tcW w:type="dxa" w:w="18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3 competitive written quotes</w:t>
            </w:r>
          </w:p>
        </w:tc>
        <w:tc>
          <w:tcPr>
            <w:tcW w:type="dxa" w:w="22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Legal review recommended</w:t>
            </w:r>
          </w:p>
        </w:tc>
      </w:tr>
      <w:tr>
        <w:tc>
          <w:tcPr>
            <w:tcW w:type="dxa" w:w="18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&gt; 250,000</w:t>
            </w:r>
          </w:p>
        </w:tc>
        <w:tc>
          <w:tcPr>
            <w:tcW w:type="dxa" w:w="17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Board Approval (resolution)</w:t>
            </w:r>
          </w:p>
        </w:tc>
        <w:tc>
          <w:tcPr>
            <w:tcW w:type="dxa" w:w="18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Formal RFP process required</w:t>
            </w:r>
          </w:p>
        </w:tc>
        <w:tc>
          <w:tcPr>
            <w:tcW w:type="dxa" w:w="22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Mandatory legal review</w:t>
            </w:r>
          </w:p>
        </w:tc>
      </w:tr>
    </w:tbl>
    <w:p>
      <w:pPr>
        <w:spacing w:after="120" w:before="240"/>
      </w:pPr>
      <w:r>
        <w:rPr>
          <w:rFonts w:ascii="Arial" w:cs="Arial" w:eastAsia="Arial" w:hAnsi="Arial"/>
          <w:b/>
          <w:bCs/>
          <w:color w:val="2D6E8A"/>
          <w:sz w:val="28"/>
          <w:szCs w:val="28"/>
        </w:rPr>
        <w:t xml:space="preserve">3. Vendor Selection Process</w:t>
      </w:r>
    </w:p>
    <w:p>
      <w:pPr>
        <w:spacing w:after="80" w:before="200"/>
      </w:pPr>
      <w:r>
        <w:rPr>
          <w:rFonts w:ascii="Arial" w:cs="Arial" w:eastAsia="Arial" w:hAnsi="Arial"/>
          <w:b/>
          <w:bCs/>
          <w:color w:val="0A0E12"/>
          <w:sz w:val="24"/>
          <w:szCs w:val="24"/>
        </w:rPr>
        <w:t xml:space="preserve">3.1 Quote Collection</w:t>
      </w:r>
    </w:p>
    <w:p>
      <w:pPr>
        <w:spacing w:after="60" w:before="60"/>
      </w:pPr>
      <w:r>
        <w:rPr>
          <w:rFonts w:ascii="Arial" w:cs="Arial" w:eastAsia="Arial" w:hAnsi="Arial"/>
          <w:color w:val="0A0E12"/>
          <w:sz w:val="22"/>
          <w:szCs w:val="22"/>
        </w:rPr>
        <w:t xml:space="preserve">For contracts ≥ 10,000 SAR: at least 2 written quotes on supplier letterhead. For ≥ 50,000 SAR: 3 quotes. For ≥ 250,000 SAR: formal RFP with defined scope, evaluation criteria, response deadline, and scoring rubric.</w:t>
      </w:r>
    </w:p>
    <w:p>
      <w:pPr>
        <w:spacing w:after="80" w:before="200"/>
      </w:pPr>
      <w:r>
        <w:rPr>
          <w:rFonts w:ascii="Arial" w:cs="Arial" w:eastAsia="Arial" w:hAnsi="Arial"/>
          <w:b/>
          <w:bCs/>
          <w:color w:val="0A0E12"/>
          <w:sz w:val="24"/>
          <w:szCs w:val="24"/>
        </w:rPr>
        <w:t xml:space="preserve">3.2 Evaluation Criteria</w:t>
      </w:r>
    </w:p>
    <w:p>
      <w:pPr>
        <w:spacing w:after="60" w:before="60"/>
      </w:pPr>
      <w:r>
        <w:rPr>
          <w:rFonts w:ascii="Arial" w:cs="Arial" w:eastAsia="Arial" w:hAnsi="Arial"/>
          <w:color w:val="0A0E12"/>
          <w:sz w:val="22"/>
          <w:szCs w:val="22"/>
        </w:rPr>
        <w:t xml:space="preserve">Evaluations consider: technical capability and track record, pricing and payment terms, delivery timeline, references from comparable clients, data security posture (critical for PDPL compliance if vendor handles personal data), and regulatory certifications.</w:t>
      </w:r>
    </w:p>
    <w:p>
      <w:pPr>
        <w:spacing w:after="120" w:before="240"/>
      </w:pPr>
      <w:r>
        <w:rPr>
          <w:rFonts w:ascii="Arial" w:cs="Arial" w:eastAsia="Arial" w:hAnsi="Arial"/>
          <w:b/>
          <w:bCs/>
          <w:color w:val="2D6E8A"/>
          <w:sz w:val="28"/>
          <w:szCs w:val="28"/>
        </w:rPr>
        <w:t xml:space="preserve">4. Vendor Onboarding &amp; KYC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shd w:fill="2D6E8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Document</w:t>
            </w:r>
          </w:p>
        </w:tc>
        <w:tc>
          <w:tcPr>
            <w:tcW w:type="dxa" w:w="1300"/>
            <w:shd w:fill="2D6E8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Saudi Vendor</w:t>
            </w:r>
          </w:p>
        </w:tc>
        <w:tc>
          <w:tcPr>
            <w:tcW w:type="dxa" w:w="1500"/>
            <w:shd w:fill="2D6E8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Foreign Vendor</w:t>
            </w:r>
          </w:p>
        </w:tc>
        <w:tc>
          <w:tcPr>
            <w:tcW w:type="dxa" w:w="2000"/>
            <w:shd w:fill="2D6E8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Purpose</w:t>
            </w:r>
          </w:p>
        </w:tc>
      </w:tr>
      <w:tr>
        <w:tc>
          <w:tcPr>
            <w:tcW w:type="dxa" w:w="22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Commercial Registration (CR)</w:t>
            </w:r>
          </w:p>
        </w:tc>
        <w:tc>
          <w:tcPr>
            <w:tcW w:type="dxa" w:w="13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Mandatory — valid copy</w:t>
            </w:r>
          </w:p>
        </w:tc>
        <w:tc>
          <w:tcPr>
            <w:tcW w:type="dxa" w:w="15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Equivalent certificate</w:t>
            </w:r>
          </w:p>
        </w:tc>
        <w:tc>
          <w:tcPr>
            <w:tcW w:type="dxa" w:w="20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Legal identity verification</w:t>
            </w:r>
          </w:p>
        </w:tc>
      </w:tr>
      <w:tr>
        <w:tc>
          <w:tcPr>
            <w:tcW w:type="dxa" w:w="22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MISA License</w:t>
            </w:r>
          </w:p>
        </w:tc>
        <w:tc>
          <w:tcPr>
            <w:tcW w:type="dxa" w:w="13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If foreign-owned KSA entity</w:t>
            </w:r>
          </w:p>
        </w:tc>
        <w:tc>
          <w:tcPr>
            <w:tcW w:type="dxa" w:w="15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Mandatory if KSA physical presence</w:t>
            </w:r>
          </w:p>
        </w:tc>
        <w:tc>
          <w:tcPr>
            <w:tcW w:type="dxa" w:w="20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Operating license</w:t>
            </w:r>
          </w:p>
        </w:tc>
      </w:tr>
      <w:tr>
        <w:tc>
          <w:tcPr>
            <w:tcW w:type="dxa" w:w="22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Bank Account Confirmation Letter</w:t>
            </w:r>
          </w:p>
        </w:tc>
        <w:tc>
          <w:tcPr>
            <w:tcW w:type="dxa" w:w="13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Mandatory</w:t>
            </w:r>
          </w:p>
        </w:tc>
        <w:tc>
          <w:tcPr>
            <w:tcW w:type="dxa" w:w="15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Mandatory</w:t>
            </w:r>
          </w:p>
        </w:tc>
        <w:tc>
          <w:tcPr>
            <w:tcW w:type="dxa" w:w="20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Prevent payment fraud</w:t>
            </w:r>
          </w:p>
        </w:tc>
      </w:tr>
      <w:tr>
        <w:tc>
          <w:tcPr>
            <w:tcW w:type="dxa" w:w="22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ZATCA VAT Certificate</w:t>
            </w:r>
          </w:p>
        </w:tc>
        <w:tc>
          <w:tcPr>
            <w:tcW w:type="dxa" w:w="13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Mandatory if VAT-registered</w:t>
            </w:r>
          </w:p>
        </w:tc>
        <w:tc>
          <w:tcPr>
            <w:tcW w:type="dxa" w:w="15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N/A</w:t>
            </w:r>
          </w:p>
        </w:tc>
        <w:tc>
          <w:tcPr>
            <w:tcW w:type="dxa" w:w="20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VAT input recovery</w:t>
            </w:r>
          </w:p>
        </w:tc>
      </w:tr>
      <w:tr>
        <w:tc>
          <w:tcPr>
            <w:tcW w:type="dxa" w:w="22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Sanctions Screening (OFAC, UN, Saudi)</w:t>
            </w:r>
          </w:p>
        </w:tc>
        <w:tc>
          <w:tcPr>
            <w:tcW w:type="dxa" w:w="13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Mandatory</w:t>
            </w:r>
          </w:p>
        </w:tc>
        <w:tc>
          <w:tcPr>
            <w:tcW w:type="dxa" w:w="15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Mandatory</w:t>
            </w:r>
          </w:p>
        </w:tc>
        <w:tc>
          <w:tcPr>
            <w:tcW w:type="dxa" w:w="20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AML/CFT compliance</w:t>
            </w:r>
          </w:p>
        </w:tc>
      </w:tr>
      <w:tr>
        <w:tc>
          <w:tcPr>
            <w:tcW w:type="dxa" w:w="22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PDPL Data Processing Agreement (DPA)</w:t>
            </w:r>
          </w:p>
        </w:tc>
        <w:tc>
          <w:tcPr>
            <w:tcW w:type="dxa" w:w="13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Required if processing personal data</w:t>
            </w:r>
          </w:p>
        </w:tc>
        <w:tc>
          <w:tcPr>
            <w:tcW w:type="dxa" w:w="15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Required if processing personal data</w:t>
            </w:r>
          </w:p>
        </w:tc>
        <w:tc>
          <w:tcPr>
            <w:tcW w:type="dxa" w:w="20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PDPL Article 29 obligation</w:t>
            </w:r>
          </w:p>
        </w:tc>
      </w:tr>
      <w:tr>
        <w:tc>
          <w:tcPr>
            <w:tcW w:type="dxa" w:w="22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WHT Classification (W-8BEN / equivalent)</w:t>
            </w:r>
          </w:p>
        </w:tc>
        <w:tc>
          <w:tcPr>
            <w:tcW w:type="dxa" w:w="13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N/A</w:t>
            </w:r>
          </w:p>
        </w:tc>
        <w:tc>
          <w:tcPr>
            <w:tcW w:type="dxa" w:w="15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Required before first payment</w:t>
            </w:r>
          </w:p>
        </w:tc>
        <w:tc>
          <w:tcPr>
            <w:tcW w:type="dxa" w:w="20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Saudi WHT compliance</w:t>
            </w:r>
          </w:p>
        </w:tc>
      </w:tr>
    </w:tbl>
    <w:p>
      <w:pPr>
        <w:spacing w:after="120" w:before="240"/>
      </w:pPr>
      <w:r>
        <w:rPr>
          <w:rFonts w:ascii="Arial" w:cs="Arial" w:eastAsia="Arial" w:hAnsi="Arial"/>
          <w:b/>
          <w:bCs/>
          <w:color w:val="2D6E8A"/>
          <w:sz w:val="28"/>
          <w:szCs w:val="28"/>
        </w:rPr>
        <w:t xml:space="preserve">5. Preferred Vendors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500"/>
            <w:shd w:fill="2D6E8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Category</w:t>
            </w:r>
          </w:p>
        </w:tc>
        <w:tc>
          <w:tcPr>
            <w:tcW w:type="dxa" w:w="2400"/>
            <w:shd w:fill="2D6E8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Preferred Vendor</w:t>
            </w:r>
          </w:p>
        </w:tc>
        <w:tc>
          <w:tcPr>
            <w:tcW w:type="dxa" w:w="3100"/>
            <w:shd w:fill="2D6E8A"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Rationale</w:t>
            </w:r>
          </w:p>
        </w:tc>
      </w:tr>
      <w:tr>
        <w:tc>
          <w:tcPr>
            <w:tcW w:type="dxa" w:w="15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Cloud Infrastructure</w:t>
            </w:r>
          </w:p>
        </w:tc>
        <w:tc>
          <w:tcPr>
            <w:tcW w:type="dxa" w:w="24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Google Cloud Platform (me-central2 region)</w:t>
            </w:r>
          </w:p>
        </w:tc>
        <w:tc>
          <w:tcPr>
            <w:tcW w:type="dxa" w:w="31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Existing Gemini API + Firebase integration; KSA data residency available</w:t>
            </w:r>
          </w:p>
        </w:tc>
      </w:tr>
      <w:tr>
        <w:tc>
          <w:tcPr>
            <w:tcW w:type="dxa" w:w="15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Payment Processing</w:t>
            </w:r>
          </w:p>
        </w:tc>
        <w:tc>
          <w:tcPr>
            <w:tcW w:type="dxa" w:w="24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Moyasar</w:t>
            </w:r>
          </w:p>
        </w:tc>
        <w:tc>
          <w:tcPr>
            <w:tcW w:type="dxa" w:w="31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Saudi-licensed PSP; supports mada, Visa, Mastercard; ZATCA-compliant receipts</w:t>
            </w:r>
          </w:p>
        </w:tc>
      </w:tr>
      <w:tr>
        <w:tc>
          <w:tcPr>
            <w:tcW w:type="dxa" w:w="15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Legal Counsel</w:t>
            </w:r>
          </w:p>
        </w:tc>
        <w:tc>
          <w:tcPr>
            <w:tcW w:type="dxa" w:w="24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Retained Saudi Counsel (cross-ref Legal Policy)</w:t>
            </w:r>
          </w:p>
        </w:tc>
        <w:tc>
          <w:tcPr>
            <w:tcW w:type="dxa" w:w="31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Saudi Bar Association licensed; startup/tech experience required</w:t>
            </w:r>
          </w:p>
        </w:tc>
      </w:tr>
      <w:tr>
        <w:tc>
          <w:tcPr>
            <w:tcW w:type="dxa" w:w="15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Accounting / CFO</w:t>
            </w:r>
          </w:p>
        </w:tc>
        <w:tc>
          <w:tcPr>
            <w:tcW w:type="dxa" w:w="24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Retained CFO firm or fractional CFO (cross-ref Finance Policy)</w:t>
            </w:r>
          </w:p>
        </w:tc>
        <w:tc>
          <w:tcPr>
            <w:tcW w:type="dxa" w:w="31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SOCPA-accredited; IFRS for SMEs expertise mandatory</w:t>
            </w:r>
          </w:p>
        </w:tc>
      </w:tr>
      <w:tr>
        <w:tc>
          <w:tcPr>
            <w:tcW w:type="dxa" w:w="15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HR &amp; GOSI Administration</w:t>
            </w:r>
          </w:p>
        </w:tc>
        <w:tc>
          <w:tcPr>
            <w:tcW w:type="dxa" w:w="24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Mudad + GOSI.gov.sa portal (direct)</w:t>
            </w:r>
          </w:p>
        </w:tc>
        <w:tc>
          <w:tcPr>
            <w:tcW w:type="dxa" w:w="3100"/>
            <w:shd w:fill="F5F2ED" w:val="clear"/>
            <w:tcMar>
              <w:top w:type="dxa" w:w="60"/>
              <w:left w:type="dxa" w:w="100"/>
              <w:bottom w:type="dxa" w:w="60"/>
              <w:right w:type="dxa" w:w="100"/>
            </w:tcMar>
          </w:tcPr>
          <w:p>
            <w:pPr>
              <w:spacing w:after="0" w:before="0"/>
            </w:pPr>
            <w:r>
              <w:rPr>
                <w:rFonts w:ascii="Arial" w:cs="Arial" w:eastAsia="Arial" w:hAnsi="Arial"/>
                <w:color w:val="0A0E12"/>
                <w:sz w:val="22"/>
                <w:szCs w:val="22"/>
              </w:rPr>
              <w:t xml:space="preserve">Mandatory government portal; no intermediary required</w:t>
            </w:r>
          </w:p>
        </w:tc>
      </w:tr>
    </w:tbl>
    <w:p>
      <w:pPr>
        <w:spacing w:after="120" w:before="240"/>
      </w:pPr>
      <w:r>
        <w:rPr>
          <w:rFonts w:ascii="Arial" w:cs="Arial" w:eastAsia="Arial" w:hAnsi="Arial"/>
          <w:b/>
          <w:bCs/>
          <w:color w:val="2D6E8A"/>
          <w:sz w:val="28"/>
          <w:szCs w:val="28"/>
        </w:rPr>
        <w:t xml:space="preserve">6. Contract Approval Routing</w:t>
      </w:r>
    </w:p>
    <w:p>
      <w:pPr>
        <w:pStyle w:val="ListParagraph"/>
        <w:numPr>
          <w:ilvl w:val="0"/>
          <w:numId w:val="1"/>
        </w:numPr>
        <w:spacing w:after="40" w:before="40"/>
      </w:pPr>
      <w:r>
        <w:rPr>
          <w:rFonts w:ascii="Arial" w:cs="Arial" w:eastAsia="Arial" w:hAnsi="Arial"/>
          <w:color w:val="0A0E12"/>
          <w:sz w:val="22"/>
          <w:szCs w:val="22"/>
        </w:rPr>
        <w:t xml:space="preserve">All contracts &gt; 10,000 SAR must be executed in writing. Email acceptance alone is insufficient.</w:t>
      </w:r>
    </w:p>
    <w:p>
      <w:pPr>
        <w:pStyle w:val="ListParagraph"/>
        <w:numPr>
          <w:ilvl w:val="0"/>
          <w:numId w:val="1"/>
        </w:numPr>
        <w:spacing w:after="40" w:before="40"/>
      </w:pPr>
      <w:r>
        <w:rPr>
          <w:rFonts w:ascii="Arial" w:cs="Arial" w:eastAsia="Arial" w:hAnsi="Arial"/>
          <w:color w:val="0A0E12"/>
          <w:sz w:val="22"/>
          <w:szCs w:val="22"/>
        </w:rPr>
        <w:t xml:space="preserve">Contracts &gt; 100,000 SAR or any multi-year commitment: mandatory legal review before signature.</w:t>
      </w:r>
    </w:p>
    <w:p>
      <w:pPr>
        <w:pStyle w:val="ListParagraph"/>
        <w:numPr>
          <w:ilvl w:val="0"/>
          <w:numId w:val="1"/>
        </w:numPr>
        <w:spacing w:after="40" w:before="40"/>
      </w:pPr>
      <w:r>
        <w:rPr>
          <w:rFonts w:ascii="Arial" w:cs="Arial" w:eastAsia="Arial" w:hAnsi="Arial"/>
          <w:color w:val="0A0E12"/>
          <w:sz w:val="22"/>
          <w:szCs w:val="22"/>
        </w:rPr>
        <w:t xml:space="preserve">Only the Founder (or board-designated authority) may sign contracts on behalf of Fly GACA.</w:t>
      </w:r>
    </w:p>
    <w:p>
      <w:pPr>
        <w:pStyle w:val="ListParagraph"/>
        <w:numPr>
          <w:ilvl w:val="0"/>
          <w:numId w:val="1"/>
        </w:numPr>
        <w:spacing w:after="40" w:before="40"/>
      </w:pPr>
      <w:r>
        <w:rPr>
          <w:rFonts w:ascii="Arial" w:cs="Arial" w:eastAsia="Arial" w:hAnsi="Arial"/>
          <w:color w:val="0A0E12"/>
          <w:sz w:val="22"/>
          <w:szCs w:val="22"/>
        </w:rPr>
        <w:t xml:space="preserve">Contract originals (digital): stored in a designated secure, access-controlled cloud folder. Version history maintained.</w:t>
      </w:r>
    </w:p>
    <w:p>
      <w:pPr>
        <w:spacing w:after="120" w:before="240"/>
      </w:pPr>
      <w:r>
        <w:rPr>
          <w:rFonts w:ascii="Arial" w:cs="Arial" w:eastAsia="Arial" w:hAnsi="Arial"/>
          <w:b/>
          <w:bCs/>
          <w:color w:val="2D6E8A"/>
          <w:sz w:val="28"/>
          <w:szCs w:val="28"/>
        </w:rPr>
        <w:t xml:space="preserve">7. Conflict of Interest</w:t>
      </w:r>
    </w:p>
    <w:p>
      <w:pPr>
        <w:spacing w:after="60" w:before="60"/>
      </w:pPr>
      <w:r>
        <w:rPr>
          <w:rFonts w:ascii="Arial" w:cs="Arial" w:eastAsia="Arial" w:hAnsi="Arial"/>
          <w:color w:val="0A0E12"/>
          <w:sz w:val="22"/>
          <w:szCs w:val="22"/>
        </w:rPr>
        <w:t xml:space="preserve">Any employee with a personal, financial, or family relationship with a prospective vendor must disclose this in writing to the Founder before the vendor evaluation begins. The affected employee is fully recused from the selection process. Failure to disclose is grounds for disciplinary action and potential termination. Disclosures are logged and retained.</w:t>
      </w:r>
    </w:p>
    <w:p>
      <w:pPr>
        <w:spacing w:after="120" w:before="240"/>
      </w:pPr>
      <w:r>
        <w:rPr>
          <w:rFonts w:ascii="Arial" w:cs="Arial" w:eastAsia="Arial" w:hAnsi="Arial"/>
          <w:b/>
          <w:bCs/>
          <w:color w:val="2D6E8A"/>
          <w:sz w:val="28"/>
          <w:szCs w:val="28"/>
        </w:rPr>
        <w:t xml:space="preserve">8. Vendor Performance Review</w:t>
      </w:r>
    </w:p>
    <w:p>
      <w:pPr>
        <w:spacing w:after="60" w:before="60"/>
      </w:pPr>
      <w:r>
        <w:rPr>
          <w:rFonts w:ascii="Arial" w:cs="Arial" w:eastAsia="Arial" w:hAnsi="Arial"/>
          <w:color w:val="0A0E12"/>
          <w:sz w:val="22"/>
          <w:szCs w:val="22"/>
        </w:rPr>
        <w:t xml:space="preserve">Vendors with annual spend &gt; 50,000 SAR are reviewed annually on: quality of delivery, price competitiveness, compliance record, data security posture, responsiveness, and SLA adherence. Reviews are documented. Underperforming vendors receive a formal improvement notice with 30-day cure period before contract termination.</w:t>
      </w:r>
    </w:p>
    <w:p>
      <w:pPr>
        <w:spacing w:after="120" w:before="240"/>
      </w:pPr>
      <w:r>
        <w:rPr>
          <w:rFonts w:ascii="Arial" w:cs="Arial" w:eastAsia="Arial" w:hAnsi="Arial"/>
          <w:b/>
          <w:bCs/>
          <w:color w:val="2D6E8A"/>
          <w:sz w:val="28"/>
          <w:szCs w:val="28"/>
        </w:rPr>
        <w:t xml:space="preserve">9. Vendor Termination</w:t>
      </w:r>
    </w:p>
    <w:p>
      <w:pPr>
        <w:spacing w:after="60" w:before="60"/>
      </w:pPr>
      <w:r>
        <w:rPr>
          <w:rFonts w:ascii="Arial" w:cs="Arial" w:eastAsia="Arial" w:hAnsi="Arial"/>
          <w:color w:val="0A0E12"/>
          <w:sz w:val="22"/>
          <w:szCs w:val="22"/>
        </w:rPr>
        <w:t xml:space="preserve">Termination must comply with contractual notice provisions. Finance confirms all outstanding invoices are settled or formally disputed before closure. Vendor-held Fly GACA data must be returned or securely destroyed per contract and PDPL obligations within 30 days of termination. Written confirmation of data destruction required.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Fly GACA  ·  Finance  ·  Confidential          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A0E1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2026-05-05T03:34:26.464Z</dcterms:created>
  <dcterms:modified xsi:type="dcterms:W3CDTF">2026-05-05T03:34:26.464Z</dcterms:modified>
</cp:coreProperties>
</file>

<file path=docProps/custom.xml><?xml version="1.0" encoding="utf-8"?>
<Properties xmlns="http://schemas.openxmlformats.org/officeDocument/2006/custom-properties" xmlns:vt="http://schemas.openxmlformats.org/officeDocument/2006/docPropsVTypes"/>
</file>