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E8A" w:val="clear"/>
            <w:tcMar>
              <w:top w:type="dxa" w:w="320"/>
              <w:left w:type="dxa" w:w="360"/>
              <w:bottom w:type="dxa" w:w="200"/>
              <w:right w:type="dxa" w:w="360"/>
            </w:tcMar>
          </w:tcPr>
          <w:p>
            <w:pPr>
              <w:spacing w:after="80"/>
            </w:pPr>
            <w:r>
              <w:rPr>
                <w:rFonts w:ascii="Arial" w:cs="Arial" w:eastAsia="Arial" w:hAnsi="Arial"/>
                <w:b/>
                <w:bCs/>
                <w:color w:val="FFFFFF"/>
                <w:sz w:val="48"/>
                <w:szCs w:val="48"/>
              </w:rPr>
              <w:t xml:space="preserve">Information Security Policy</w:t>
            </w:r>
          </w:p>
          <w:p>
            <w:r>
              <w:rPr>
                <w:rFonts w:ascii="Arial" w:cs="Arial" w:eastAsia="Arial" w:hAnsi="Arial"/>
                <w:color w:val="F5F2ED"/>
                <w:sz w:val="24"/>
                <w:szCs w:val="24"/>
              </w:rPr>
              <w:t xml:space="preserve">Fly GACA — ISP v1.0 — May 2026</w:t>
            </w:r>
          </w:p>
        </w:tc>
      </w:tr>
    </w:tbl>
    <w:p>
      <w:r>
        <w:t xml:space="preserve"/>
      </w:r>
    </w:p>
    <w:p>
      <w:pPr>
        <w:pBdr>
          <w:bottom w:val="single" w:color="C8A04A" w:sz="6"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Adel Yahya A. Madkhali (Founder / acting CISO)</w:t>
            </w:r>
          </w:p>
        </w:tc>
      </w:tr>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1.0</w:t>
            </w:r>
          </w:p>
        </w:tc>
      </w:tr>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1 May 2026</w:t>
            </w:r>
          </w:p>
        </w:tc>
      </w:tr>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Annual (or on material system change)</w:t>
            </w:r>
          </w:p>
        </w:tc>
      </w:tr>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Internal — share only with staff, advisors, and investors under NDA</w:t>
            </w:r>
          </w:p>
        </w:tc>
      </w:tr>
    </w:tbl>
    <w:p>
      <w:r>
        <w:t xml:space="preserve"/>
      </w:r>
    </w:p>
    <w:p>
      <w:r>
        <w:t xml:space="preserve"/>
      </w:r>
    </w:p>
    <w:p>
      <w:pPr>
        <w:pStyle w:val="Heading1"/>
        <w:spacing w:after="120" w:before="280"/>
      </w:pPr>
      <w:r>
        <w:rPr>
          <w:rFonts w:ascii="Arial" w:cs="Arial" w:eastAsia="Arial" w:hAnsi="Arial"/>
          <w:b/>
          <w:bCs/>
          <w:color w:val="2D6E8A"/>
          <w:sz w:val="28"/>
          <w:szCs w:val="28"/>
        </w:rPr>
        <w:t xml:space="preserve">1. Purpose &amp; Scope</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This Information Security Policy (ISP) establishes the minimum-security requirements for all information assets owned, processed, or transmitted by Fly GACA. It applies to the founder, all future employees, contractors, advisors, and third-party service providers with access to Fly GACA systems or data.</w:t>
      </w:r>
    </w:p>
    <w:p>
      <w:pPr>
        <w:spacing w:after="60" w:before="60"/>
        <w:jc w:val="left"/>
      </w:pPr>
      <w:r>
        <w:rPr>
          <w:rFonts w:ascii="Arial" w:cs="Arial" w:eastAsia="Arial" w:hAnsi="Arial"/>
          <w:b w:val="false"/>
          <w:bCs w:val="false"/>
          <w:i w:val="false"/>
          <w:iCs w:val="false"/>
          <w:color w:val="0A0E12"/>
          <w:sz w:val="22"/>
          <w:szCs w:val="22"/>
        </w:rPr>
        <w:t xml:space="preserve">Fly GACA processes personal data of Saudi student pilots and working pilots under the Saudi Personal Data Protection Law (PDPL, Royal Decree M/19). Protecting this data is both a legal obligation and a commercial trust requirement.</w:t>
      </w:r>
    </w:p>
    <w:p>
      <w:pPr>
        <w:pStyle w:val="Heading1"/>
        <w:spacing w:after="120" w:before="280"/>
      </w:pPr>
      <w:r>
        <w:rPr>
          <w:rFonts w:ascii="Arial" w:cs="Arial" w:eastAsia="Arial" w:hAnsi="Arial"/>
          <w:b/>
          <w:bCs/>
          <w:color w:val="2D6E8A"/>
          <w:sz w:val="28"/>
          <w:szCs w:val="28"/>
        </w:rPr>
        <w:t xml:space="preserve">2. Roles &amp; Responsibilities</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2.1 Acting CISO</w:t>
      </w:r>
    </w:p>
    <w:p>
      <w:pPr>
        <w:spacing w:after="60" w:before="60"/>
        <w:jc w:val="left"/>
      </w:pPr>
      <w:r>
        <w:rPr>
          <w:rFonts w:ascii="Arial" w:cs="Arial" w:eastAsia="Arial" w:hAnsi="Arial"/>
          <w:b w:val="false"/>
          <w:bCs w:val="false"/>
          <w:i w:val="false"/>
          <w:iCs w:val="false"/>
          <w:color w:val="0A0E12"/>
          <w:sz w:val="22"/>
          <w:szCs w:val="22"/>
        </w:rPr>
        <w:t xml:space="preserve">Until a COO or Head of Engineering is hired (expected Month 8–10), the founder (Captain Adel Yahya A. Madkhali) serves as acting CISO. Responsibilities: policy ownership, vendor security review, incident response coordination, and annual review sign-off.</w:t>
      </w:r>
    </w:p>
    <w:p>
      <w:pPr>
        <w:pStyle w:val="Heading2"/>
        <w:spacing w:after="80" w:before="200"/>
      </w:pPr>
      <w:r>
        <w:rPr>
          <w:rFonts w:ascii="Arial" w:cs="Arial" w:eastAsia="Arial" w:hAnsi="Arial"/>
          <w:b/>
          <w:bCs/>
          <w:color w:val="0A0E12"/>
          <w:sz w:val="24"/>
          <w:szCs w:val="24"/>
        </w:rPr>
        <w:t xml:space="preserve">2.2 All Staff</w:t>
      </w:r>
    </w:p>
    <w:p>
      <w:pPr>
        <w:pStyle w:val="ListParagraph"/>
        <w:numPr>
          <w:ilvl w:val="0"/>
          <w:numId w:val="2"/>
        </w:numPr>
        <w:spacing w:after="40" w:before="40"/>
      </w:pPr>
      <w:r>
        <w:rPr>
          <w:rFonts w:ascii="Arial" w:cs="Arial" w:eastAsia="Arial" w:hAnsi="Arial"/>
          <w:color w:val="0A0E12"/>
          <w:sz w:val="22"/>
          <w:szCs w:val="22"/>
        </w:rPr>
        <w:t xml:space="preserve">Complete annual security awareness training.</w:t>
      </w:r>
    </w:p>
    <w:p>
      <w:pPr>
        <w:pStyle w:val="ListParagraph"/>
        <w:numPr>
          <w:ilvl w:val="0"/>
          <w:numId w:val="2"/>
        </w:numPr>
        <w:spacing w:after="40" w:before="40"/>
      </w:pPr>
      <w:r>
        <w:rPr>
          <w:rFonts w:ascii="Arial" w:cs="Arial" w:eastAsia="Arial" w:hAnsi="Arial"/>
          <w:color w:val="0A0E12"/>
          <w:sz w:val="22"/>
          <w:szCs w:val="22"/>
        </w:rPr>
        <w:t xml:space="preserve">Report suspected incidents within 2 hours of discovery.</w:t>
      </w:r>
    </w:p>
    <w:p>
      <w:pPr>
        <w:pStyle w:val="ListParagraph"/>
        <w:numPr>
          <w:ilvl w:val="0"/>
          <w:numId w:val="2"/>
        </w:numPr>
        <w:spacing w:after="40" w:before="40"/>
      </w:pPr>
      <w:r>
        <w:rPr>
          <w:rFonts w:ascii="Arial" w:cs="Arial" w:eastAsia="Arial" w:hAnsi="Arial"/>
          <w:color w:val="0A0E12"/>
          <w:sz w:val="22"/>
          <w:szCs w:val="22"/>
        </w:rPr>
        <w:t xml:space="preserve">Not share credentials or bypass access controls.</w:t>
      </w:r>
    </w:p>
    <w:p>
      <w:pPr>
        <w:pStyle w:val="ListParagraph"/>
        <w:numPr>
          <w:ilvl w:val="0"/>
          <w:numId w:val="2"/>
        </w:numPr>
        <w:spacing w:after="40" w:before="40"/>
      </w:pPr>
      <w:r>
        <w:rPr>
          <w:rFonts w:ascii="Arial" w:cs="Arial" w:eastAsia="Arial" w:hAnsi="Arial"/>
          <w:color w:val="0A0E12"/>
          <w:sz w:val="22"/>
          <w:szCs w:val="22"/>
        </w:rPr>
        <w:t xml:space="preserve">Lock workstations when unattended.</w:t>
      </w:r>
    </w:p>
    <w:p>
      <w:pPr>
        <w:pStyle w:val="Heading2"/>
        <w:spacing w:after="80" w:before="200"/>
      </w:pPr>
      <w:r>
        <w:rPr>
          <w:rFonts w:ascii="Arial" w:cs="Arial" w:eastAsia="Arial" w:hAnsi="Arial"/>
          <w:b/>
          <w:bCs/>
          <w:color w:val="0A0E12"/>
          <w:sz w:val="24"/>
          <w:szCs w:val="24"/>
        </w:rPr>
        <w:t xml:space="preserve">2.3 Third-party Processors</w:t>
      </w:r>
    </w:p>
    <w:p>
      <w:pPr>
        <w:spacing w:after="60" w:before="60"/>
        <w:jc w:val="left"/>
      </w:pPr>
      <w:r>
        <w:rPr>
          <w:rFonts w:ascii="Arial" w:cs="Arial" w:eastAsia="Arial" w:hAnsi="Arial"/>
          <w:b w:val="false"/>
          <w:bCs w:val="false"/>
          <w:i w:val="false"/>
          <w:iCs w:val="false"/>
          <w:color w:val="0A0E12"/>
          <w:sz w:val="22"/>
          <w:szCs w:val="22"/>
        </w:rPr>
        <w:t xml:space="preserve">Vendors with access to personal data must sign a Data Processing Agreement (DPA) and complete a Fly GACA vendor security questionnaire before onboarding.</w:t>
      </w:r>
    </w:p>
    <w:p>
      <w:pPr>
        <w:pStyle w:val="Heading1"/>
        <w:spacing w:after="120" w:before="280"/>
      </w:pPr>
      <w:r>
        <w:rPr>
          <w:rFonts w:ascii="Arial" w:cs="Arial" w:eastAsia="Arial" w:hAnsi="Arial"/>
          <w:b/>
          <w:bCs/>
          <w:color w:val="2D6E8A"/>
          <w:sz w:val="28"/>
          <w:szCs w:val="28"/>
        </w:rPr>
        <w:t xml:space="preserve">3. Asset Classification</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All information assets are classified into one of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4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Public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Approved for unrestricted external disclosure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Website, marketing copy, public docs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Internal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Internal operational use only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Meeting notes, roadmap drafts, vendor contracts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Confidential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Restricted to authorised roles; NDA required for external sharing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Investor materials, cap table, financial model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Restricted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Highest sensitivity; access logged and approved by CISO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User PII, API keys, authentication secrets, production DB</w:t>
            </w:r>
          </w:p>
        </w:tc>
      </w:tr>
    </w:tbl>
    <w:p>
      <w:pPr>
        <w:pStyle w:val="Heading1"/>
        <w:spacing w:after="120" w:before="280"/>
      </w:pPr>
      <w:r>
        <w:rPr>
          <w:rFonts w:ascii="Arial" w:cs="Arial" w:eastAsia="Arial" w:hAnsi="Arial"/>
          <w:b/>
          <w:bCs/>
          <w:color w:val="2D6E8A"/>
          <w:sz w:val="28"/>
          <w:szCs w:val="28"/>
        </w:rPr>
        <w:t xml:space="preserve">4. Access Control</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Least privilege: grant minimum permissions required for the role.</w:t>
      </w:r>
    </w:p>
    <w:p>
      <w:pPr>
        <w:pStyle w:val="ListParagraph"/>
        <w:numPr>
          <w:ilvl w:val="0"/>
          <w:numId w:val="2"/>
        </w:numPr>
        <w:spacing w:after="40" w:before="40"/>
      </w:pPr>
      <w:r>
        <w:rPr>
          <w:rFonts w:ascii="Arial" w:cs="Arial" w:eastAsia="Arial" w:hAnsi="Arial"/>
          <w:color w:val="0A0E12"/>
          <w:sz w:val="22"/>
          <w:szCs w:val="22"/>
        </w:rPr>
        <w:t xml:space="preserve">Role-based access control (RBAC) enforced in Firebase and Google Cloud IAM.</w:t>
      </w:r>
    </w:p>
    <w:p>
      <w:pPr>
        <w:pStyle w:val="ListParagraph"/>
        <w:numPr>
          <w:ilvl w:val="0"/>
          <w:numId w:val="2"/>
        </w:numPr>
        <w:spacing w:after="40" w:before="40"/>
      </w:pPr>
      <w:r>
        <w:rPr>
          <w:rFonts w:ascii="Arial" w:cs="Arial" w:eastAsia="Arial" w:hAnsi="Arial"/>
          <w:color w:val="0A0E12"/>
          <w:sz w:val="22"/>
          <w:szCs w:val="22"/>
        </w:rPr>
        <w:t xml:space="preserve">Access rights reviewed quarterly; deprovisioned within 24 hours of role change or departure.</w:t>
      </w:r>
    </w:p>
    <w:p>
      <w:pPr>
        <w:pStyle w:val="ListParagraph"/>
        <w:numPr>
          <w:ilvl w:val="0"/>
          <w:numId w:val="2"/>
        </w:numPr>
        <w:spacing w:after="40" w:before="40"/>
      </w:pPr>
      <w:r>
        <w:rPr>
          <w:rFonts w:ascii="Arial" w:cs="Arial" w:eastAsia="Arial" w:hAnsi="Arial"/>
          <w:color w:val="0A0E12"/>
          <w:sz w:val="22"/>
          <w:szCs w:val="22"/>
        </w:rPr>
        <w:t xml:space="preserve">Production environment access restricted to engineers; no shared service accounts.</w:t>
      </w:r>
    </w:p>
    <w:p>
      <w:pPr>
        <w:pStyle w:val="ListParagraph"/>
        <w:numPr>
          <w:ilvl w:val="0"/>
          <w:numId w:val="2"/>
        </w:numPr>
        <w:spacing w:after="40" w:before="40"/>
      </w:pPr>
      <w:r>
        <w:rPr>
          <w:rFonts w:ascii="Arial" w:cs="Arial" w:eastAsia="Arial" w:hAnsi="Arial"/>
          <w:color w:val="0A0E12"/>
          <w:sz w:val="22"/>
          <w:szCs w:val="22"/>
        </w:rPr>
        <w:t xml:space="preserve">All privileged access (Firebase console, GCP console, Moyasar dashboard) requires MFA.</w:t>
      </w:r>
    </w:p>
    <w:p>
      <w:pPr>
        <w:pStyle w:val="Heading1"/>
        <w:spacing w:after="120" w:before="280"/>
      </w:pPr>
      <w:r>
        <w:rPr>
          <w:rFonts w:ascii="Arial" w:cs="Arial" w:eastAsia="Arial" w:hAnsi="Arial"/>
          <w:b/>
          <w:bCs/>
          <w:color w:val="2D6E8A"/>
          <w:sz w:val="28"/>
          <w:szCs w:val="28"/>
        </w:rPr>
        <w:t xml:space="preserve">5. Authentication Standards</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Firebase Authentication used for all end-user accounts.</w:t>
      </w:r>
    </w:p>
    <w:p>
      <w:pPr>
        <w:pStyle w:val="ListParagraph"/>
        <w:numPr>
          <w:ilvl w:val="0"/>
          <w:numId w:val="2"/>
        </w:numPr>
        <w:spacing w:after="40" w:before="40"/>
      </w:pPr>
      <w:r>
        <w:rPr>
          <w:rFonts w:ascii="Arial" w:cs="Arial" w:eastAsia="Arial" w:hAnsi="Arial"/>
          <w:color w:val="0A0E12"/>
          <w:sz w:val="22"/>
          <w:szCs w:val="22"/>
        </w:rPr>
        <w:t xml:space="preserve">Admin and developer accounts: MFA mandatory (TOTP or hardware key).</w:t>
      </w:r>
    </w:p>
    <w:p>
      <w:pPr>
        <w:pStyle w:val="ListParagraph"/>
        <w:numPr>
          <w:ilvl w:val="0"/>
          <w:numId w:val="2"/>
        </w:numPr>
        <w:spacing w:after="40" w:before="40"/>
      </w:pPr>
      <w:r>
        <w:rPr>
          <w:rFonts w:ascii="Arial" w:cs="Arial" w:eastAsia="Arial" w:hAnsi="Arial"/>
          <w:color w:val="0A0E12"/>
          <w:sz w:val="22"/>
          <w:szCs w:val="22"/>
        </w:rPr>
        <w:t xml:space="preserve">Password minimum: 12 characters, mixed case + digit + symbol.</w:t>
      </w:r>
    </w:p>
    <w:p>
      <w:pPr>
        <w:pStyle w:val="ListParagraph"/>
        <w:numPr>
          <w:ilvl w:val="0"/>
          <w:numId w:val="2"/>
        </w:numPr>
        <w:spacing w:after="40" w:before="40"/>
      </w:pPr>
      <w:r>
        <w:rPr>
          <w:rFonts w:ascii="Arial" w:cs="Arial" w:eastAsia="Arial" w:hAnsi="Arial"/>
          <w:color w:val="0A0E12"/>
          <w:sz w:val="22"/>
          <w:szCs w:val="22"/>
        </w:rPr>
        <w:t xml:space="preserve">No shared accounts permitted under any circumstances.</w:t>
      </w:r>
    </w:p>
    <w:p>
      <w:pPr>
        <w:pStyle w:val="ListParagraph"/>
        <w:numPr>
          <w:ilvl w:val="0"/>
          <w:numId w:val="2"/>
        </w:numPr>
        <w:spacing w:after="40" w:before="40"/>
      </w:pPr>
      <w:r>
        <w:rPr>
          <w:rFonts w:ascii="Arial" w:cs="Arial" w:eastAsia="Arial" w:hAnsi="Arial"/>
          <w:color w:val="0A0E12"/>
          <w:sz w:val="22"/>
          <w:szCs w:val="22"/>
        </w:rPr>
        <w:t xml:space="preserve">Service-to-service auth via short-lived tokens (Firebase ID tokens, GCP service account keys rotated annually).</w:t>
      </w:r>
    </w:p>
    <w:p>
      <w:pPr>
        <w:pStyle w:val="ListParagraph"/>
        <w:numPr>
          <w:ilvl w:val="0"/>
          <w:numId w:val="2"/>
        </w:numPr>
        <w:spacing w:after="40" w:before="40"/>
      </w:pPr>
      <w:r>
        <w:rPr>
          <w:rFonts w:ascii="Arial" w:cs="Arial" w:eastAsia="Arial" w:hAnsi="Arial"/>
          <w:color w:val="0A0E12"/>
          <w:sz w:val="22"/>
          <w:szCs w:val="22"/>
        </w:rPr>
        <w:t xml:space="preserve">Compromised credentials must be rotated within 1 hour of discovery.</w:t>
      </w:r>
    </w:p>
    <w:p>
      <w:pPr>
        <w:pStyle w:val="Heading1"/>
        <w:spacing w:after="120" w:before="280"/>
      </w:pPr>
      <w:r>
        <w:rPr>
          <w:rFonts w:ascii="Arial" w:cs="Arial" w:eastAsia="Arial" w:hAnsi="Arial"/>
          <w:b/>
          <w:bCs/>
          <w:color w:val="2D6E8A"/>
          <w:sz w:val="28"/>
          <w:szCs w:val="28"/>
        </w:rPr>
        <w:t xml:space="preserve">6. Data Encryption</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6.1 In Transit</w:t>
      </w:r>
    </w:p>
    <w:p>
      <w:pPr>
        <w:spacing w:after="60" w:before="60"/>
        <w:jc w:val="left"/>
      </w:pPr>
      <w:r>
        <w:rPr>
          <w:rFonts w:ascii="Arial" w:cs="Arial" w:eastAsia="Arial" w:hAnsi="Arial"/>
          <w:b w:val="false"/>
          <w:bCs w:val="false"/>
          <w:i w:val="false"/>
          <w:iCs w:val="false"/>
          <w:color w:val="0A0E12"/>
          <w:sz w:val="22"/>
          <w:szCs w:val="22"/>
        </w:rPr>
        <w:t xml:space="preserve">All data in transit must be encrypted using TLS 1.3 or higher. HTTP traffic is rejected; HTTPS enforced via Cloud Run and Firebase Hosting. API endpoints accept only TLS 1.3.</w:t>
      </w:r>
    </w:p>
    <w:p>
      <w:pPr>
        <w:pStyle w:val="Heading2"/>
        <w:spacing w:after="80" w:before="200"/>
      </w:pPr>
      <w:r>
        <w:rPr>
          <w:rFonts w:ascii="Arial" w:cs="Arial" w:eastAsia="Arial" w:hAnsi="Arial"/>
          <w:b/>
          <w:bCs/>
          <w:color w:val="0A0E12"/>
          <w:sz w:val="24"/>
          <w:szCs w:val="24"/>
        </w:rPr>
        <w:t xml:space="preserve">6.2 At Rest</w:t>
      </w:r>
    </w:p>
    <w:p>
      <w:pPr>
        <w:spacing w:after="60" w:before="60"/>
        <w:jc w:val="left"/>
      </w:pPr>
      <w:r>
        <w:rPr>
          <w:rFonts w:ascii="Arial" w:cs="Arial" w:eastAsia="Arial" w:hAnsi="Arial"/>
          <w:b w:val="false"/>
          <w:bCs w:val="false"/>
          <w:i w:val="false"/>
          <w:iCs w:val="false"/>
          <w:color w:val="0A0E12"/>
          <w:sz w:val="22"/>
          <w:szCs w:val="22"/>
        </w:rPr>
        <w:t xml:space="preserve">All user data stored in Firestore (Google Cloud me-central2, Dammam) is encrypted at rest using AES-256 via Google-managed encryption keys. Backup exports are stored in Cloud Storage with the same encryption standard. Laptop hard drives must be encrypted (FileVault on macOS, BitLocker on Windows) — see Section 7.</w:t>
      </w:r>
    </w:p>
    <w:p>
      <w:pPr>
        <w:pStyle w:val="Heading1"/>
        <w:spacing w:after="120" w:before="280"/>
      </w:pPr>
      <w:r>
        <w:rPr>
          <w:rFonts w:ascii="Arial" w:cs="Arial" w:eastAsia="Arial" w:hAnsi="Arial"/>
          <w:b/>
          <w:bCs/>
          <w:color w:val="2D6E8A"/>
          <w:sz w:val="28"/>
          <w:szCs w:val="28"/>
        </w:rPr>
        <w:t xml:space="preserve">7. Endpoint Security</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Company-issued laptops must have full-disk encryption enabled at time of provisioning.</w:t>
      </w:r>
    </w:p>
    <w:p>
      <w:pPr>
        <w:pStyle w:val="ListParagraph"/>
        <w:numPr>
          <w:ilvl w:val="0"/>
          <w:numId w:val="2"/>
        </w:numPr>
        <w:spacing w:after="40" w:before="40"/>
      </w:pPr>
      <w:r>
        <w:rPr>
          <w:rFonts w:ascii="Arial" w:cs="Arial" w:eastAsia="Arial" w:hAnsi="Arial"/>
          <w:color w:val="0A0E12"/>
          <w:sz w:val="22"/>
          <w:szCs w:val="22"/>
        </w:rPr>
        <w:t xml:space="preserve">Mobile device management (MDM) required for all devices accessing production systems once 3+ staff.</w:t>
      </w:r>
    </w:p>
    <w:p>
      <w:pPr>
        <w:pStyle w:val="ListParagraph"/>
        <w:numPr>
          <w:ilvl w:val="0"/>
          <w:numId w:val="2"/>
        </w:numPr>
        <w:spacing w:after="40" w:before="40"/>
      </w:pPr>
      <w:r>
        <w:rPr>
          <w:rFonts w:ascii="Arial" w:cs="Arial" w:eastAsia="Arial" w:hAnsi="Arial"/>
          <w:color w:val="0A0E12"/>
          <w:sz w:val="22"/>
          <w:szCs w:val="22"/>
        </w:rPr>
        <w:t xml:space="preserve">Antivirus/EDR installed and updated on all Windows endpoints; macOS Gatekeeper enforced.</w:t>
      </w:r>
    </w:p>
    <w:p>
      <w:pPr>
        <w:pStyle w:val="ListParagraph"/>
        <w:numPr>
          <w:ilvl w:val="0"/>
          <w:numId w:val="2"/>
        </w:numPr>
        <w:spacing w:after="40" w:before="40"/>
      </w:pPr>
      <w:r>
        <w:rPr>
          <w:rFonts w:ascii="Arial" w:cs="Arial" w:eastAsia="Arial" w:hAnsi="Arial"/>
          <w:color w:val="0A0E12"/>
          <w:sz w:val="22"/>
          <w:szCs w:val="22"/>
        </w:rPr>
        <w:t xml:space="preserve">Software updates applied within 14 days of critical patch release; within 7 days for zero-day.</w:t>
      </w:r>
    </w:p>
    <w:p>
      <w:pPr>
        <w:pStyle w:val="ListParagraph"/>
        <w:numPr>
          <w:ilvl w:val="0"/>
          <w:numId w:val="2"/>
        </w:numPr>
        <w:spacing w:after="40" w:before="40"/>
      </w:pPr>
      <w:r>
        <w:rPr>
          <w:rFonts w:ascii="Arial" w:cs="Arial" w:eastAsia="Arial" w:hAnsi="Arial"/>
          <w:color w:val="0A0E12"/>
          <w:sz w:val="22"/>
          <w:szCs w:val="22"/>
        </w:rPr>
        <w:t xml:space="preserve">Personal devices may not access Restricted-class data without CISO approval and MDM enrolment.</w:t>
      </w:r>
    </w:p>
    <w:p>
      <w:pPr>
        <w:pStyle w:val="Heading1"/>
        <w:spacing w:after="120" w:before="280"/>
      </w:pPr>
      <w:r>
        <w:rPr>
          <w:rFonts w:ascii="Arial" w:cs="Arial" w:eastAsia="Arial" w:hAnsi="Arial"/>
          <w:b/>
          <w:bCs/>
          <w:color w:val="2D6E8A"/>
          <w:sz w:val="28"/>
          <w:szCs w:val="28"/>
        </w:rPr>
        <w:t xml:space="preserve">8. Network Security</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Production systems deployed exclusively on Google Cloud VPC (me-central2).</w:t>
      </w:r>
    </w:p>
    <w:p>
      <w:pPr>
        <w:pStyle w:val="ListParagraph"/>
        <w:numPr>
          <w:ilvl w:val="0"/>
          <w:numId w:val="2"/>
        </w:numPr>
        <w:spacing w:after="40" w:before="40"/>
      </w:pPr>
      <w:r>
        <w:rPr>
          <w:rFonts w:ascii="Arial" w:cs="Arial" w:eastAsia="Arial" w:hAnsi="Arial"/>
          <w:color w:val="0A0E12"/>
          <w:sz w:val="22"/>
          <w:szCs w:val="22"/>
        </w:rPr>
        <w:t xml:space="preserve">Firestore access restricted to authorised Cloud Run service accounts; no public Firestore rules allowing unauthenticated writes.</w:t>
      </w:r>
    </w:p>
    <w:p>
      <w:pPr>
        <w:pStyle w:val="ListParagraph"/>
        <w:numPr>
          <w:ilvl w:val="0"/>
          <w:numId w:val="2"/>
        </w:numPr>
        <w:spacing w:after="40" w:before="40"/>
      </w:pPr>
      <w:r>
        <w:rPr>
          <w:rFonts w:ascii="Arial" w:cs="Arial" w:eastAsia="Arial" w:hAnsi="Arial"/>
          <w:color w:val="0A0E12"/>
          <w:sz w:val="22"/>
          <w:szCs w:val="22"/>
        </w:rPr>
        <w:t xml:space="preserve">Admin access to production infrastructure via IAP (Identity-Aware Proxy) — no open SSH to public internet.</w:t>
      </w:r>
    </w:p>
    <w:p>
      <w:pPr>
        <w:pStyle w:val="ListParagraph"/>
        <w:numPr>
          <w:ilvl w:val="0"/>
          <w:numId w:val="2"/>
        </w:numPr>
        <w:spacing w:after="40" w:before="40"/>
      </w:pPr>
      <w:r>
        <w:rPr>
          <w:rFonts w:ascii="Arial" w:cs="Arial" w:eastAsia="Arial" w:hAnsi="Arial"/>
          <w:color w:val="0A0E12"/>
          <w:sz w:val="22"/>
          <w:szCs w:val="22"/>
        </w:rPr>
        <w:t xml:space="preserve">Dependency scanning (npm audit, Python pip-audit) run on every CI/CD deployment.</w:t>
      </w:r>
    </w:p>
    <w:p>
      <w:pPr>
        <w:pStyle w:val="ListParagraph"/>
        <w:numPr>
          <w:ilvl w:val="0"/>
          <w:numId w:val="2"/>
        </w:numPr>
        <w:spacing w:after="40" w:before="40"/>
      </w:pPr>
      <w:r>
        <w:rPr>
          <w:rFonts w:ascii="Arial" w:cs="Arial" w:eastAsia="Arial" w:hAnsi="Arial"/>
          <w:color w:val="0A0E12"/>
          <w:sz w:val="22"/>
          <w:szCs w:val="22"/>
        </w:rPr>
        <w:t xml:space="preserve">No production secrets in source code; all managed via Google Secret Manager.</w:t>
      </w:r>
    </w:p>
    <w:p>
      <w:pPr>
        <w:pStyle w:val="Heading1"/>
        <w:spacing w:after="120" w:before="280"/>
      </w:pPr>
      <w:r>
        <w:rPr>
          <w:rFonts w:ascii="Arial" w:cs="Arial" w:eastAsia="Arial" w:hAnsi="Arial"/>
          <w:b/>
          <w:bCs/>
          <w:color w:val="2D6E8A"/>
          <w:sz w:val="28"/>
          <w:szCs w:val="28"/>
        </w:rPr>
        <w:t xml:space="preserve">9. Vendor Security Review</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Current critical vendors and their review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Vendor</w:t>
            </w:r>
          </w:p>
        </w:tc>
        <w:tc>
          <w:tcPr>
            <w:tcW w:type="dxa" w:w="2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Last review</w:t>
            </w:r>
          </w:p>
        </w:tc>
        <w:tc>
          <w:tcPr>
            <w:tcW w:type="dxa" w:w="2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DPA 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Google Cloud / Firebase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Infra, Auth, Firestore, Gemini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Apr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Yes (Google ToS + DPA)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Moyasar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Payment processing (PCI-DSS)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Apr 2026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Future analytics vendor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TBD — under evaluation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Before onboarding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Required</w:t>
            </w:r>
          </w:p>
        </w:tc>
      </w:tr>
    </w:tbl>
    <w:p>
      <w:r>
        <w:t xml:space="preserve"/>
      </w:r>
    </w:p>
    <w:p>
      <w:pPr>
        <w:spacing w:after="60" w:before="60"/>
        <w:jc w:val="left"/>
      </w:pPr>
      <w:r>
        <w:rPr>
          <w:rFonts w:ascii="Arial" w:cs="Arial" w:eastAsia="Arial" w:hAnsi="Arial"/>
          <w:b w:val="false"/>
          <w:bCs w:val="false"/>
          <w:i w:val="false"/>
          <w:iCs w:val="false"/>
          <w:color w:val="0A0E12"/>
          <w:sz w:val="22"/>
          <w:szCs w:val="22"/>
        </w:rPr>
        <w:t xml:space="preserve">All vendors are reviewed annually and upon material scope change.</w:t>
      </w:r>
    </w:p>
    <w:p>
      <w:pPr>
        <w:pStyle w:val="Heading1"/>
        <w:spacing w:after="120" w:before="280"/>
      </w:pPr>
      <w:r>
        <w:rPr>
          <w:rFonts w:ascii="Arial" w:cs="Arial" w:eastAsia="Arial" w:hAnsi="Arial"/>
          <w:b/>
          <w:bCs/>
          <w:color w:val="2D6E8A"/>
          <w:sz w:val="28"/>
          <w:szCs w:val="28"/>
        </w:rPr>
        <w:t xml:space="preserve">10. Incident Response</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10.1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SLA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P1 –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Data breach or system compromise affecting user PII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Firestore rule misconfiguration, credential theft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Contain within 1hr; notify SDAIA within 72hrs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P2 – 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Service outage or suspected breach, no confirmed PII exposure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Production DB down, DDoS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Contain within 4hrs; internal escalation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P3 –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Security vulnerability identified but not exploited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Dependency CVE, misconfigured IAM role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Remediate within 7 days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P4 – 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Policy violation, non-critical finding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Weak password, policy non-compliance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Log and remediate within 30 days</w:t>
            </w:r>
          </w:p>
        </w:tc>
      </w:tr>
    </w:tbl>
    <w:p>
      <w:pPr>
        <w:pStyle w:val="Heading2"/>
        <w:spacing w:after="80" w:before="200"/>
      </w:pPr>
      <w:r>
        <w:rPr>
          <w:rFonts w:ascii="Arial" w:cs="Arial" w:eastAsia="Arial" w:hAnsi="Arial"/>
          <w:b/>
          <w:bCs/>
          <w:color w:val="0A0E12"/>
          <w:sz w:val="24"/>
          <w:szCs w:val="24"/>
        </w:rPr>
        <w:t xml:space="preserve">10.2 PDPL Breach Notification</w:t>
      </w:r>
    </w:p>
    <w:p>
      <w:pPr>
        <w:spacing w:after="60" w:before="60"/>
        <w:jc w:val="left"/>
      </w:pPr>
      <w:r>
        <w:rPr>
          <w:rFonts w:ascii="Arial" w:cs="Arial" w:eastAsia="Arial" w:hAnsi="Arial"/>
          <w:b w:val="false"/>
          <w:bCs w:val="false"/>
          <w:i w:val="false"/>
          <w:iCs w:val="false"/>
          <w:color w:val="0A0E12"/>
          <w:sz w:val="22"/>
          <w:szCs w:val="22"/>
        </w:rPr>
        <w:t xml:space="preserve">A breach affecting personal data of Saudi residents must be notified to SDAIA (Saudi Data and AI Authority) within 72 hours of discovery. Affected users are notified within 5 business days. All breaches — regardless of outcome — require a post-mortem within 14 days.</w:t>
      </w:r>
    </w:p>
    <w:p>
      <w:pPr>
        <w:pStyle w:val="Heading1"/>
        <w:spacing w:after="120" w:before="280"/>
      </w:pPr>
      <w:r>
        <w:rPr>
          <w:rFonts w:ascii="Arial" w:cs="Arial" w:eastAsia="Arial" w:hAnsi="Arial"/>
          <w:b/>
          <w:bCs/>
          <w:color w:val="2D6E8A"/>
          <w:sz w:val="28"/>
          <w:szCs w:val="28"/>
        </w:rPr>
        <w:t xml:space="preserve">11. Backup &amp; Recovery</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Firestore daily automated export to Cloud Storage (same region, me-central2).</w:t>
      </w:r>
    </w:p>
    <w:p>
      <w:pPr>
        <w:pStyle w:val="ListParagraph"/>
        <w:numPr>
          <w:ilvl w:val="0"/>
          <w:numId w:val="2"/>
        </w:numPr>
        <w:spacing w:after="40" w:before="40"/>
      </w:pPr>
      <w:r>
        <w:rPr>
          <w:rFonts w:ascii="Arial" w:cs="Arial" w:eastAsia="Arial" w:hAnsi="Arial"/>
          <w:color w:val="0A0E12"/>
          <w:sz w:val="22"/>
          <w:szCs w:val="22"/>
        </w:rPr>
        <w:t xml:space="preserve">Backup retention: 30 days rolling.</w:t>
      </w:r>
    </w:p>
    <w:p>
      <w:pPr>
        <w:pStyle w:val="ListParagraph"/>
        <w:numPr>
          <w:ilvl w:val="0"/>
          <w:numId w:val="2"/>
        </w:numPr>
        <w:spacing w:after="40" w:before="40"/>
      </w:pPr>
      <w:r>
        <w:rPr>
          <w:rFonts w:ascii="Arial" w:cs="Arial" w:eastAsia="Arial" w:hAnsi="Arial"/>
          <w:color w:val="0A0E12"/>
          <w:sz w:val="22"/>
          <w:szCs w:val="22"/>
        </w:rPr>
        <w:t xml:space="preserve">Recovery Time Objective (RTO): 4 hours for full service restoration.</w:t>
      </w:r>
    </w:p>
    <w:p>
      <w:pPr>
        <w:pStyle w:val="ListParagraph"/>
        <w:numPr>
          <w:ilvl w:val="0"/>
          <w:numId w:val="2"/>
        </w:numPr>
        <w:spacing w:after="40" w:before="40"/>
      </w:pPr>
      <w:r>
        <w:rPr>
          <w:rFonts w:ascii="Arial" w:cs="Arial" w:eastAsia="Arial" w:hAnsi="Arial"/>
          <w:color w:val="0A0E12"/>
          <w:sz w:val="22"/>
          <w:szCs w:val="22"/>
        </w:rPr>
        <w:t xml:space="preserve">Recovery Point Objective (RPO): 1 hour maximum data loss.</w:t>
      </w:r>
    </w:p>
    <w:p>
      <w:pPr>
        <w:pStyle w:val="ListParagraph"/>
        <w:numPr>
          <w:ilvl w:val="0"/>
          <w:numId w:val="2"/>
        </w:numPr>
        <w:spacing w:after="40" w:before="40"/>
      </w:pPr>
      <w:r>
        <w:rPr>
          <w:rFonts w:ascii="Arial" w:cs="Arial" w:eastAsia="Arial" w:hAnsi="Arial"/>
          <w:color w:val="0A0E12"/>
          <w:sz w:val="22"/>
          <w:szCs w:val="22"/>
        </w:rPr>
        <w:t xml:space="preserve">Backup restoration tested quarterly via table-read verification in staging environment.</w:t>
      </w:r>
    </w:p>
    <w:p>
      <w:pPr>
        <w:pStyle w:val="Heading1"/>
        <w:spacing w:after="120" w:before="280"/>
      </w:pPr>
      <w:r>
        <w:rPr>
          <w:rFonts w:ascii="Arial" w:cs="Arial" w:eastAsia="Arial" w:hAnsi="Arial"/>
          <w:b/>
          <w:bCs/>
          <w:color w:val="2D6E8A"/>
          <w:sz w:val="28"/>
          <w:szCs w:val="28"/>
        </w:rPr>
        <w:t xml:space="preserve">12. Acceptable Use</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Fly GACA systems are for professional use only. Staff must not use company systems for: personal cryptocurrency transactions, accessing illegal content, circumventing security controls, or sharing Confidential/Restricted data outside authorised channels. Full Acceptable Use Policy is maintained as a separate document (cross-reference: HR Policy Manual Section 9).</w:t>
      </w:r>
    </w:p>
    <w:p>
      <w:pPr>
        <w:pStyle w:val="Heading1"/>
        <w:spacing w:after="120" w:before="280"/>
      </w:pPr>
      <w:r>
        <w:rPr>
          <w:rFonts w:ascii="Arial" w:cs="Arial" w:eastAsia="Arial" w:hAnsi="Arial"/>
          <w:b/>
          <w:bCs/>
          <w:color w:val="2D6E8A"/>
          <w:sz w:val="28"/>
          <w:szCs w:val="28"/>
        </w:rPr>
        <w:t xml:space="preserve">13. Security Training</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Annual security awareness training mandatory for all staff and contractors.</w:t>
      </w:r>
    </w:p>
    <w:p>
      <w:pPr>
        <w:pStyle w:val="ListParagraph"/>
        <w:numPr>
          <w:ilvl w:val="0"/>
          <w:numId w:val="2"/>
        </w:numPr>
        <w:spacing w:after="40" w:before="40"/>
      </w:pPr>
      <w:r>
        <w:rPr>
          <w:rFonts w:ascii="Arial" w:cs="Arial" w:eastAsia="Arial" w:hAnsi="Arial"/>
          <w:color w:val="0A0E12"/>
          <w:sz w:val="22"/>
          <w:szCs w:val="22"/>
        </w:rPr>
        <w:t xml:space="preserve">Training covers: phishing recognition, password hygiene, PDPL obligations, incident reporting.</w:t>
      </w:r>
    </w:p>
    <w:p>
      <w:pPr>
        <w:pStyle w:val="ListParagraph"/>
        <w:numPr>
          <w:ilvl w:val="0"/>
          <w:numId w:val="2"/>
        </w:numPr>
        <w:spacing w:after="40" w:before="40"/>
      </w:pPr>
      <w:r>
        <w:rPr>
          <w:rFonts w:ascii="Arial" w:cs="Arial" w:eastAsia="Arial" w:hAnsi="Arial"/>
          <w:color w:val="0A0E12"/>
          <w:sz w:val="22"/>
          <w:szCs w:val="22"/>
        </w:rPr>
        <w:t xml:space="preserve">Completion tracked; non-completion within 30 days of due date is a policy violation.</w:t>
      </w:r>
    </w:p>
    <w:p>
      <w:pPr>
        <w:pStyle w:val="ListParagraph"/>
        <w:numPr>
          <w:ilvl w:val="0"/>
          <w:numId w:val="2"/>
        </w:numPr>
        <w:spacing w:after="40" w:before="40"/>
      </w:pPr>
      <w:r>
        <w:rPr>
          <w:rFonts w:ascii="Arial" w:cs="Arial" w:eastAsia="Arial" w:hAnsi="Arial"/>
          <w:color w:val="0A0E12"/>
          <w:sz w:val="22"/>
          <w:szCs w:val="22"/>
        </w:rPr>
        <w:t xml:space="preserve">New joiners complete training within first 5 business days.</w:t>
      </w:r>
    </w:p>
    <w:p>
      <w:pPr>
        <w:pStyle w:val="Heading1"/>
        <w:spacing w:after="120" w:before="280"/>
      </w:pPr>
      <w:r>
        <w:rPr>
          <w:rFonts w:ascii="Arial" w:cs="Arial" w:eastAsia="Arial" w:hAnsi="Arial"/>
          <w:b/>
          <w:bCs/>
          <w:color w:val="2D6E8A"/>
          <w:sz w:val="28"/>
          <w:szCs w:val="28"/>
        </w:rPr>
        <w:t xml:space="preserve">14. Audit &amp; Compliance</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Annual internal security review conducted by acting CISO.</w:t>
      </w:r>
    </w:p>
    <w:p>
      <w:pPr>
        <w:pStyle w:val="ListParagraph"/>
        <w:numPr>
          <w:ilvl w:val="0"/>
          <w:numId w:val="2"/>
        </w:numPr>
        <w:spacing w:after="40" w:before="40"/>
      </w:pPr>
      <w:r>
        <w:rPr>
          <w:rFonts w:ascii="Arial" w:cs="Arial" w:eastAsia="Arial" w:hAnsi="Arial"/>
          <w:color w:val="0A0E12"/>
          <w:sz w:val="22"/>
          <w:szCs w:val="22"/>
        </w:rPr>
        <w:t xml:space="preserve">PDPL compliance self-assessment aligned to SDAIA guidance, reviewed annually.</w:t>
      </w:r>
    </w:p>
    <w:p>
      <w:pPr>
        <w:pStyle w:val="ListParagraph"/>
        <w:numPr>
          <w:ilvl w:val="0"/>
          <w:numId w:val="2"/>
        </w:numPr>
        <w:spacing w:after="40" w:before="40"/>
      </w:pPr>
      <w:r>
        <w:rPr>
          <w:rFonts w:ascii="Arial" w:cs="Arial" w:eastAsia="Arial" w:hAnsi="Arial"/>
          <w:color w:val="0A0E12"/>
          <w:sz w:val="22"/>
          <w:szCs w:val="22"/>
        </w:rPr>
        <w:t xml:space="preserve">ISO 27001 readiness assessment targeted for Year 2 (2027) as investor due diligence milestone.</w:t>
      </w:r>
    </w:p>
    <w:p>
      <w:pPr>
        <w:pStyle w:val="ListParagraph"/>
        <w:numPr>
          <w:ilvl w:val="0"/>
          <w:numId w:val="2"/>
        </w:numPr>
        <w:spacing w:after="40" w:before="40"/>
      </w:pPr>
      <w:r>
        <w:rPr>
          <w:rFonts w:ascii="Arial" w:cs="Arial" w:eastAsia="Arial" w:hAnsi="Arial"/>
          <w:color w:val="0A0E12"/>
          <w:sz w:val="22"/>
          <w:szCs w:val="22"/>
        </w:rPr>
        <w:t xml:space="preserve">External penetration test commissioned before Series A close.</w:t>
      </w:r>
    </w:p>
    <w:p>
      <w:pPr>
        <w:pStyle w:val="Heading1"/>
        <w:spacing w:after="120" w:before="280"/>
      </w:pPr>
      <w:r>
        <w:rPr>
          <w:rFonts w:ascii="Arial" w:cs="Arial" w:eastAsia="Arial" w:hAnsi="Arial"/>
          <w:b/>
          <w:bCs/>
          <w:color w:val="2D6E8A"/>
          <w:sz w:val="28"/>
          <w:szCs w:val="28"/>
        </w:rPr>
        <w:t xml:space="preserve">15. Policy Violations &amp; Enforcement</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Violations of this policy are subject to disciplinary action proportional to severity and intent, up to and including termination of employment or engagement. Suspected violations must be reported to the CISO. Deliberate circumvention of security controls is grounds for immediate termination. Violations that result in PDPL breaches may carry personal liability under Saudi law.</w:t>
      </w:r>
    </w:p>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val="false"/>
          <w:bCs w:val="false"/>
          <w:i/>
          <w:iCs/>
          <w:color w:val="0A0E12"/>
          <w:sz w:val="22"/>
          <w:szCs w:val="22"/>
        </w:rPr>
        <w:t xml:space="preserve">Policy owner: Adel Yahya A. Madkhali — i@flygaca.com  |  Next review: May 2027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4A" w:sz="2" w:space="4"/>
      </w:pBdr>
      <w:spacing w:before="60"/>
      <w:jc w:val="center"/>
    </w:pPr>
    <w:r>
      <w:rPr>
        <w:rFonts w:ascii="Arial" w:cs="Arial" w:eastAsia="Arial" w:hAnsi="Arial"/>
        <w:color w:val="777777"/>
        <w:sz w:val="16"/>
        <w:szCs w:val="16"/>
      </w:rPr>
      <w:t xml:space="preserve">Fly GACA  |  Information Security Policy  |  v1.0  |  May 2026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2026-05-05T03:04:53.315Z</dcterms:created>
  <dcterms:modified xsi:type="dcterms:W3CDTF">2026-05-05T03:04:53.315Z</dcterms:modified>
</cp:coreProperties>
</file>

<file path=docProps/custom.xml><?xml version="1.0" encoding="utf-8"?>
<Properties xmlns="http://schemas.openxmlformats.org/officeDocument/2006/custom-properties" xmlns:vt="http://schemas.openxmlformats.org/officeDocument/2006/docPropsVTypes"/>
</file>