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0" w:before="0"/>
      </w:pPr>
      <w:r>
        <w:rPr>
          <w:rFonts w:ascii="Arial" w:cs="Arial" w:eastAsia="Arial" w:hAnsi="Arial"/>
          <w:sz w:val="8"/>
          <w:szCs w:val="8"/>
        </w:rPr>
        <w:t xml:space="preserve">  </w:t>
      </w:r>
    </w:p>
    <w:p>
      <w:pPr>
        <w:shd w:fill="2D6E8A" w:val="clear"/>
        <w:spacing w:after="0" w:before="0"/>
      </w:pPr>
      <w:r>
        <w:rPr>
          <w:rFonts w:ascii="Arial" w:cs="Arial" w:eastAsia="Arial" w:hAnsi="Arial"/>
          <w:b/>
          <w:bCs/>
          <w:color w:val="FFFFFF"/>
          <w:sz w:val="36"/>
          <w:szCs w:val="36"/>
        </w:rPr>
        <w:t xml:space="preserve">FLY GACA</w:t>
      </w:r>
    </w:p>
    <w:p>
      <w:pPr>
        <w:shd w:fill="2D6E8A" w:val="clear"/>
        <w:spacing w:after="0" w:before="0"/>
      </w:pPr>
      <w:r>
        <w:rPr>
          <w:rFonts w:ascii="Arial" w:cs="Arial" w:eastAsia="Arial" w:hAnsi="Arial"/>
          <w:b/>
          <w:bCs/>
          <w:color w:val="FFFFFF"/>
          <w:sz w:val="52"/>
          <w:szCs w:val="52"/>
        </w:rPr>
        <w:t xml:space="preserve">Compensation Philosophy</w:t>
      </w:r>
    </w:p>
    <w:p>
      <w:pPr>
        <w:shd w:fill="2D6E8A" w:val="clear"/>
        <w:spacing w:after="200" w:before="0"/>
      </w:pPr>
      <w:r>
        <w:rPr>
          <w:rFonts w:ascii="Arial" w:cs="Arial" w:eastAsia="Arial" w:hAnsi="Arial"/>
          <w:color w:val="D5E8F0"/>
          <w:sz w:val="24"/>
          <w:szCs w:val="24"/>
        </w:rPr>
        <w:t xml:space="preserve">Fly GACA · Total Rewards Framework · May 2026</w:t>
      </w:r>
    </w:p>
    <w:p>
      <w:pPr>
        <w:pBdr>
          <w:bottom w:val="single" w:color="C8A04A" w:sz="6" w:space="1"/>
        </w:pBdr>
        <w:spacing w:after="140"/>
      </w:pPr>
    </w:p>
    <w:p/>
    <w:p>
      <w:pPr>
        <w:pStyle w:val="Heading1"/>
      </w:pPr>
      <w:r>
        <w:t xml:space="preserve">1. Philosophy Statement</w:t>
      </w:r>
    </w:p>
    <w:p>
      <w:pPr>
        <w:spacing w:after="100"/>
      </w:pPr>
      <w:r>
        <w:rPr>
          <w:rFonts w:ascii="Arial" w:cs="Arial" w:eastAsia="Arial" w:hAnsi="Arial"/>
          <w:sz w:val="22"/>
          <w:szCs w:val="22"/>
        </w:rPr>
        <w:t xml:space="preserve">Fly GACA pays fairly, transparently, and competitively to attract and retain the engineers, operators, and educators needed to build the leading aviation EdTech platform in the Kingdom. We target the 60th–75th percentile of the Saudi technology market for cash compensation, supplemented by meaningful equity for team members who join early and stay long.</w:t>
      </w:r>
    </w:p>
    <w:p/>
    <w:p>
      <w:pPr>
        <w:spacing w:after="100"/>
      </w:pPr>
      <w:r>
        <w:rPr>
          <w:rFonts w:ascii="Arial" w:cs="Arial" w:eastAsia="Arial" w:hAnsi="Arial"/>
          <w:sz w:val="22"/>
          <w:szCs w:val="22"/>
        </w:rPr>
        <w:t xml:space="preserve">We believe:</w:t>
      </w:r>
    </w:p>
    <w:p>
      <w:pPr>
        <w:pStyle w:val="ListParagraph"/>
        <w:numPr>
          <w:ilvl w:val="0"/>
          <w:numId w:val="2"/>
        </w:numPr>
        <w:spacing w:after="60"/>
      </w:pPr>
      <w:r>
        <w:rPr>
          <w:rFonts w:ascii="Arial" w:cs="Arial" w:eastAsia="Arial" w:hAnsi="Arial"/>
          <w:sz w:val="22"/>
          <w:szCs w:val="22"/>
        </w:rPr>
        <w:t xml:space="preserve">Competitive cash removes financial distraction so team members can focus on building</w:t>
      </w:r>
    </w:p>
    <w:p>
      <w:pPr>
        <w:pStyle w:val="ListParagraph"/>
        <w:numPr>
          <w:ilvl w:val="0"/>
          <w:numId w:val="2"/>
        </w:numPr>
        <w:spacing w:after="60"/>
      </w:pPr>
      <w:r>
        <w:rPr>
          <w:rFonts w:ascii="Arial" w:cs="Arial" w:eastAsia="Arial" w:hAnsi="Arial"/>
          <w:sz w:val="22"/>
          <w:szCs w:val="22"/>
        </w:rPr>
        <w:t xml:space="preserve">Equity creates genuine alignment between individual and company success</w:t>
      </w:r>
    </w:p>
    <w:p>
      <w:pPr>
        <w:pStyle w:val="ListParagraph"/>
        <w:numPr>
          <w:ilvl w:val="0"/>
          <w:numId w:val="2"/>
        </w:numPr>
        <w:spacing w:after="60"/>
      </w:pPr>
      <w:r>
        <w:rPr>
          <w:rFonts w:ascii="Arial" w:cs="Arial" w:eastAsia="Arial" w:hAnsi="Arial"/>
          <w:sz w:val="22"/>
          <w:szCs w:val="22"/>
        </w:rPr>
        <w:t xml:space="preserve">Transparent bands eliminate unfairness and negotiation bias</w:t>
      </w:r>
    </w:p>
    <w:p>
      <w:pPr>
        <w:pStyle w:val="ListParagraph"/>
        <w:numPr>
          <w:ilvl w:val="0"/>
          <w:numId w:val="2"/>
        </w:numPr>
        <w:spacing w:after="60"/>
      </w:pPr>
      <w:r>
        <w:rPr>
          <w:rFonts w:ascii="Arial" w:cs="Arial" w:eastAsia="Arial" w:hAnsi="Arial"/>
          <w:sz w:val="22"/>
          <w:szCs w:val="22"/>
        </w:rPr>
        <w:t xml:space="preserve">Saudi Labor Law compliance is non-negotiable: basic + housing + transport structure is mandatory</w:t>
      </w:r>
    </w:p>
    <w:p/>
    <w:p>
      <w:pPr>
        <w:pStyle w:val="Heading1"/>
      </w:pPr>
      <w:r>
        <w:t xml:space="preserve">2. Salary Structure — Four Individual Contributor Bands</w:t>
      </w:r>
    </w:p>
    <w:p>
      <w:pPr>
        <w:spacing w:after="100"/>
      </w:pPr>
      <w:r>
        <w:rPr>
          <w:rFonts w:ascii="Arial" w:cs="Arial" w:eastAsia="Arial" w:hAnsi="Arial"/>
          <w:sz w:val="22"/>
          <w:szCs w:val="22"/>
        </w:rPr>
        <w:t xml:space="preserve">All figures are loaded monthly SAR (total cost to employee, inclusive of basic salary, 25% housing allowance, and 10% transport allowance, as required by Saudi Labor Law Article 40).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rPr>
          <w:tblHeader/>
        </w:trPr>
        <w:tc>
          <w:tcPr>
            <w:tcW w:type="dxa" w:w="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6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Level Description</w:t>
            </w:r>
          </w:p>
        </w:tc>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Monthly Range (SAR Loaded)</w:t>
            </w:r>
          </w:p>
        </w:tc>
        <w:tc>
          <w:tcPr>
            <w:tcW w:type="dxa" w:w="31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Typical Roles</w:t>
            </w:r>
          </w:p>
        </w:tc>
      </w:tr>
      <w:tr>
        <w:tc>
          <w:tcPr>
            <w:tcW w:type="dxa" w:w="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IC1</w:t>
            </w:r>
          </w:p>
        </w:tc>
        <w:tc>
          <w:tcPr>
            <w:tcW w:type="dxa" w:w="2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Junior / Entry-Level (0–2 years exp.)</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8,000 – 15,000</w:t>
            </w:r>
          </w:p>
        </w:tc>
        <w:tc>
          <w:tcPr>
            <w:tcW w:type="dxa" w:w="31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Junior SWE, Junior Content, Support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 Senior (3–6 years exp.)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18,000 – 32,000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SWE, ML/AI Eng., CSM, Mktg Lead</w:t>
            </w:r>
          </w:p>
        </w:tc>
      </w:tr>
      <w:tr>
        <w:tc>
          <w:tcPr>
            <w:tcW w:type="dxa" w:w="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IC3</w:t>
            </w:r>
          </w:p>
        </w:tc>
        <w:tc>
          <w:tcPr>
            <w:tcW w:type="dxa" w:w="2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Staff / Lead (7–12 years exp.)</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35,000 – 50,000</w:t>
            </w:r>
          </w:p>
        </w:tc>
        <w:tc>
          <w:tcPr>
            <w:tcW w:type="dxa" w:w="31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Staff Eng., Head of Product, Head of 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 Director (12+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55,000 – 70,000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Eng., VP Eng., COO-level IC</w:t>
            </w:r>
          </w:p>
        </w:tc>
      </w:tr>
    </w:tbl>
    <w:p/>
    <w:p>
      <w:pPr>
        <w:spacing w:after="100"/>
      </w:pPr>
      <w:r>
        <w:rPr>
          <w:rFonts w:ascii="Arial" w:cs="Arial" w:eastAsia="Arial" w:hAnsi="Arial"/>
          <w:sz w:val="22"/>
          <w:szCs w:val="22"/>
        </w:rPr>
        <w:t xml:space="preserve">Note: COO (IC4-equivalent leadership role) is placed at 22,000 SAR/month in early-stage band given startup equity upside; this will be market-adjusted post-Series A.</w:t>
      </w:r>
    </w:p>
    <w:p/>
    <w:p>
      <w:pPr>
        <w:pStyle w:val="Heading1"/>
      </w:pPr>
      <w:r>
        <w:t xml:space="preserve">3. Saudi Labor Law Salary Breakdown</w:t>
      </w:r>
    </w:p>
    <w:p>
      <w:pPr>
        <w:spacing w:after="100"/>
      </w:pPr>
      <w:r>
        <w:rPr>
          <w:rFonts w:ascii="Arial" w:cs="Arial" w:eastAsia="Arial" w:hAnsi="Arial"/>
          <w:sz w:val="22"/>
          <w:szCs w:val="22"/>
        </w:rPr>
        <w:t xml:space="preserve">Per Saudi Labor Law (Article 40 and Article 107), compensation must be structured as follows for GOSI and WPS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7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Example (28,000 SAR Loaded)</w:t>
            </w:r>
          </w:p>
        </w:tc>
      </w:tr>
      <w:tr>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Basic Salary</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65% of loaded salary</w:t>
            </w:r>
          </w:p>
        </w:tc>
        <w:tc>
          <w:tcPr>
            <w:tcW w:type="dxa" w:w="3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SAR 18,200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Housing Allowance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of basic salary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4,550</w:t>
            </w:r>
          </w:p>
        </w:tc>
      </w:tr>
      <w:tr>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Transport Allowance</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10% of basic salary</w:t>
            </w:r>
          </w:p>
        </w:tc>
        <w:tc>
          <w:tcPr>
            <w:tcW w:type="dxa" w:w="3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SAR 1,820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Loaded Salary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above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24,570 (+ other allowances to gross)</w:t>
            </w:r>
          </w:p>
        </w:tc>
      </w:tr>
      <w:tr>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GOSI Base (Saudi)</w:t>
            </w:r>
          </w:p>
        </w:tc>
        <w:tc>
          <w:tcPr>
            <w:tcW w:type="dxa" w:w="2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Basic salary only</w:t>
            </w:r>
          </w:p>
        </w:tc>
        <w:tc>
          <w:tcPr>
            <w:tcW w:type="dxa" w:w="3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SAR 18,200</w:t>
            </w:r>
          </w:p>
        </w:tc>
      </w:tr>
    </w:tbl>
    <w:p>
      <w:pPr>
        <w:spacing w:after="100"/>
      </w:pPr>
      <w:r>
        <w:rPr>
          <w:rFonts w:ascii="Arial" w:cs="Arial" w:eastAsia="Arial" w:hAnsi="Arial"/>
          <w:sz w:val="22"/>
          <w:szCs w:val="22"/>
        </w:rPr>
        <w:t xml:space="preserve">Actual gross-up to meet the "loaded" target is managed via additional allowances (mobile, meals) as needed.</w:t>
      </w:r>
    </w:p>
    <w:p/>
    <w:p>
      <w:pPr>
        <w:pStyle w:val="Heading1"/>
      </w:pPr>
      <w:r>
        <w:t xml:space="preserve">4. Equity Grants</w:t>
      </w:r>
    </w:p>
    <w:p>
      <w:pPr>
        <w:pStyle w:val="Heading2"/>
      </w:pPr>
      <w:r>
        <w:t xml:space="preserve">4.1 Grant Structure</w:t>
      </w:r>
    </w:p>
    <w:p>
      <w:pPr>
        <w:spacing w:after="100"/>
      </w:pPr>
      <w:r>
        <w:rPr>
          <w:rFonts w:ascii="Arial" w:cs="Arial" w:eastAsia="Arial" w:hAnsi="Arial"/>
          <w:sz w:val="22"/>
          <w:szCs w:val="22"/>
        </w:rPr>
        <w:t xml:space="preserve">Fly GACA grants equity options or phantom equity (to be confirmed at ESOP scheme registration with MISA) based on level and joining cohort. Early team members (Months 1–12) receive meaningfully larger grants to reflect founding risk.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560"/>
      </w:tblGrid>
      <w:tr>
        <w:trPr>
          <w:tblHeader/>
        </w:trPr>
        <w:tc>
          <w:tcPr>
            <w:tcW w:type="dxa" w:w="1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6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Equity Range (%)</w:t>
            </w:r>
          </w:p>
        </w:tc>
        <w:tc>
          <w:tcPr>
            <w:tcW w:type="dxa" w:w="16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Vesting</w:t>
            </w:r>
          </w:p>
        </w:tc>
        <w:tc>
          <w:tcPr>
            <w:tcW w:type="dxa" w:w="16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Cliff</w:t>
            </w:r>
          </w:p>
        </w:tc>
        <w:tc>
          <w:tcPr>
            <w:tcW w:type="dxa" w:w="35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Refresh</w:t>
            </w:r>
          </w:p>
        </w:tc>
      </w:tr>
      <w:tr>
        <w:tc>
          <w:tcPr>
            <w:tcW w:type="dxa" w:w="10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IC1</w:t>
            </w:r>
          </w:p>
        </w:tc>
        <w:tc>
          <w:tcPr>
            <w:tcW w:type="dxa" w:w="1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0.1 – 0.3%</w:t>
            </w:r>
          </w:p>
        </w:tc>
        <w:tc>
          <w:tcPr>
            <w:tcW w:type="dxa" w:w="1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4 years</w:t>
            </w:r>
          </w:p>
        </w:tc>
        <w:tc>
          <w:tcPr>
            <w:tcW w:type="dxa" w:w="1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1 year</w:t>
            </w:r>
          </w:p>
        </w:tc>
        <w:tc>
          <w:tcPr>
            <w:tcW w:type="dxa" w:w="35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Every 2 years (performance-based)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 –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2 years (performance-based)</w:t>
            </w:r>
          </w:p>
        </w:tc>
      </w:tr>
      <w:tr>
        <w:tc>
          <w:tcPr>
            <w:tcW w:type="dxa" w:w="10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IC3</w:t>
            </w:r>
          </w:p>
        </w:tc>
        <w:tc>
          <w:tcPr>
            <w:tcW w:type="dxa" w:w="1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1.0 – 2.5%</w:t>
            </w:r>
          </w:p>
        </w:tc>
        <w:tc>
          <w:tcPr>
            <w:tcW w:type="dxa" w:w="1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4 years</w:t>
            </w:r>
          </w:p>
        </w:tc>
        <w:tc>
          <w:tcPr>
            <w:tcW w:type="dxa" w:w="16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1 year</w:t>
            </w:r>
          </w:p>
        </w:tc>
        <w:tc>
          <w:tcPr>
            <w:tcW w:type="dxa" w:w="35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Every 2 years (performance-based)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IC4 / Exec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2 years (performance-based)</w:t>
            </w:r>
          </w:p>
        </w:tc>
      </w:tr>
    </w:tbl>
    <w:p/>
    <w:p>
      <w:pPr>
        <w:pStyle w:val="Heading2"/>
      </w:pPr>
      <w:r>
        <w:t xml:space="preserve">4.2 Equity Notes</w:t>
      </w:r>
    </w:p>
    <w:p>
      <w:pPr>
        <w:pStyle w:val="ListParagraph"/>
        <w:numPr>
          <w:ilvl w:val="0"/>
          <w:numId w:val="2"/>
        </w:numPr>
        <w:spacing w:after="60"/>
      </w:pPr>
      <w:r>
        <w:rPr>
          <w:rFonts w:ascii="Arial" w:cs="Arial" w:eastAsia="Arial" w:hAnsi="Arial"/>
          <w:sz w:val="22"/>
          <w:szCs w:val="22"/>
        </w:rPr>
        <w:t xml:space="preserve">Equity is subject to a 1-year cliff: no vesting occurs before the 12-month anniversary of grant date</w:t>
      </w:r>
    </w:p>
    <w:p>
      <w:pPr>
        <w:pStyle w:val="ListParagraph"/>
        <w:numPr>
          <w:ilvl w:val="0"/>
          <w:numId w:val="2"/>
        </w:numPr>
        <w:spacing w:after="60"/>
      </w:pPr>
      <w:r>
        <w:rPr>
          <w:rFonts w:ascii="Arial" w:cs="Arial" w:eastAsia="Arial" w:hAnsi="Arial"/>
          <w:sz w:val="22"/>
          <w:szCs w:val="22"/>
        </w:rPr>
        <w:t xml:space="preserve">Monthly vesting after the cliff (1/48 per month for 4-year schedule)</w:t>
      </w:r>
    </w:p>
    <w:p>
      <w:pPr>
        <w:pStyle w:val="ListParagraph"/>
        <w:numPr>
          <w:ilvl w:val="0"/>
          <w:numId w:val="2"/>
        </w:numPr>
        <w:spacing w:after="60"/>
      </w:pPr>
      <w:r>
        <w:rPr>
          <w:rFonts w:ascii="Arial" w:cs="Arial" w:eastAsia="Arial" w:hAnsi="Arial"/>
          <w:sz w:val="22"/>
          <w:szCs w:val="22"/>
        </w:rPr>
        <w:t xml:space="preserve">Refresh grants are made every 2 years for employees in good standing, subject to board approval</w:t>
      </w:r>
    </w:p>
    <w:p>
      <w:pPr>
        <w:pStyle w:val="ListParagraph"/>
        <w:numPr>
          <w:ilvl w:val="0"/>
          <w:numId w:val="2"/>
        </w:numPr>
        <w:spacing w:after="60"/>
      </w:pPr>
      <w:r>
        <w:rPr>
          <w:rFonts w:ascii="Arial" w:cs="Arial" w:eastAsia="Arial" w:hAnsi="Arial"/>
          <w:sz w:val="22"/>
          <w:szCs w:val="22"/>
        </w:rPr>
        <w:t xml:space="preserve">Equity is subject to the Fly GACA Shareholder Agreement and MISA-approved ESOP plan</w:t>
      </w:r>
    </w:p>
    <w:p>
      <w:pPr>
        <w:pStyle w:val="ListParagraph"/>
        <w:numPr>
          <w:ilvl w:val="0"/>
          <w:numId w:val="2"/>
        </w:numPr>
        <w:spacing w:after="60"/>
      </w:pPr>
      <w:r>
        <w:rPr>
          <w:rFonts w:ascii="Arial" w:cs="Arial" w:eastAsia="Arial" w:hAnsi="Arial"/>
          <w:sz w:val="22"/>
          <w:szCs w:val="22"/>
        </w:rPr>
        <w:t xml:space="preserve">Equity grants are non-transferable and expire 90 days after employment termination (except in approved cases)</w:t>
      </w:r>
    </w:p>
    <w:p/>
    <w:p>
      <w:pPr>
        <w:pStyle w:val="Heading1"/>
      </w:pPr>
      <w:r>
        <w:t xml:space="preserve">5. Annual Review Cycle</w:t>
      </w:r>
    </w:p>
    <w:p>
      <w:pPr>
        <w:spacing w:after="100"/>
      </w:pPr>
      <w:r>
        <w:rPr>
          <w:rFonts w:ascii="Arial" w:cs="Arial" w:eastAsia="Arial" w:hAnsi="Arial"/>
          <w:sz w:val="22"/>
          <w:szCs w:val="22"/>
        </w:rPr>
        <w:t xml:space="preserve">Fly GACA conducts compensation reviews on two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Anniversary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Conducted within 30 days of each employee's hire anniversary. Performance-based merit increase of 0–10%, subject to founder approval and company financial position.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January Market Refresh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Annual market benchmarking against KSA tech salary surveys (Mercer KSA, Bayt.com, HRDF data). Band ranges updated if market has moved ≥5%.</w:t>
            </w:r>
          </w:p>
        </w:tc>
      </w:tr>
    </w:tbl>
    <w:p/>
    <w:p>
      <w:pPr>
        <w:pStyle w:val="Heading1"/>
      </w:pPr>
      <w:r>
        <w:t xml:space="preserve">6. Promotion Criteria</w:t>
      </w:r>
    </w:p>
    <w:p>
      <w:pPr>
        <w:spacing w:after="100"/>
      </w:pPr>
      <w:r>
        <w:rPr>
          <w:rFonts w:ascii="Arial" w:cs="Arial" w:eastAsia="Arial" w:hAnsi="Arial"/>
          <w:sz w:val="22"/>
          <w:szCs w:val="22"/>
        </w:rPr>
        <w:t xml:space="preserve">Promotion to the next band requires all of the following:</w:t>
      </w:r>
    </w:p>
    <w:p>
      <w:pPr>
        <w:pStyle w:val="ListParagraph"/>
        <w:numPr>
          <w:ilvl w:val="0"/>
          <w:numId w:val="2"/>
        </w:numPr>
        <w:spacing w:after="60"/>
      </w:pPr>
      <w:r>
        <w:rPr>
          <w:rFonts w:ascii="Arial" w:cs="Arial" w:eastAsia="Arial" w:hAnsi="Arial"/>
          <w:sz w:val="22"/>
          <w:szCs w:val="22"/>
        </w:rPr>
        <w:t xml:space="preserve">Sustained performance at level 4–5 in the last two review cycles</w:t>
      </w:r>
    </w:p>
    <w:p>
      <w:pPr>
        <w:pStyle w:val="ListParagraph"/>
        <w:numPr>
          <w:ilvl w:val="0"/>
          <w:numId w:val="2"/>
        </w:numPr>
        <w:spacing w:after="60"/>
      </w:pPr>
      <w:r>
        <w:rPr>
          <w:rFonts w:ascii="Arial" w:cs="Arial" w:eastAsia="Arial" w:hAnsi="Arial"/>
          <w:sz w:val="22"/>
          <w:szCs w:val="22"/>
        </w:rPr>
        <w:t xml:space="preserve">Demonstrated readiness for next-level scope (not just time served)</w:t>
      </w:r>
    </w:p>
    <w:p>
      <w:pPr>
        <w:pStyle w:val="ListParagraph"/>
        <w:numPr>
          <w:ilvl w:val="0"/>
          <w:numId w:val="2"/>
        </w:numPr>
        <w:spacing w:after="60"/>
      </w:pPr>
      <w:r>
        <w:rPr>
          <w:rFonts w:ascii="Arial" w:cs="Arial" w:eastAsia="Arial" w:hAnsi="Arial"/>
          <w:sz w:val="22"/>
          <w:szCs w:val="22"/>
        </w:rPr>
        <w:t xml:space="preserve">Available headcount budget at the higher band</w:t>
      </w:r>
    </w:p>
    <w:p>
      <w:pPr>
        <w:pStyle w:val="ListParagraph"/>
        <w:numPr>
          <w:ilvl w:val="0"/>
          <w:numId w:val="2"/>
        </w:numPr>
        <w:spacing w:after="60"/>
      </w:pPr>
      <w:r>
        <w:rPr>
          <w:rFonts w:ascii="Arial" w:cs="Arial" w:eastAsia="Arial" w:hAnsi="Arial"/>
          <w:sz w:val="22"/>
          <w:szCs w:val="22"/>
        </w:rPr>
        <w:t xml:space="preserve">Founder (or COO post-hire) approval</w:t>
      </w:r>
    </w:p>
    <w:p>
      <w:pPr>
        <w:spacing w:after="100"/>
      </w:pPr>
      <w:r>
        <w:rPr>
          <w:rFonts w:ascii="Arial" w:cs="Arial" w:eastAsia="Arial" w:hAnsi="Arial"/>
          <w:sz w:val="22"/>
          <w:szCs w:val="22"/>
        </w:rPr>
        <w:t xml:space="preserve">Promotions are not automatic and are decoupled from tenure. Time-in-band is not a promotion criterion.</w:t>
      </w:r>
    </w:p>
    <w:p/>
    <w:p>
      <w:pPr>
        <w:pStyle w:val="Heading1"/>
      </w:pPr>
      <w:r>
        <w:t xml:space="preserve">7. Bonuses</w:t>
      </w:r>
    </w:p>
    <w:p>
      <w:pPr>
        <w:spacing w:after="100"/>
      </w:pPr>
      <w:r>
        <w:rPr>
          <w:rFonts w:ascii="Arial" w:cs="Arial" w:eastAsia="Arial" w:hAnsi="Arial"/>
          <w:sz w:val="22"/>
          <w:szCs w:val="22"/>
        </w:rPr>
        <w:t xml:space="preserve">No discretionary bonuses are planned in Years 1–2. The rationale:</w:t>
      </w:r>
    </w:p>
    <w:p>
      <w:pPr>
        <w:pStyle w:val="ListParagraph"/>
        <w:numPr>
          <w:ilvl w:val="0"/>
          <w:numId w:val="2"/>
        </w:numPr>
        <w:spacing w:after="60"/>
      </w:pPr>
      <w:r>
        <w:rPr>
          <w:rFonts w:ascii="Arial" w:cs="Arial" w:eastAsia="Arial" w:hAnsi="Arial"/>
          <w:sz w:val="22"/>
          <w:szCs w:val="22"/>
        </w:rPr>
        <w:t xml:space="preserve">Equity replaces bonus upside for early team members</w:t>
      </w:r>
    </w:p>
    <w:p>
      <w:pPr>
        <w:pStyle w:val="ListParagraph"/>
        <w:numPr>
          <w:ilvl w:val="0"/>
          <w:numId w:val="2"/>
        </w:numPr>
        <w:spacing w:after="60"/>
      </w:pPr>
      <w:r>
        <w:rPr>
          <w:rFonts w:ascii="Arial" w:cs="Arial" w:eastAsia="Arial" w:hAnsi="Arial"/>
          <w:sz w:val="22"/>
          <w:szCs w:val="22"/>
        </w:rPr>
        <w:t xml:space="preserve">Cash is better deployed into sustainable base salaries</w:t>
      </w:r>
    </w:p>
    <w:p>
      <w:pPr>
        <w:pStyle w:val="ListParagraph"/>
        <w:numPr>
          <w:ilvl w:val="0"/>
          <w:numId w:val="2"/>
        </w:numPr>
        <w:spacing w:after="60"/>
      </w:pPr>
      <w:r>
        <w:rPr>
          <w:rFonts w:ascii="Arial" w:cs="Arial" w:eastAsia="Arial" w:hAnsi="Arial"/>
          <w:sz w:val="22"/>
          <w:szCs w:val="22"/>
        </w:rPr>
        <w:t xml:space="preserve">Bonus programs will be introduced post-Series A if competitive market data warrants it</w:t>
      </w:r>
    </w:p>
    <w:p>
      <w:pPr>
        <w:spacing w:after="100"/>
      </w:pPr>
      <w:r>
        <w:rPr>
          <w:rFonts w:ascii="Arial" w:cs="Arial" w:eastAsia="Arial" w:hAnsi="Arial"/>
          <w:sz w:val="22"/>
          <w:szCs w:val="22"/>
        </w:rPr>
        <w:t xml:space="preserve">Performance-based equity refreshes (Section 4.2) serve the motivational purpose of bonuses.</w:t>
      </w:r>
    </w:p>
    <w:p/>
    <w:p>
      <w:pPr>
        <w:pStyle w:val="Heading1"/>
      </w:pPr>
      <w:r>
        <w:t xml:space="preserve">8. Benefits</w:t>
      </w:r>
    </w:p>
    <w:p>
      <w:pPr>
        <w:pStyle w:val="Heading2"/>
      </w:pPr>
      <w:r>
        <w:t xml:space="preserve">8.1 Health Insurance</w:t>
      </w:r>
    </w:p>
    <w:p>
      <w:pPr>
        <w:spacing w:after="100"/>
      </w:pPr>
      <w:r>
        <w:rPr>
          <w:rFonts w:ascii="Arial" w:cs="Arial" w:eastAsia="Arial" w:hAnsi="Arial"/>
          <w:sz w:val="22"/>
          <w:szCs w:val="22"/>
        </w:rPr>
        <w:t xml:space="preserve">Fly GACA provides comprehensive health insurance for all employees and eligible dependents via Bupa Cooperative Insurance (or equivalent Saudi-licensed provider). Coverage includes:</w:t>
      </w:r>
    </w:p>
    <w:p>
      <w:pPr>
        <w:pStyle w:val="ListParagraph"/>
        <w:numPr>
          <w:ilvl w:val="0"/>
          <w:numId w:val="2"/>
        </w:numPr>
        <w:spacing w:after="60"/>
      </w:pPr>
      <w:r>
        <w:rPr>
          <w:rFonts w:ascii="Arial" w:cs="Arial" w:eastAsia="Arial" w:hAnsi="Arial"/>
          <w:sz w:val="22"/>
          <w:szCs w:val="22"/>
        </w:rPr>
        <w:t xml:space="preserve">Inpatient and outpatient medical care at Bupa network facilities</w:t>
      </w:r>
    </w:p>
    <w:p>
      <w:pPr>
        <w:pStyle w:val="ListParagraph"/>
        <w:numPr>
          <w:ilvl w:val="0"/>
          <w:numId w:val="2"/>
        </w:numPr>
        <w:spacing w:after="60"/>
      </w:pPr>
      <w:r>
        <w:rPr>
          <w:rFonts w:ascii="Arial" w:cs="Arial" w:eastAsia="Arial" w:hAnsi="Arial"/>
          <w:sz w:val="22"/>
          <w:szCs w:val="22"/>
        </w:rPr>
        <w:t xml:space="preserve">Emergency dental and vision coverage</w:t>
      </w:r>
    </w:p>
    <w:p>
      <w:pPr>
        <w:pStyle w:val="ListParagraph"/>
        <w:numPr>
          <w:ilvl w:val="0"/>
          <w:numId w:val="2"/>
        </w:numPr>
        <w:spacing w:after="60"/>
      </w:pPr>
      <w:r>
        <w:rPr>
          <w:rFonts w:ascii="Arial" w:cs="Arial" w:eastAsia="Arial" w:hAnsi="Arial"/>
          <w:sz w:val="22"/>
          <w:szCs w:val="22"/>
        </w:rPr>
        <w:t xml:space="preserve">Coverage for spouse and up to 3 dependent children (employee cost-share: 10% of dependent premium)</w:t>
      </w:r>
    </w:p>
    <w:p>
      <w:pPr>
        <w:pStyle w:val="ListParagraph"/>
        <w:numPr>
          <w:ilvl w:val="0"/>
          <w:numId w:val="2"/>
        </w:numPr>
        <w:spacing w:after="60"/>
      </w:pPr>
      <w:r>
        <w:rPr>
          <w:rFonts w:ascii="Arial" w:cs="Arial" w:eastAsia="Arial" w:hAnsi="Arial"/>
          <w:sz w:val="22"/>
          <w:szCs w:val="22"/>
        </w:rPr>
        <w:t xml:space="preserve">Mental health support line (24/7 virtual counseling)</w:t>
      </w:r>
    </w:p>
    <w:p/>
    <w:p>
      <w:pPr>
        <w:pStyle w:val="Heading2"/>
      </w:pPr>
      <w:r>
        <w:t xml:space="preserve">8.2 GOSI Contributions</w:t>
      </w:r>
    </w:p>
    <w:p>
      <w:pPr>
        <w:spacing w:after="100"/>
      </w:pPr>
      <w:r>
        <w:rPr>
          <w:rFonts w:ascii="Arial" w:cs="Arial" w:eastAsia="Arial" w:hAnsi="Arial"/>
          <w:sz w:val="22"/>
          <w:szCs w:val="22"/>
        </w:rPr>
        <w:t xml:space="preserve">Fly GACA makes employer GOSI contributions as required by law (see Nitaqat Compliance Plan for contribution rates). These are in addition to the loaded salary figures above.</w:t>
      </w:r>
    </w:p>
    <w:p/>
    <w:p>
      <w:pPr>
        <w:pStyle w:val="Heading1"/>
      </w:pPr>
      <w:r>
        <w:t xml:space="preserve">9. End-of-Service Benefit (EOSB) — Example Calculation</w:t>
      </w:r>
    </w:p>
    <w:p>
      <w:pPr>
        <w:spacing w:after="100"/>
      </w:pPr>
      <w:r>
        <w:rPr>
          <w:rFonts w:ascii="Arial" w:cs="Arial" w:eastAsia="Arial" w:hAnsi="Arial"/>
          <w:sz w:val="22"/>
          <w:szCs w:val="22"/>
        </w:rPr>
        <w:t xml:space="preserve">Under Saudi Labor Law Article 84, employees are entitled to an End-of-Service Benefit (gratuity) upon departure (if resignation after 2+ years or dismissal):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Tenure</w:t>
            </w:r>
          </w:p>
        </w:tc>
        <w:tc>
          <w:tcPr>
            <w:tcW w:type="dxa" w:w="32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EOSB Entitlement</w:t>
            </w:r>
          </w:p>
        </w:tc>
        <w:tc>
          <w:tcPr>
            <w:tcW w:type="dxa" w:w="4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0"/>
                <w:szCs w:val="20"/>
              </w:rPr>
              <w:t xml:space="preserve">Example (Basic SAR 18,200/mo)</w:t>
            </w:r>
          </w:p>
        </w:tc>
      </w:tr>
      <w:tr>
        <w:tc>
          <w:tcPr>
            <w:tcW w:type="dxa" w:w="1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First 5 years</w:t>
            </w:r>
          </w:p>
        </w:tc>
        <w:tc>
          <w:tcPr>
            <w:tcW w:type="dxa" w:w="32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0.5 month basic salary per year</w:t>
            </w:r>
          </w:p>
        </w:tc>
        <w:tc>
          <w:tcPr>
            <w:tcW w:type="dxa" w:w="43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5 yrs × 0.5 × 18,200 = SAR 45,500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5 years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month basic salary per year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Yr 6–10: 5 × 18,200 = SAR 91,000</w:t>
            </w:r>
          </w:p>
        </w:tc>
      </w:tr>
      <w:tr>
        <w:tc>
          <w:tcPr>
            <w:tcW w:type="dxa" w:w="18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Total (10-year example)</w:t>
            </w:r>
          </w:p>
        </w:tc>
        <w:tc>
          <w:tcPr>
            <w:tcW w:type="dxa" w:w="320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First 5 + next 5</w:t>
            </w:r>
          </w:p>
        </w:tc>
        <w:tc>
          <w:tcPr>
            <w:tcW w:type="dxa" w:w="43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tcPr>
          <w:p>
            <w:r>
              <w:rPr>
                <w:rFonts w:ascii="Arial" w:cs="Arial" w:eastAsia="Arial" w:hAnsi="Arial"/>
                <w:sz w:val="20"/>
                <w:szCs w:val="20"/>
              </w:rPr>
              <w:t xml:space="preserve">SAR 136,500 total EOSB</w:t>
            </w:r>
          </w:p>
        </w:tc>
      </w:tr>
    </w:tbl>
    <w:p>
      <w:pPr>
        <w:spacing w:after="100"/>
      </w:pPr>
      <w:r>
        <w:rPr>
          <w:rFonts w:ascii="Arial" w:cs="Arial" w:eastAsia="Arial" w:hAnsi="Arial"/>
          <w:sz w:val="22"/>
          <w:szCs w:val="22"/>
        </w:rPr>
        <w:t xml:space="preserve">Fly GACA will accrue EOSB liability monthly and report it on the balance sheet from incorporation. A GOSI-linked EOSB reform (scheduled under Saudi Vision 2030) may replace this calculation; the company will update accordingly.</w:t>
      </w:r>
    </w:p>
    <w:p/>
    <w:p>
      <w:pPr>
        <w:pStyle w:val="Heading1"/>
      </w:pPr>
      <w:r>
        <w:t xml:space="preserve">10. Saudi vs. Non-Saudi Pay Considerations</w:t>
      </w:r>
    </w:p>
    <w:p>
      <w:pPr>
        <w:spacing w:after="100"/>
      </w:pPr>
      <w:r>
        <w:rPr>
          <w:rFonts w:ascii="Arial" w:cs="Arial" w:eastAsia="Arial" w:hAnsi="Arial"/>
          <w:sz w:val="22"/>
          <w:szCs w:val="22"/>
        </w:rPr>
        <w:t xml:space="preserve">Fly GACA applies the same salary bands to Saudi and non-Saudi employees in the same role and level. However:</w:t>
      </w:r>
    </w:p>
    <w:p>
      <w:pPr>
        <w:pStyle w:val="ListParagraph"/>
        <w:numPr>
          <w:ilvl w:val="0"/>
          <w:numId w:val="2"/>
        </w:numPr>
        <w:spacing w:after="60"/>
      </w:pPr>
      <w:r>
        <w:rPr>
          <w:rFonts w:ascii="Arial" w:cs="Arial" w:eastAsia="Arial" w:hAnsi="Arial"/>
          <w:sz w:val="22"/>
          <w:szCs w:val="22"/>
        </w:rPr>
        <w:t xml:space="preserve">GOSI contributions differ (Saudi: 21.75% combined; non-Saudi: 3% combined — see Nitaqat Plan)</w:t>
      </w:r>
    </w:p>
    <w:p>
      <w:pPr>
        <w:pStyle w:val="ListParagraph"/>
        <w:numPr>
          <w:ilvl w:val="0"/>
          <w:numId w:val="2"/>
        </w:numPr>
        <w:spacing w:after="60"/>
      </w:pPr>
      <w:r>
        <w:rPr>
          <w:rFonts w:ascii="Arial" w:cs="Arial" w:eastAsia="Arial" w:hAnsi="Arial"/>
          <w:sz w:val="22"/>
          <w:szCs w:val="22"/>
        </w:rPr>
        <w:t xml:space="preserve">Non-Saudi employees incur iqama, work visa, and exit/re-entry costs borne by the company (estimated SAR 5,000–8,000/year per non-Saudi hire); this is factored into total headcount cost planning but not deducted from salary</w:t>
      </w:r>
    </w:p>
    <w:p>
      <w:pPr>
        <w:pStyle w:val="ListParagraph"/>
        <w:numPr>
          <w:ilvl w:val="0"/>
          <w:numId w:val="2"/>
        </w:numPr>
        <w:spacing w:after="60"/>
      </w:pPr>
      <w:r>
        <w:rPr>
          <w:rFonts w:ascii="Arial" w:cs="Arial" w:eastAsia="Arial" w:hAnsi="Arial"/>
          <w:sz w:val="22"/>
          <w:szCs w:val="22"/>
        </w:rPr>
        <w:t xml:space="preserve">Non-Saudi employees are not eligible for HRDF Tamheer subsidies</w:t>
      </w:r>
    </w:p>
    <w:p>
      <w:pPr>
        <w:pStyle w:val="ListParagraph"/>
        <w:numPr>
          <w:ilvl w:val="0"/>
          <w:numId w:val="2"/>
        </w:numPr>
        <w:spacing w:after="60"/>
      </w:pPr>
      <w:r>
        <w:rPr>
          <w:rFonts w:ascii="Arial" w:cs="Arial" w:eastAsia="Arial" w:hAnsi="Arial"/>
          <w:sz w:val="22"/>
          <w:szCs w:val="22"/>
        </w:rPr>
        <w:t xml:space="preserve">End-of-service benefit calculation is identical for Saudi and non-Saudi employees under Saudi Labor Law</w:t>
      </w:r>
    </w:p>
    <w:p>
      <w:pPr>
        <w:spacing w:after="100"/>
      </w:pPr>
      <w:r>
        <w:rPr>
          <w:rFonts w:ascii="Arial" w:cs="Arial" w:eastAsia="Arial" w:hAnsi="Arial"/>
          <w:sz w:val="22"/>
          <w:szCs w:val="22"/>
        </w:rPr>
        <w:t xml:space="preserve">Fly GACA does not pay a nationality premium or nationality discount. Pay is determined by role, level, skills, and market rates.</w:t>
      </w:r>
    </w:p>
    <w:p/>
    <w:p>
      <w:pPr>
        <w:spacing w:after="100"/>
        <w:jc w:val="center"/>
      </w:pPr>
      <w:r>
        <w:rPr>
          <w:rFonts w:ascii="Arial" w:cs="Arial" w:eastAsia="Arial" w:hAnsi="Arial"/>
          <w:sz w:val="22"/>
          <w:szCs w:val="22"/>
        </w:rPr>
        <w:t xml:space="preserve">This Compensation Philosophy is effective May 2026 and will be reviewed annually by the founder (and COO post-hire).</w:t>
      </w:r>
    </w:p>
    <w:p>
      <w:pPr>
        <w:spacing w:after="100"/>
        <w:jc w:val="center"/>
      </w:pPr>
      <w:r>
        <w:rPr>
          <w:rFonts w:ascii="Arial" w:cs="Arial" w:eastAsia="Arial" w:hAnsi="Arial"/>
          <w:sz w:val="22"/>
          <w:szCs w:val="22"/>
        </w:rPr>
        <w:t xml:space="preserve">Fly GACA · Founder: Captain Adel Yahya A. Madkhali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666666"/>
        <w:sz w:val="18"/>
        <w:szCs w:val="18"/>
      </w:rPr>
      <w:t xml:space="preserve">Fly GACA · HR · Compensation Philosophy · v1.0 · May 2026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D6E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2026-05-05T02:17:44.104Z</dcterms:created>
  <dcterms:modified xsi:type="dcterms:W3CDTF">2026-05-05T02:17:44.104Z</dcterms:modified>
</cp:coreProperties>
</file>

<file path=docProps/custom.xml><?xml version="1.0" encoding="utf-8"?>
<Properties xmlns="http://schemas.openxmlformats.org/officeDocument/2006/custom-properties" xmlns:vt="http://schemas.openxmlformats.org/officeDocument/2006/docPropsVTypes"/>
</file>