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pPr>
      <w:r>
        <w:rPr>
          <w:sz w:val="48"/>
          <w:szCs w:val="48"/>
        </w:rPr>
        <w:t xml:space="preserve"/>
      </w:r>
    </w:p>
    <w:p>
      <w:pPr>
        <w:shd w:fill="2D6E8A" w:val="clear"/>
        <w:spacing w:after="0" w:before="0"/>
        <w:jc w:val="center"/>
      </w:pPr>
      <w:r>
        <w:rPr>
          <w:rFonts w:ascii="Arial" w:cs="Arial" w:eastAsia="Arial" w:hAnsi="Arial"/>
          <w:b/>
          <w:bCs/>
          <w:caps/>
          <w:color w:val="FFFFFF"/>
          <w:sz w:val="40"/>
          <w:szCs w:val="40"/>
        </w:rPr>
        <w:t xml:space="preserve">FLY GACA</w:t>
      </w:r>
    </w:p>
    <w:p>
      <w:pPr>
        <w:shd w:fill="2D6E8A" w:val="clear"/>
        <w:spacing w:after="0" w:before="0"/>
        <w:jc w:val="center"/>
      </w:pPr>
      <w:r>
        <w:rPr>
          <w:rFonts w:ascii="Arial" w:cs="Arial" w:eastAsia="Arial" w:hAnsi="Arial"/>
          <w:b/>
          <w:bCs/>
          <w:color w:val="C8A04A"/>
          <w:sz w:val="28"/>
          <w:szCs w:val="28"/>
        </w:rPr>
        <w:t xml:space="preserve">Saudi Government &amp; Tax</w:t>
      </w:r>
    </w:p>
    <w:p>
      <w:pPr>
        <w:pBdr>
          <w:bottom w:val="single" w:color="C8A04A" w:sz="8" w:space="4"/>
        </w:pBdr>
        <w:spacing w:after="240" w:before="80"/>
        <w:jc w:val="center"/>
      </w:pPr>
      <w:r>
        <w:rPr>
          <w:sz w:val="4"/>
          <w:szCs w:val="4"/>
        </w:rPr>
        <w:t xml:space="preserve"/>
      </w:r>
    </w:p>
    <w:p>
      <w:pPr>
        <w:spacing w:after="120" w:before="480"/>
        <w:jc w:val="center"/>
      </w:pPr>
      <w:r>
        <w:rPr>
          <w:rFonts w:ascii="Arial" w:cs="Arial" w:eastAsia="Arial" w:hAnsi="Arial"/>
          <w:b/>
          <w:bCs/>
          <w:color w:val="2D6E8A"/>
          <w:sz w:val="48"/>
          <w:szCs w:val="48"/>
        </w:rPr>
        <w:t xml:space="preserve">Anti-Bribery, AML &amp;
Whistleblower Policy</w:t>
      </w:r>
    </w:p>
    <w:p>
      <w:pPr>
        <w:spacing w:after="960" w:before="0"/>
        <w:jc w:val="center"/>
      </w:pPr>
      <w:r>
        <w:rPr>
          <w:rFonts w:ascii="Arial" w:cs="Arial" w:eastAsia="Arial" w:hAnsi="Arial"/>
          <w:i/>
          <w:iCs/>
          <w:color w:val="555555"/>
          <w:sz w:val="24"/>
          <w:szCs w:val="24"/>
        </w:rPr>
        <w:t xml:space="preserve">Combined Compliance Policy — Effective May 2026</w:t>
      </w:r>
    </w:p>
    <w:p>
      <w:pPr>
        <w:jc w:val="center"/>
      </w:pPr>
      <w:r>
        <w:rPr>
          <w:rFonts w:ascii="Arial" w:cs="Arial" w:eastAsia="Arial" w:hAnsi="Arial"/>
          <w:color w:val="888888"/>
          <w:sz w:val="18"/>
          <w:szCs w:val="18"/>
        </w:rPr>
        <w:t xml:space="preserve">Fly GACA  ·  Saudi Gov &amp; Tax  ·  v1.0  ·  May 2026</w:t>
      </w:r>
    </w:p>
    <w:p>
      <w:pPr>
        <w:jc w:val="center"/>
      </w:pPr>
      <w:r>
        <w:rPr>
          <w:rFonts w:ascii="Arial" w:cs="Arial" w:eastAsia="Arial" w:hAnsi="Arial"/>
          <w:color w:val="888888"/>
          <w:sz w:val="18"/>
          <w:szCs w:val="18"/>
        </w:rPr>
        <w:t xml:space="preserve">Adel Yahya A. Madkhali  ·  i@flygaca.com  ·  +966 51 096 6969  ·  flygaca.com</w:t>
      </w:r>
    </w:p>
    <w:p>
      <w:pPr>
        <w:pageBreakBefore/>
      </w:pPr>
      <w:r/>
    </w:p>
    <w:p>
      <w:pPr>
        <w:shd w:fill="B5DDC2" w:val="clear"/>
        <w:spacing w:after="160" w:before="160"/>
        <w:ind w:left="360" w:right="360"/>
      </w:pPr>
      <w:r>
        <w:rPr>
          <w:rFonts w:ascii="Arial" w:cs="Arial" w:eastAsia="Arial" w:hAnsi="Arial"/>
          <w:i/>
          <w:iCs/>
          <w:color w:val="1A3D2A"/>
          <w:sz w:val="22"/>
          <w:szCs w:val="22"/>
        </w:rPr>
        <w:t xml:space="preserve">This policy establishes Fly GACA’s zero-tolerance stance on bribery and financial crime, its KYC/AML obligations arising from Moyasar payment processing and potential PIF investor onboarding, and its whistleblower protections. Compliance is not optional — violations of Saudi anti-bribery law carry criminal penalties including imprisonment.</w:t>
      </w:r>
    </w:p>
    <w:p>
      <w:r>
        <w:t xml:space="preserve"/>
      </w:r>
    </w:p>
    <w:p>
      <w:r>
        <w:rPr>
          <w:rFonts w:ascii="Arial" w:cs="Arial" w:eastAsia="Arial" w:hAnsi="Arial"/>
          <w:b/>
          <w:bCs/>
          <w:caps/>
          <w:color w:val="2D6E8A"/>
          <w:sz w:val="32"/>
          <w:szCs w:val="32"/>
        </w:rPr>
        <w:t xml:space="preserve">PART A: ANTI-BRIBERY POLICY</w:t>
      </w:r>
    </w:p>
    <w:p>
      <w:r>
        <w:rPr>
          <w:rFonts w:ascii="Arial" w:cs="Arial" w:eastAsia="Arial" w:hAnsi="Arial"/>
          <w:sz w:val="22"/>
          <w:szCs w:val="22"/>
        </w:rPr>
        <w:t xml:space="preserve">Authority: Saudi Anti-Bribery Law (Royal Decree No. M/36 of 1412H). Penalties: Imprisonment up to 10 years + fines up to 1,000,000 SAR + confiscation of bribe value.</w:t>
      </w:r>
    </w:p>
    <w:p>
      <w:r>
        <w:t xml:space="preserve"/>
      </w:r>
    </w:p>
    <w:p>
      <w:pPr>
        <w:pStyle w:val="Heading1"/>
      </w:pPr>
      <w:r>
        <w:rPr>
          <w:rFonts w:ascii="Arial" w:cs="Arial" w:eastAsia="Arial" w:hAnsi="Arial"/>
          <w:b/>
          <w:bCs/>
          <w:color w:val="2D6E8A"/>
          <w:sz w:val="28"/>
          <w:szCs w:val="28"/>
        </w:rPr>
        <w:t xml:space="preserve">A1. Zero Tolerance Statement</w:t>
      </w:r>
    </w:p>
    <w:p>
      <w:r>
        <w:rPr>
          <w:rFonts w:ascii="Arial" w:cs="Arial" w:eastAsia="Arial" w:hAnsi="Arial"/>
          <w:sz w:val="22"/>
          <w:szCs w:val="22"/>
        </w:rPr>
        <w:t xml:space="preserve">Fly GACA, its founder, employees, contractors, consultants, agents, and any third party acting on Fly GACA’s behalf shall not offer, pay, promise, request, or accept any bribe, kickback, or improper payment of any kind. This applies globally and without exception.</w:t>
      </w:r>
    </w:p>
    <w:p>
      <w:r>
        <w:t xml:space="preserve"/>
      </w:r>
    </w:p>
    <w:p>
      <w:pPr>
        <w:pStyle w:val="Heading1"/>
      </w:pPr>
      <w:r>
        <w:rPr>
          <w:rFonts w:ascii="Arial" w:cs="Arial" w:eastAsia="Arial" w:hAnsi="Arial"/>
          <w:b/>
          <w:bCs/>
          <w:color w:val="2D6E8A"/>
          <w:sz w:val="28"/>
          <w:szCs w:val="28"/>
        </w:rPr>
        <w:t xml:space="preserve">A2. Definitions and Scope</w:t>
      </w:r>
    </w:p>
    <w:p>
      <w:pPr>
        <w:pStyle w:val="ListParagraph"/>
        <w:numPr>
          <w:ilvl w:val="0"/>
          <w:numId w:val="2"/>
        </w:numPr>
      </w:pPr>
      <w:r>
        <w:rPr>
          <w:rFonts w:ascii="Arial" w:cs="Arial" w:eastAsia="Arial" w:hAnsi="Arial"/>
          <w:b w:val="false"/>
          <w:bCs w:val="false"/>
          <w:sz w:val="22"/>
          <w:szCs w:val="22"/>
        </w:rPr>
        <w:t xml:space="preserve">Bribe: Any financial or non-financial benefit offered or received to improperly influence a decision</w:t>
      </w:r>
    </w:p>
    <w:p>
      <w:pPr>
        <w:pStyle w:val="ListParagraph"/>
        <w:numPr>
          <w:ilvl w:val="0"/>
          <w:numId w:val="2"/>
        </w:numPr>
      </w:pPr>
      <w:r>
        <w:rPr>
          <w:rFonts w:ascii="Arial" w:cs="Arial" w:eastAsia="Arial" w:hAnsi="Arial"/>
          <w:b w:val="false"/>
          <w:bCs w:val="false"/>
          <w:sz w:val="22"/>
          <w:szCs w:val="22"/>
        </w:rPr>
        <w:t xml:space="preserve">Government Official: Any employee of a Saudi government entity, ministry, GACA, ZATCA, MISA, Monshaʼat, NTDP, or any state-owned enterprise</w:t>
      </w:r>
    </w:p>
    <w:p>
      <w:pPr>
        <w:pStyle w:val="ListParagraph"/>
        <w:numPr>
          <w:ilvl w:val="0"/>
          <w:numId w:val="2"/>
        </w:numPr>
      </w:pPr>
      <w:r>
        <w:rPr>
          <w:rFonts w:ascii="Arial" w:cs="Arial" w:eastAsia="Arial" w:hAnsi="Arial"/>
          <w:b w:val="false"/>
          <w:bCs w:val="false"/>
          <w:sz w:val="22"/>
          <w:szCs w:val="22"/>
        </w:rPr>
        <w:t xml:space="preserve">Facilitation Payment: Small payments to expedite routine government actions (e.g., faster permit processing) — PROHIBITED under this policy and Saudi law</w:t>
      </w:r>
    </w:p>
    <w:p>
      <w:pPr>
        <w:pStyle w:val="ListParagraph"/>
        <w:numPr>
          <w:ilvl w:val="0"/>
          <w:numId w:val="2"/>
        </w:numPr>
      </w:pPr>
      <w:r>
        <w:rPr>
          <w:rFonts w:ascii="Arial" w:cs="Arial" w:eastAsia="Arial" w:hAnsi="Arial"/>
          <w:b w:val="false"/>
          <w:bCs w:val="false"/>
          <w:sz w:val="22"/>
          <w:szCs w:val="22"/>
        </w:rPr>
        <w:t xml:space="preserve">Scope: Covers all Fly GACA activities in Saudi Arabia and internationally</w:t>
      </w:r>
    </w:p>
    <w:p>
      <w:r>
        <w:t xml:space="preserve"/>
      </w:r>
    </w:p>
    <w:p>
      <w:pPr>
        <w:pStyle w:val="Heading1"/>
      </w:pPr>
      <w:r>
        <w:rPr>
          <w:rFonts w:ascii="Arial" w:cs="Arial" w:eastAsia="Arial" w:hAnsi="Arial"/>
          <w:b/>
          <w:bCs/>
          <w:color w:val="2D6E8A"/>
          <w:sz w:val="28"/>
          <w:szCs w:val="28"/>
        </w:rPr>
        <w:t xml:space="preserve">A3. Gifts and Hospitality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D6E8A" w:val="clear"/>
            <w:tcMar>
              <w:top w:type="dxa" w:w="80"/>
              <w:left w:type="dxa" w:w="120"/>
              <w:bottom w:type="dxa" w:w="80"/>
              <w:right w:type="dxa" w:w="120"/>
            </w:tcMar>
          </w:tcPr>
          <w:p>
            <w:r>
              <w:rPr>
                <w:rFonts w:ascii="Arial" w:cs="Arial" w:eastAsia="Arial" w:hAnsi="Arial"/>
                <w:b/>
                <w:bCs/>
                <w:color w:val="FFFFFF"/>
                <w:sz w:val="22"/>
                <w:szCs w:val="22"/>
              </w:rPr>
              <w:t xml:space="preserve">Category</w:t>
            </w:r>
          </w:p>
        </w:tc>
        <w:tc>
          <w:tcPr>
            <w:tcW w:type="dxa" w:w="6360"/>
            <w:tcBorders>
              <w:top w:val="single" w:color="CCCCCC" w:sz="1"/>
              <w:left w:val="single" w:color="CCCCCC" w:sz="1"/>
              <w:bottom w:val="single" w:color="CCCCCC" w:sz="1"/>
              <w:right w:val="single" w:color="CCCCCC" w:sz="1"/>
            </w:tcBorders>
            <w:shd w:fill="2D6E8A" w:val="clear"/>
            <w:tcMar>
              <w:top w:type="dxa" w:w="80"/>
              <w:left w:type="dxa" w:w="120"/>
              <w:bottom w:type="dxa" w:w="80"/>
              <w:right w:type="dxa" w:w="120"/>
            </w:tcMar>
          </w:tcPr>
          <w:p>
            <w:r>
              <w:rPr>
                <w:rFonts w:ascii="Arial" w:cs="Arial" w:eastAsia="Arial" w:hAnsi="Arial"/>
                <w:b/>
                <w:bCs/>
                <w:color w:val="FFFFFF"/>
                <w:sz w:val="22"/>
                <w:szCs w:val="22"/>
              </w:rPr>
              <w:t xml:space="preserve">Maximum Permitted / Prohibition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E12"/>
                <w:sz w:val="22"/>
                <w:szCs w:val="22"/>
              </w:rPr>
              <w:t xml:space="preserve">Gifts FROM non-government parties (received)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E12"/>
                <w:sz w:val="22"/>
                <w:szCs w:val="22"/>
              </w:rPr>
              <w:t xml:space="preserve">Maximum 500 SAR per occasion. Must be disclosed to founder/management. No cash or cash equivalents.</w:t>
            </w:r>
          </w:p>
        </w:tc>
      </w:tr>
      <w:tr>
        <w:tc>
          <w:tcPr>
            <w:tcW w:type="dxa" w:w="3000"/>
            <w:tcBorders>
              <w:top w:val="single" w:color="CCCCCC" w:sz="1"/>
              <w:left w:val="single" w:color="CCCCCC" w:sz="1"/>
              <w:bottom w:val="single" w:color="CCCCCC" w:sz="1"/>
              <w:right w:val="single" w:color="CCCCCC" w:sz="1"/>
            </w:tcBorders>
            <w:shd w:fill="FBF8F2" w:val="clear"/>
            <w:tcMar>
              <w:top w:type="dxa" w:w="80"/>
              <w:left w:type="dxa" w:w="120"/>
              <w:bottom w:type="dxa" w:w="80"/>
              <w:right w:type="dxa" w:w="120"/>
            </w:tcMar>
          </w:tcPr>
          <w:p>
            <w:r>
              <w:rPr>
                <w:rFonts w:ascii="Arial" w:cs="Arial" w:eastAsia="Arial" w:hAnsi="Arial"/>
                <w:b w:val="false"/>
                <w:bCs w:val="false"/>
                <w:color w:val="0A0E12"/>
                <w:sz w:val="22"/>
                <w:szCs w:val="22"/>
              </w:rPr>
              <w:t xml:space="preserve">Gifts TO government officials (given)</w:t>
            </w:r>
          </w:p>
        </w:tc>
        <w:tc>
          <w:tcPr>
            <w:tcW w:type="dxa" w:w="6360"/>
            <w:tcBorders>
              <w:top w:val="single" w:color="CCCCCC" w:sz="1"/>
              <w:left w:val="single" w:color="CCCCCC" w:sz="1"/>
              <w:bottom w:val="single" w:color="CCCCCC" w:sz="1"/>
              <w:right w:val="single" w:color="CCCCCC" w:sz="1"/>
            </w:tcBorders>
            <w:shd w:fill="FBF8F2" w:val="clear"/>
            <w:tcMar>
              <w:top w:type="dxa" w:w="80"/>
              <w:left w:type="dxa" w:w="120"/>
              <w:bottom w:type="dxa" w:w="80"/>
              <w:right w:type="dxa" w:w="120"/>
            </w:tcMar>
          </w:tcPr>
          <w:p>
            <w:r>
              <w:rPr>
                <w:rFonts w:ascii="Arial" w:cs="Arial" w:eastAsia="Arial" w:hAnsi="Arial"/>
                <w:b w:val="false"/>
                <w:bCs w:val="false"/>
                <w:color w:val="0A0E12"/>
                <w:sz w:val="22"/>
                <w:szCs w:val="22"/>
              </w:rPr>
              <w:t xml:space="preserve">0 SAR — absolutely prohibited, regardless of value or occasion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E12"/>
                <w:sz w:val="22"/>
                <w:szCs w:val="22"/>
              </w:rPr>
              <w:t xml:space="preserve">Business hospitality (meals, events)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E12"/>
                <w:sz w:val="22"/>
                <w:szCs w:val="22"/>
              </w:rPr>
              <w:t xml:space="preserve">Reasonable, infrequent, transparent. Must not be intended to influence a decision. Requires prior approval if &gt;300 SAR per person.</w:t>
            </w:r>
          </w:p>
        </w:tc>
      </w:tr>
      <w:tr>
        <w:tc>
          <w:tcPr>
            <w:tcW w:type="dxa" w:w="3000"/>
            <w:tcBorders>
              <w:top w:val="single" w:color="CCCCCC" w:sz="1"/>
              <w:left w:val="single" w:color="CCCCCC" w:sz="1"/>
              <w:bottom w:val="single" w:color="CCCCCC" w:sz="1"/>
              <w:right w:val="single" w:color="CCCCCC" w:sz="1"/>
            </w:tcBorders>
            <w:shd w:fill="FBF8F2" w:val="clear"/>
            <w:tcMar>
              <w:top w:type="dxa" w:w="80"/>
              <w:left w:type="dxa" w:w="120"/>
              <w:bottom w:type="dxa" w:w="80"/>
              <w:right w:type="dxa" w:w="120"/>
            </w:tcMar>
          </w:tcPr>
          <w:p>
            <w:r>
              <w:rPr>
                <w:rFonts w:ascii="Arial" w:cs="Arial" w:eastAsia="Arial" w:hAnsi="Arial"/>
                <w:b w:val="false"/>
                <w:bCs w:val="false"/>
                <w:color w:val="0A0E12"/>
                <w:sz w:val="22"/>
                <w:szCs w:val="22"/>
              </w:rPr>
              <w:t xml:space="preserve">Political contributions</w:t>
            </w:r>
          </w:p>
        </w:tc>
        <w:tc>
          <w:tcPr>
            <w:tcW w:type="dxa" w:w="6360"/>
            <w:tcBorders>
              <w:top w:val="single" w:color="CCCCCC" w:sz="1"/>
              <w:left w:val="single" w:color="CCCCCC" w:sz="1"/>
              <w:bottom w:val="single" w:color="CCCCCC" w:sz="1"/>
              <w:right w:val="single" w:color="CCCCCC" w:sz="1"/>
            </w:tcBorders>
            <w:shd w:fill="FBF8F2" w:val="clear"/>
            <w:tcMar>
              <w:top w:type="dxa" w:w="80"/>
              <w:left w:type="dxa" w:w="120"/>
              <w:bottom w:type="dxa" w:w="80"/>
              <w:right w:type="dxa" w:w="120"/>
            </w:tcMar>
          </w:tcPr>
          <w:p>
            <w:r>
              <w:rPr>
                <w:rFonts w:ascii="Arial" w:cs="Arial" w:eastAsia="Arial" w:hAnsi="Arial"/>
                <w:b w:val="false"/>
                <w:bCs w:val="false"/>
                <w:color w:val="0A0E12"/>
                <w:sz w:val="22"/>
                <w:szCs w:val="22"/>
              </w:rPr>
              <w:t xml:space="preserve">Prohibited. Fly GACA shall make no contributions to political parties, candidates, or campaigns.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E12"/>
                <w:sz w:val="22"/>
                <w:szCs w:val="22"/>
              </w:rPr>
              <w:t xml:space="preserve">Charitable donations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E12"/>
                <w:sz w:val="22"/>
                <w:szCs w:val="22"/>
              </w:rPr>
              <w:t xml:space="preserve">Permitted only through approved channels; must not be used as a conduit for bribery.</w:t>
            </w:r>
          </w:p>
        </w:tc>
      </w:tr>
    </w:tbl>
    <w:p>
      <w:r>
        <w:t xml:space="preserve"/>
      </w:r>
    </w:p>
    <w:p>
      <w:pPr>
        <w:pStyle w:val="Heading1"/>
      </w:pPr>
      <w:r>
        <w:rPr>
          <w:rFonts w:ascii="Arial" w:cs="Arial" w:eastAsia="Arial" w:hAnsi="Arial"/>
          <w:b/>
          <w:bCs/>
          <w:color w:val="2D6E8A"/>
          <w:sz w:val="28"/>
          <w:szCs w:val="28"/>
        </w:rPr>
        <w:t xml:space="preserve">A4. Reporting and Sanctions</w:t>
      </w:r>
    </w:p>
    <w:p>
      <w:pPr>
        <w:pStyle w:val="ListParagraph"/>
        <w:numPr>
          <w:ilvl w:val="0"/>
          <w:numId w:val="2"/>
        </w:numPr>
      </w:pPr>
      <w:r>
        <w:rPr>
          <w:rFonts w:ascii="Arial" w:cs="Arial" w:eastAsia="Arial" w:hAnsi="Arial"/>
          <w:b w:val="false"/>
          <w:bCs w:val="false"/>
          <w:sz w:val="22"/>
          <w:szCs w:val="22"/>
        </w:rPr>
        <w:t xml:space="preserve">Any suspected bribery must be reported immediately to: whistleblower@flygaca.com or the external counsel hotline [COUNSEL NUMBER TO BE INSERTED]</w:t>
      </w:r>
    </w:p>
    <w:p>
      <w:pPr>
        <w:pStyle w:val="ListParagraph"/>
        <w:numPr>
          <w:ilvl w:val="0"/>
          <w:numId w:val="2"/>
        </w:numPr>
      </w:pPr>
      <w:r>
        <w:rPr>
          <w:rFonts w:ascii="Arial" w:cs="Arial" w:eastAsia="Arial" w:hAnsi="Arial"/>
          <w:b w:val="false"/>
          <w:bCs w:val="false"/>
          <w:sz w:val="22"/>
          <w:szCs w:val="22"/>
        </w:rPr>
        <w:t xml:space="preserve">Employees who participate in bribery will be terminated immediately and reported to Saudi authorities</w:t>
      </w:r>
    </w:p>
    <w:p>
      <w:pPr>
        <w:pStyle w:val="ListParagraph"/>
        <w:numPr>
          <w:ilvl w:val="0"/>
          <w:numId w:val="2"/>
        </w:numPr>
      </w:pPr>
      <w:r>
        <w:rPr>
          <w:rFonts w:ascii="Arial" w:cs="Arial" w:eastAsia="Arial" w:hAnsi="Arial"/>
          <w:b w:val="false"/>
          <w:bCs w:val="false"/>
          <w:sz w:val="22"/>
          <w:szCs w:val="22"/>
        </w:rPr>
        <w:t xml:space="preserve">Fly GACA will cooperate fully with any government investigation</w:t>
      </w:r>
    </w:p>
    <w:p>
      <w:pPr>
        <w:pStyle w:val="ListParagraph"/>
        <w:numPr>
          <w:ilvl w:val="0"/>
          <w:numId w:val="2"/>
        </w:numPr>
      </w:pPr>
      <w:r>
        <w:rPr>
          <w:rFonts w:ascii="Arial" w:cs="Arial" w:eastAsia="Arial" w:hAnsi="Arial"/>
          <w:b w:val="false"/>
          <w:bCs w:val="false"/>
          <w:sz w:val="22"/>
          <w:szCs w:val="22"/>
        </w:rPr>
        <w:t xml:space="preserve">No employee will face retaliation for good-faith reporting of suspected bribery (see Part C)</w:t>
      </w:r>
    </w:p>
    <w:p>
      <w:r>
        <w:t xml:space="preserve"/>
      </w:r>
    </w:p>
    <w:p>
      <w:pPr>
        <w:spacing w:before="320"/>
      </w:pPr>
      <w:r>
        <w:rPr>
          <w:rFonts w:ascii="Arial" w:cs="Arial" w:eastAsia="Arial" w:hAnsi="Arial"/>
          <w:b/>
          <w:bCs/>
          <w:caps/>
          <w:color w:val="2D6E8A"/>
          <w:sz w:val="32"/>
          <w:szCs w:val="32"/>
        </w:rPr>
        <w:t xml:space="preserve">PART B: AML &amp; KYC POLICY</w:t>
      </w:r>
    </w:p>
    <w:p>
      <w:r>
        <w:rPr>
          <w:rFonts w:ascii="Arial" w:cs="Arial" w:eastAsia="Arial" w:hAnsi="Arial"/>
          <w:sz w:val="22"/>
          <w:szCs w:val="22"/>
        </w:rPr>
        <w:t xml:space="preserve">Relevant legal basis: Saudi AML Law (Royal Decree M/31 2017), SAMA AML/CFT Rules, FATF Recommendations (Saudi Arabia is a FATF member).</w:t>
      </w:r>
    </w:p>
    <w:p>
      <w:r>
        <w:t xml:space="preserve"/>
      </w:r>
    </w:p>
    <w:p>
      <w:pPr>
        <w:pStyle w:val="Heading1"/>
      </w:pPr>
      <w:r>
        <w:rPr>
          <w:rFonts w:ascii="Arial" w:cs="Arial" w:eastAsia="Arial" w:hAnsi="Arial"/>
          <w:b/>
          <w:bCs/>
          <w:color w:val="2D6E8A"/>
          <w:sz w:val="28"/>
          <w:szCs w:val="28"/>
        </w:rPr>
        <w:t xml:space="preserve">B1. KYC Requirements for Academy Customers (B2B)</w:t>
      </w:r>
    </w:p>
    <w:p>
      <w:r>
        <w:rPr>
          <w:rFonts w:ascii="Arial" w:cs="Arial" w:eastAsia="Arial" w:hAnsi="Arial"/>
          <w:sz w:val="22"/>
          <w:szCs w:val="22"/>
        </w:rPr>
        <w:t xml:space="preserve">Before entering into any Academy contract or White Label arrangement, Fly GACA must complete Know Your Customer (KYC) verification:</w:t>
      </w:r>
    </w:p>
    <w:p>
      <w:pPr>
        <w:pStyle w:val="ListParagraph"/>
        <w:numPr>
          <w:ilvl w:val="0"/>
          <w:numId w:val="2"/>
        </w:numPr>
      </w:pPr>
      <w:r>
        <w:rPr>
          <w:rFonts w:ascii="Arial" w:cs="Arial" w:eastAsia="Arial" w:hAnsi="Arial"/>
          <w:b w:val="false"/>
          <w:bCs w:val="false"/>
          <w:sz w:val="22"/>
          <w:szCs w:val="22"/>
        </w:rPr>
        <w:t xml:space="preserve">Obtain: Valid CR copy of the contracting entity</w:t>
      </w:r>
    </w:p>
    <w:p>
      <w:pPr>
        <w:pStyle w:val="ListParagraph"/>
        <w:numPr>
          <w:ilvl w:val="0"/>
          <w:numId w:val="2"/>
        </w:numPr>
      </w:pPr>
      <w:r>
        <w:rPr>
          <w:rFonts w:ascii="Arial" w:cs="Arial" w:eastAsia="Arial" w:hAnsi="Arial"/>
          <w:b w:val="false"/>
          <w:bCs w:val="false"/>
          <w:sz w:val="22"/>
          <w:szCs w:val="22"/>
        </w:rPr>
        <w:t xml:space="preserve">Obtain: Valid MISA license (if applicable to the customer entity)</w:t>
      </w:r>
    </w:p>
    <w:p>
      <w:pPr>
        <w:pStyle w:val="ListParagraph"/>
        <w:numPr>
          <w:ilvl w:val="0"/>
          <w:numId w:val="2"/>
        </w:numPr>
      </w:pPr>
      <w:r>
        <w:rPr>
          <w:rFonts w:ascii="Arial" w:cs="Arial" w:eastAsia="Arial" w:hAnsi="Arial"/>
          <w:b w:val="false"/>
          <w:bCs w:val="false"/>
          <w:sz w:val="22"/>
          <w:szCs w:val="22"/>
        </w:rPr>
        <w:t xml:space="preserve">Obtain: Authorised signatory national ID + delegation letter</w:t>
      </w:r>
    </w:p>
    <w:p>
      <w:pPr>
        <w:pStyle w:val="ListParagraph"/>
        <w:numPr>
          <w:ilvl w:val="0"/>
          <w:numId w:val="2"/>
        </w:numPr>
      </w:pPr>
      <w:r>
        <w:rPr>
          <w:rFonts w:ascii="Arial" w:cs="Arial" w:eastAsia="Arial" w:hAnsi="Arial"/>
          <w:b w:val="false"/>
          <w:bCs w:val="false"/>
          <w:sz w:val="22"/>
          <w:szCs w:val="22"/>
        </w:rPr>
        <w:t xml:space="preserve">Verify: Entity name against Saudi Arabia’s OFAC/UN/SAMA sanctions lists</w:t>
      </w:r>
    </w:p>
    <w:p>
      <w:pPr>
        <w:pStyle w:val="ListParagraph"/>
        <w:numPr>
          <w:ilvl w:val="0"/>
          <w:numId w:val="2"/>
        </w:numPr>
      </w:pPr>
      <w:r>
        <w:rPr>
          <w:rFonts w:ascii="Arial" w:cs="Arial" w:eastAsia="Arial" w:hAnsi="Arial"/>
          <w:b w:val="false"/>
          <w:bCs w:val="false"/>
          <w:sz w:val="22"/>
          <w:szCs w:val="22"/>
        </w:rPr>
        <w:t xml:space="preserve">Retain: All KYC documents for minimum 10 years</w:t>
      </w:r>
    </w:p>
    <w:p>
      <w:r>
        <w:t xml:space="preserve"/>
      </w:r>
    </w:p>
    <w:p>
      <w:pPr>
        <w:pStyle w:val="Heading1"/>
      </w:pPr>
      <w:r>
        <w:rPr>
          <w:rFonts w:ascii="Arial" w:cs="Arial" w:eastAsia="Arial" w:hAnsi="Arial"/>
          <w:b/>
          <w:bCs/>
          <w:color w:val="2D6E8A"/>
          <w:sz w:val="28"/>
          <w:szCs w:val="28"/>
        </w:rPr>
        <w:t xml:space="preserve">B2. Sanctions Screening</w:t>
      </w:r>
    </w:p>
    <w:p>
      <w:pPr>
        <w:pStyle w:val="ListParagraph"/>
        <w:numPr>
          <w:ilvl w:val="0"/>
          <w:numId w:val="2"/>
        </w:numPr>
      </w:pPr>
      <w:r>
        <w:rPr>
          <w:rFonts w:ascii="Arial" w:cs="Arial" w:eastAsia="Arial" w:hAnsi="Arial"/>
          <w:b w:val="false"/>
          <w:bCs w:val="false"/>
          <w:sz w:val="22"/>
          <w:szCs w:val="22"/>
        </w:rPr>
        <w:t xml:space="preserve">Screen all customers and counterparties against: OFAC SDN list, UN Security Council consolidated list, Saudi SAMA sanctions list, EU Consolidated list</w:t>
      </w:r>
    </w:p>
    <w:p>
      <w:pPr>
        <w:pStyle w:val="ListParagraph"/>
        <w:numPr>
          <w:ilvl w:val="0"/>
          <w:numId w:val="2"/>
        </w:numPr>
      </w:pPr>
      <w:r>
        <w:rPr>
          <w:rFonts w:ascii="Arial" w:cs="Arial" w:eastAsia="Arial" w:hAnsi="Arial"/>
          <w:b w:val="false"/>
          <w:bCs w:val="false"/>
          <w:sz w:val="22"/>
          <w:szCs w:val="22"/>
        </w:rPr>
        <w:t xml:space="preserve">Screening tool: Use a recognised screening service [TOOL TO BE SELECTED: e.g., Refinitiv World-Check]</w:t>
      </w:r>
    </w:p>
    <w:p>
      <w:pPr>
        <w:pStyle w:val="ListParagraph"/>
        <w:numPr>
          <w:ilvl w:val="0"/>
          <w:numId w:val="2"/>
        </w:numPr>
      </w:pPr>
      <w:r>
        <w:rPr>
          <w:rFonts w:ascii="Arial" w:cs="Arial" w:eastAsia="Arial" w:hAnsi="Arial"/>
          <w:b w:val="false"/>
          <w:bCs w:val="false"/>
          <w:sz w:val="22"/>
          <w:szCs w:val="22"/>
        </w:rPr>
        <w:t xml:space="preserve">Re-screen: At contract renewal and upon any change in customer ownership</w:t>
      </w:r>
    </w:p>
    <w:p>
      <w:pPr>
        <w:pStyle w:val="ListParagraph"/>
        <w:numPr>
          <w:ilvl w:val="0"/>
          <w:numId w:val="2"/>
        </w:numPr>
      </w:pPr>
      <w:r>
        <w:rPr>
          <w:rFonts w:ascii="Arial" w:cs="Arial" w:eastAsia="Arial" w:hAnsi="Arial"/>
          <w:b w:val="false"/>
          <w:bCs w:val="false"/>
          <w:sz w:val="22"/>
          <w:szCs w:val="22"/>
        </w:rPr>
        <w:t xml:space="preserve">Match: Any potential match must be escalated to founder + legal counsel before proceeding</w:t>
      </w:r>
    </w:p>
    <w:p>
      <w:r>
        <w:t xml:space="preserve"/>
      </w:r>
    </w:p>
    <w:p>
      <w:pPr>
        <w:pStyle w:val="Heading1"/>
      </w:pPr>
      <w:r>
        <w:rPr>
          <w:rFonts w:ascii="Arial" w:cs="Arial" w:eastAsia="Arial" w:hAnsi="Arial"/>
          <w:b/>
          <w:bCs/>
          <w:color w:val="2D6E8A"/>
          <w:sz w:val="28"/>
          <w:szCs w:val="28"/>
        </w:rPr>
        <w:t xml:space="preserve">B3. Suspicious Transaction Reporting</w:t>
      </w:r>
    </w:p>
    <w:p>
      <w:pPr>
        <w:pStyle w:val="ListParagraph"/>
        <w:numPr>
          <w:ilvl w:val="0"/>
          <w:numId w:val="2"/>
        </w:numPr>
      </w:pPr>
      <w:r>
        <w:rPr>
          <w:rFonts w:ascii="Arial" w:cs="Arial" w:eastAsia="Arial" w:hAnsi="Arial"/>
          <w:b w:val="false"/>
          <w:bCs w:val="false"/>
          <w:sz w:val="22"/>
          <w:szCs w:val="22"/>
        </w:rPr>
        <w:t xml:space="preserve">Threshold for heightened scrutiny: Any single cash-equivalent payment of 75,000 SAR or more</w:t>
      </w:r>
    </w:p>
    <w:p>
      <w:pPr>
        <w:pStyle w:val="ListParagraph"/>
        <w:numPr>
          <w:ilvl w:val="0"/>
          <w:numId w:val="2"/>
        </w:numPr>
      </w:pPr>
      <w:r>
        <w:rPr>
          <w:rFonts w:ascii="Arial" w:cs="Arial" w:eastAsia="Arial" w:hAnsi="Arial"/>
          <w:b w:val="false"/>
          <w:bCs w:val="false"/>
          <w:sz w:val="22"/>
          <w:szCs w:val="22"/>
        </w:rPr>
        <w:t xml:space="preserve">Red flags: Unusual payment methods, split transactions, third-party payments, reluctance to provide KYC documents</w:t>
      </w:r>
    </w:p>
    <w:p>
      <w:pPr>
        <w:pStyle w:val="ListParagraph"/>
        <w:numPr>
          <w:ilvl w:val="0"/>
          <w:numId w:val="2"/>
        </w:numPr>
      </w:pPr>
      <w:r>
        <w:rPr>
          <w:rFonts w:ascii="Arial" w:cs="Arial" w:eastAsia="Arial" w:hAnsi="Arial"/>
          <w:b w:val="false"/>
          <w:bCs w:val="false"/>
          <w:sz w:val="22"/>
          <w:szCs w:val="22"/>
        </w:rPr>
        <w:t xml:space="preserve">Reporting: File Suspicious Activity Report (SAR) with Saudi Financial Intelligence Unit (FIU) at safiu.gov.sa within 3 business days of detection</w:t>
      </w:r>
    </w:p>
    <w:p>
      <w:pPr>
        <w:pStyle w:val="ListParagraph"/>
        <w:numPr>
          <w:ilvl w:val="0"/>
          <w:numId w:val="2"/>
        </w:numPr>
      </w:pPr>
      <w:r>
        <w:rPr>
          <w:rFonts w:ascii="Arial" w:cs="Arial" w:eastAsia="Arial" w:hAnsi="Arial"/>
          <w:b w:val="false"/>
          <w:bCs w:val="false"/>
          <w:sz w:val="22"/>
          <w:szCs w:val="22"/>
        </w:rPr>
        <w:t xml:space="preserve">Do not tip off: Never inform the subject of a SAR that a report has been filed</w:t>
      </w:r>
    </w:p>
    <w:p>
      <w:r>
        <w:t xml:space="preserve"/>
      </w:r>
    </w:p>
    <w:p>
      <w:pPr>
        <w:pStyle w:val="Heading1"/>
      </w:pPr>
      <w:r>
        <w:rPr>
          <w:rFonts w:ascii="Arial" w:cs="Arial" w:eastAsia="Arial" w:hAnsi="Arial"/>
          <w:b/>
          <w:bCs/>
          <w:color w:val="2D6E8A"/>
          <w:sz w:val="28"/>
          <w:szCs w:val="28"/>
        </w:rPr>
        <w:t xml:space="preserve">B4. PIF / Investor Onboarding KYC</w:t>
      </w:r>
    </w:p>
    <w:p>
      <w:pPr>
        <w:pStyle w:val="ListParagraph"/>
        <w:numPr>
          <w:ilvl w:val="0"/>
          <w:numId w:val="2"/>
        </w:numPr>
      </w:pPr>
      <w:r>
        <w:rPr>
          <w:rFonts w:ascii="Arial" w:cs="Arial" w:eastAsia="Arial" w:hAnsi="Arial"/>
          <w:b w:val="false"/>
          <w:bCs w:val="false"/>
          <w:sz w:val="22"/>
          <w:szCs w:val="22"/>
        </w:rPr>
        <w:t xml:space="preserve">For any institutional investor onboarding (e.g., PIF, STV, Wa’ed, Sanabil): Enhanced Due Diligence (EDD) applies</w:t>
      </w:r>
    </w:p>
    <w:p>
      <w:pPr>
        <w:pStyle w:val="ListParagraph"/>
        <w:numPr>
          <w:ilvl w:val="0"/>
          <w:numId w:val="2"/>
        </w:numPr>
      </w:pPr>
      <w:r>
        <w:rPr>
          <w:rFonts w:ascii="Arial" w:cs="Arial" w:eastAsia="Arial" w:hAnsi="Arial"/>
          <w:b w:val="false"/>
          <w:bCs w:val="false"/>
          <w:sz w:val="22"/>
          <w:szCs w:val="22"/>
        </w:rPr>
        <w:t xml:space="preserve">Obtain: Certificate of incorporation, ownership structure, UBO declaration, source of funds confirmation</w:t>
      </w:r>
    </w:p>
    <w:p>
      <w:pPr>
        <w:pStyle w:val="ListParagraph"/>
        <w:numPr>
          <w:ilvl w:val="0"/>
          <w:numId w:val="2"/>
        </w:numPr>
      </w:pPr>
      <w:r>
        <w:rPr>
          <w:rFonts w:ascii="Arial" w:cs="Arial" w:eastAsia="Arial" w:hAnsi="Arial"/>
          <w:b w:val="false"/>
          <w:bCs w:val="false"/>
          <w:sz w:val="22"/>
          <w:szCs w:val="22"/>
        </w:rPr>
        <w:t xml:space="preserve">Legal review: All investment agreements must be reviewed by Saudi-qualified counsel before execution</w:t>
      </w:r>
    </w:p>
    <w:p>
      <w:r>
        <w:t xml:space="preserve"/>
      </w:r>
    </w:p>
    <w:p>
      <w:pPr>
        <w:pStyle w:val="Heading1"/>
      </w:pPr>
      <w:r>
        <w:rPr>
          <w:rFonts w:ascii="Arial" w:cs="Arial" w:eastAsia="Arial" w:hAnsi="Arial"/>
          <w:b/>
          <w:bCs/>
          <w:color w:val="2D6E8A"/>
          <w:sz w:val="28"/>
          <w:szCs w:val="28"/>
        </w:rPr>
        <w:t xml:space="preserve">B5. Record-Keeping</w:t>
      </w:r>
    </w:p>
    <w:p>
      <w:pPr>
        <w:pStyle w:val="ListParagraph"/>
        <w:numPr>
          <w:ilvl w:val="0"/>
          <w:numId w:val="2"/>
        </w:numPr>
      </w:pPr>
      <w:r>
        <w:rPr>
          <w:rFonts w:ascii="Arial" w:cs="Arial" w:eastAsia="Arial" w:hAnsi="Arial"/>
          <w:b w:val="false"/>
          <w:bCs w:val="false"/>
          <w:sz w:val="22"/>
          <w:szCs w:val="22"/>
        </w:rPr>
        <w:t xml:space="preserve">All KYC records, transaction records, and SAR filings: Retain for minimum 10 years</w:t>
      </w:r>
    </w:p>
    <w:p>
      <w:pPr>
        <w:pStyle w:val="ListParagraph"/>
        <w:numPr>
          <w:ilvl w:val="0"/>
          <w:numId w:val="2"/>
        </w:numPr>
      </w:pPr>
      <w:r>
        <w:rPr>
          <w:rFonts w:ascii="Arial" w:cs="Arial" w:eastAsia="Arial" w:hAnsi="Arial"/>
          <w:b w:val="false"/>
          <w:bCs w:val="false"/>
          <w:sz w:val="22"/>
          <w:szCs w:val="22"/>
        </w:rPr>
        <w:t xml:space="preserve">Records must be retrievable within 48 hours for regulatory audit</w:t>
      </w:r>
    </w:p>
    <w:p>
      <w:pPr>
        <w:pStyle w:val="ListParagraph"/>
        <w:numPr>
          <w:ilvl w:val="0"/>
          <w:numId w:val="2"/>
        </w:numPr>
      </w:pPr>
      <w:r>
        <w:rPr>
          <w:rFonts w:ascii="Arial" w:cs="Arial" w:eastAsia="Arial" w:hAnsi="Arial"/>
          <w:b w:val="false"/>
          <w:bCs w:val="false"/>
          <w:sz w:val="22"/>
          <w:szCs w:val="22"/>
        </w:rPr>
        <w:t xml:space="preserve">Electronic storage acceptable — must be encrypted and access-logged</w:t>
      </w:r>
    </w:p>
    <w:p>
      <w:r>
        <w:t xml:space="preserve"/>
      </w:r>
    </w:p>
    <w:p>
      <w:pPr>
        <w:spacing w:before="320"/>
      </w:pPr>
      <w:r>
        <w:rPr>
          <w:rFonts w:ascii="Arial" w:cs="Arial" w:eastAsia="Arial" w:hAnsi="Arial"/>
          <w:b/>
          <w:bCs/>
          <w:caps/>
          <w:color w:val="2D6E8A"/>
          <w:sz w:val="32"/>
          <w:szCs w:val="32"/>
        </w:rPr>
        <w:t xml:space="preserve">PART C: WHISTLEBLOWER POLICY</w:t>
      </w:r>
    </w:p>
    <w:p>
      <w:r>
        <w:t xml:space="preserve"/>
      </w:r>
    </w:p>
    <w:p>
      <w:pPr>
        <w:pStyle w:val="Heading1"/>
      </w:pPr>
      <w:r>
        <w:rPr>
          <w:rFonts w:ascii="Arial" w:cs="Arial" w:eastAsia="Arial" w:hAnsi="Arial"/>
          <w:b/>
          <w:bCs/>
          <w:color w:val="2D6E8A"/>
          <w:sz w:val="28"/>
          <w:szCs w:val="28"/>
        </w:rPr>
        <w:t xml:space="preserve">C1. Reporting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D6E8A" w:val="clear"/>
            <w:tcMar>
              <w:top w:type="dxa" w:w="80"/>
              <w:left w:type="dxa" w:w="120"/>
              <w:bottom w:type="dxa" w:w="80"/>
              <w:right w:type="dxa" w:w="120"/>
            </w:tcMar>
          </w:tcPr>
          <w:p>
            <w:r>
              <w:rPr>
                <w:rFonts w:ascii="Arial" w:cs="Arial" w:eastAsia="Arial" w:hAnsi="Arial"/>
                <w:b/>
                <w:bCs/>
                <w:color w:val="FFFFFF"/>
                <w:sz w:val="22"/>
                <w:szCs w:val="22"/>
              </w:rPr>
              <w:t xml:space="preserve">Channel</w:t>
            </w:r>
          </w:p>
        </w:tc>
        <w:tc>
          <w:tcPr>
            <w:tcW w:type="dxa" w:w="6360"/>
            <w:tcBorders>
              <w:top w:val="single" w:color="CCCCCC" w:sz="1"/>
              <w:left w:val="single" w:color="CCCCCC" w:sz="1"/>
              <w:bottom w:val="single" w:color="CCCCCC" w:sz="1"/>
              <w:right w:val="single" w:color="CCCCCC" w:sz="1"/>
            </w:tcBorders>
            <w:shd w:fill="2D6E8A" w:val="clear"/>
            <w:tcMar>
              <w:top w:type="dxa" w:w="80"/>
              <w:left w:type="dxa" w:w="120"/>
              <w:bottom w:type="dxa" w:w="80"/>
              <w:right w:type="dxa" w:w="120"/>
            </w:tcMar>
          </w:tcPr>
          <w:p>
            <w:r>
              <w:rPr>
                <w:rFonts w:ascii="Arial" w:cs="Arial" w:eastAsia="Arial" w:hAnsi="Arial"/>
                <w:b/>
                <w:bCs/>
                <w:color w:val="FFFFFF"/>
                <w:sz w:val="22"/>
                <w:szCs w:val="22"/>
              </w:rPr>
              <w:t xml:space="preserve">Contact &amp; Process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E12"/>
                <w:sz w:val="22"/>
                <w:szCs w:val="22"/>
              </w:rPr>
              <w:t xml:space="preserve">Internal email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E12"/>
                <w:sz w:val="22"/>
                <w:szCs w:val="22"/>
              </w:rPr>
              <w:t xml:space="preserve">whistleblower@flygaca.com — monitored by founder (or board designee for matters involving founder)</w:t>
            </w:r>
          </w:p>
        </w:tc>
      </w:tr>
      <w:tr>
        <w:tc>
          <w:tcPr>
            <w:tcW w:type="dxa" w:w="3000"/>
            <w:tcBorders>
              <w:top w:val="single" w:color="CCCCCC" w:sz="1"/>
              <w:left w:val="single" w:color="CCCCCC" w:sz="1"/>
              <w:bottom w:val="single" w:color="CCCCCC" w:sz="1"/>
              <w:right w:val="single" w:color="CCCCCC" w:sz="1"/>
            </w:tcBorders>
            <w:shd w:fill="FBF8F2" w:val="clear"/>
            <w:tcMar>
              <w:top w:type="dxa" w:w="80"/>
              <w:left w:type="dxa" w:w="120"/>
              <w:bottom w:type="dxa" w:w="80"/>
              <w:right w:type="dxa" w:w="120"/>
            </w:tcMar>
          </w:tcPr>
          <w:p>
            <w:r>
              <w:rPr>
                <w:rFonts w:ascii="Arial" w:cs="Arial" w:eastAsia="Arial" w:hAnsi="Arial"/>
                <w:b w:val="false"/>
                <w:bCs w:val="false"/>
                <w:color w:val="0A0E12"/>
                <w:sz w:val="22"/>
                <w:szCs w:val="22"/>
              </w:rPr>
              <w:t xml:space="preserve">External counsel hotline</w:t>
            </w:r>
          </w:p>
        </w:tc>
        <w:tc>
          <w:tcPr>
            <w:tcW w:type="dxa" w:w="6360"/>
            <w:tcBorders>
              <w:top w:val="single" w:color="CCCCCC" w:sz="1"/>
              <w:left w:val="single" w:color="CCCCCC" w:sz="1"/>
              <w:bottom w:val="single" w:color="CCCCCC" w:sz="1"/>
              <w:right w:val="single" w:color="CCCCCC" w:sz="1"/>
            </w:tcBorders>
            <w:shd w:fill="FBF8F2" w:val="clear"/>
            <w:tcMar>
              <w:top w:type="dxa" w:w="80"/>
              <w:left w:type="dxa" w:w="120"/>
              <w:bottom w:type="dxa" w:w="80"/>
              <w:right w:type="dxa" w:w="120"/>
            </w:tcMar>
          </w:tcPr>
          <w:p>
            <w:r>
              <w:rPr>
                <w:rFonts w:ascii="Arial" w:cs="Arial" w:eastAsia="Arial" w:hAnsi="Arial"/>
                <w:b w:val="false"/>
                <w:bCs w:val="false"/>
                <w:color w:val="0A0E12"/>
                <w:sz w:val="22"/>
                <w:szCs w:val="22"/>
              </w:rPr>
              <w:t xml:space="preserve">[EXTERNAL COUNSEL NAME &amp; NUMBER TO BE INSERTED] — managed independently, reports summarised without identity to board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E12"/>
                <w:sz w:val="22"/>
                <w:szCs w:val="22"/>
              </w:rPr>
              <w:t xml:space="preserve">Anonymous option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E12"/>
                <w:sz w:val="22"/>
                <w:szCs w:val="22"/>
              </w:rPr>
              <w:t xml:space="preserve">External counsel channel supports fully anonymous reporting. No IP logging.</w:t>
            </w:r>
          </w:p>
        </w:tc>
      </w:tr>
    </w:tbl>
    <w:p>
      <w:r>
        <w:t xml:space="preserve"/>
      </w:r>
    </w:p>
    <w:p>
      <w:pPr>
        <w:pStyle w:val="Heading1"/>
      </w:pPr>
      <w:r>
        <w:rPr>
          <w:rFonts w:ascii="Arial" w:cs="Arial" w:eastAsia="Arial" w:hAnsi="Arial"/>
          <w:b/>
          <w:bCs/>
          <w:color w:val="2D6E8A"/>
          <w:sz w:val="28"/>
          <w:szCs w:val="28"/>
        </w:rPr>
        <w:t xml:space="preserve">C2. Reportable Conduct</w:t>
      </w:r>
    </w:p>
    <w:p>
      <w:pPr>
        <w:pStyle w:val="ListParagraph"/>
        <w:numPr>
          <w:ilvl w:val="0"/>
          <w:numId w:val="2"/>
        </w:numPr>
      </w:pPr>
      <w:r>
        <w:rPr>
          <w:rFonts w:ascii="Arial" w:cs="Arial" w:eastAsia="Arial" w:hAnsi="Arial"/>
          <w:b w:val="false"/>
          <w:bCs w:val="false"/>
          <w:sz w:val="22"/>
          <w:szCs w:val="22"/>
        </w:rPr>
        <w:t xml:space="preserve">Bribery, corruption, or any violation of Part A of this policy</w:t>
      </w:r>
    </w:p>
    <w:p>
      <w:pPr>
        <w:pStyle w:val="ListParagraph"/>
        <w:numPr>
          <w:ilvl w:val="0"/>
          <w:numId w:val="2"/>
        </w:numPr>
      </w:pPr>
      <w:r>
        <w:rPr>
          <w:rFonts w:ascii="Arial" w:cs="Arial" w:eastAsia="Arial" w:hAnsi="Arial"/>
          <w:b w:val="false"/>
          <w:bCs w:val="false"/>
          <w:sz w:val="22"/>
          <w:szCs w:val="22"/>
        </w:rPr>
        <w:t xml:space="preserve">Financial fraud, misappropriation, or embezzlement</w:t>
      </w:r>
    </w:p>
    <w:p>
      <w:pPr>
        <w:pStyle w:val="ListParagraph"/>
        <w:numPr>
          <w:ilvl w:val="0"/>
          <w:numId w:val="2"/>
        </w:numPr>
      </w:pPr>
      <w:r>
        <w:rPr>
          <w:rFonts w:ascii="Arial" w:cs="Arial" w:eastAsia="Arial" w:hAnsi="Arial"/>
          <w:b w:val="false"/>
          <w:bCs w:val="false"/>
          <w:sz w:val="22"/>
          <w:szCs w:val="22"/>
        </w:rPr>
        <w:t xml:space="preserve">Workplace harassment, discrimination, or unsafe conditions</w:t>
      </w:r>
    </w:p>
    <w:p>
      <w:pPr>
        <w:pStyle w:val="ListParagraph"/>
        <w:numPr>
          <w:ilvl w:val="0"/>
          <w:numId w:val="2"/>
        </w:numPr>
      </w:pPr>
      <w:r>
        <w:rPr>
          <w:rFonts w:ascii="Arial" w:cs="Arial" w:eastAsia="Arial" w:hAnsi="Arial"/>
          <w:b w:val="false"/>
          <w:bCs w:val="false"/>
          <w:sz w:val="22"/>
          <w:szCs w:val="22"/>
        </w:rPr>
        <w:t xml:space="preserve">Regulatory violations (ZATCA, GACA, MISA, GOSI, PDPL)</w:t>
      </w:r>
    </w:p>
    <w:p>
      <w:pPr>
        <w:pStyle w:val="ListParagraph"/>
        <w:numPr>
          <w:ilvl w:val="0"/>
          <w:numId w:val="2"/>
        </w:numPr>
      </w:pPr>
      <w:r>
        <w:rPr>
          <w:rFonts w:ascii="Arial" w:cs="Arial" w:eastAsia="Arial" w:hAnsi="Arial"/>
          <w:b w:val="false"/>
          <w:bCs w:val="false"/>
          <w:sz w:val="22"/>
          <w:szCs w:val="22"/>
        </w:rPr>
        <w:t xml:space="preserve">Safety violations affecting aviation training content accuracy</w:t>
      </w:r>
    </w:p>
    <w:p>
      <w:pPr>
        <w:pStyle w:val="ListParagraph"/>
        <w:numPr>
          <w:ilvl w:val="0"/>
          <w:numId w:val="2"/>
        </w:numPr>
      </w:pPr>
      <w:r>
        <w:rPr>
          <w:rFonts w:ascii="Arial" w:cs="Arial" w:eastAsia="Arial" w:hAnsi="Arial"/>
          <w:b w:val="false"/>
          <w:bCs w:val="false"/>
          <w:sz w:val="22"/>
          <w:szCs w:val="22"/>
        </w:rPr>
        <w:t xml:space="preserve">Retaliation against another whistleblower</w:t>
      </w:r>
    </w:p>
    <w:p>
      <w:r>
        <w:t xml:space="preserve"/>
      </w:r>
    </w:p>
    <w:p>
      <w:pPr>
        <w:pStyle w:val="Heading1"/>
      </w:pPr>
      <w:r>
        <w:rPr>
          <w:rFonts w:ascii="Arial" w:cs="Arial" w:eastAsia="Arial" w:hAnsi="Arial"/>
          <w:b/>
          <w:bCs/>
          <w:color w:val="2D6E8A"/>
          <w:sz w:val="28"/>
          <w:szCs w:val="28"/>
        </w:rPr>
        <w:t xml:space="preserve">C3. No-Retaliation Guarantee</w:t>
      </w:r>
    </w:p>
    <w:p>
      <w:r>
        <w:rPr>
          <w:rFonts w:ascii="Arial" w:cs="Arial" w:eastAsia="Arial" w:hAnsi="Arial"/>
          <w:sz w:val="22"/>
          <w:szCs w:val="22"/>
        </w:rPr>
        <w:t xml:space="preserve">Fly GACA strictly prohibits retaliation against any person who in good faith reports suspected misconduct. Retaliation includes: termination, demotion, harassment, exclusion, or any adverse employment action taken because of a whistleblower report. Any retaliation will itself constitute a serious disciplinary offence subject to immediate termination and potential legal action.</w:t>
      </w:r>
    </w:p>
    <w:p>
      <w:r>
        <w:t xml:space="preserve"/>
      </w:r>
    </w:p>
    <w:p>
      <w:pPr>
        <w:pStyle w:val="Heading1"/>
      </w:pPr>
      <w:r>
        <w:rPr>
          <w:rFonts w:ascii="Arial" w:cs="Arial" w:eastAsia="Arial" w:hAnsi="Arial"/>
          <w:b/>
          <w:bCs/>
          <w:color w:val="2D6E8A"/>
          <w:sz w:val="28"/>
          <w:szCs w:val="28"/>
        </w:rPr>
        <w:t xml:space="preserve">C4. Investigation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D6E8A" w:val="clear"/>
            <w:tcMar>
              <w:top w:type="dxa" w:w="80"/>
              <w:left w:type="dxa" w:w="120"/>
              <w:bottom w:type="dxa" w:w="80"/>
              <w:right w:type="dxa" w:w="120"/>
            </w:tcMar>
          </w:tcPr>
          <w:p>
            <w:r>
              <w:rPr>
                <w:rFonts w:ascii="Arial" w:cs="Arial" w:eastAsia="Arial" w:hAnsi="Arial"/>
                <w:b/>
                <w:bCs/>
                <w:color w:val="FFFFFF"/>
                <w:sz w:val="22"/>
                <w:szCs w:val="22"/>
              </w:rPr>
              <w:t xml:space="preserve">Stage</w:t>
            </w:r>
          </w:p>
        </w:tc>
        <w:tc>
          <w:tcPr>
            <w:tcW w:type="dxa" w:w="6360"/>
            <w:tcBorders>
              <w:top w:val="single" w:color="CCCCCC" w:sz="1"/>
              <w:left w:val="single" w:color="CCCCCC" w:sz="1"/>
              <w:bottom w:val="single" w:color="CCCCCC" w:sz="1"/>
              <w:right w:val="single" w:color="CCCCCC" w:sz="1"/>
            </w:tcBorders>
            <w:shd w:fill="2D6E8A" w:val="clear"/>
            <w:tcMar>
              <w:top w:type="dxa" w:w="80"/>
              <w:left w:type="dxa" w:w="120"/>
              <w:bottom w:type="dxa" w:w="80"/>
              <w:right w:type="dxa" w:w="120"/>
            </w:tcMar>
          </w:tcPr>
          <w:p>
            <w:r>
              <w:rPr>
                <w:rFonts w:ascii="Arial" w:cs="Arial" w:eastAsia="Arial" w:hAnsi="Arial"/>
                <w:b/>
                <w:bCs/>
                <w:color w:val="FFFFFF"/>
                <w:sz w:val="22"/>
                <w:szCs w:val="22"/>
              </w:rPr>
              <w:t xml:space="preserve">Timeline &amp; Responsibility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E12"/>
                <w:sz w:val="22"/>
                <w:szCs w:val="22"/>
              </w:rPr>
              <w:t xml:space="preserve">Acknowledgment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E12"/>
                <w:sz w:val="22"/>
                <w:szCs w:val="22"/>
              </w:rPr>
              <w:t xml:space="preserve">5 business days from receipt of report. Acknowledgment sent to reporter (if not anonymous).</w:t>
            </w:r>
          </w:p>
        </w:tc>
      </w:tr>
      <w:tr>
        <w:tc>
          <w:tcPr>
            <w:tcW w:type="dxa" w:w="3000"/>
            <w:tcBorders>
              <w:top w:val="single" w:color="CCCCCC" w:sz="1"/>
              <w:left w:val="single" w:color="CCCCCC" w:sz="1"/>
              <w:bottom w:val="single" w:color="CCCCCC" w:sz="1"/>
              <w:right w:val="single" w:color="CCCCCC" w:sz="1"/>
            </w:tcBorders>
            <w:shd w:fill="FBF8F2" w:val="clear"/>
            <w:tcMar>
              <w:top w:type="dxa" w:w="80"/>
              <w:left w:type="dxa" w:w="120"/>
              <w:bottom w:type="dxa" w:w="80"/>
              <w:right w:type="dxa" w:w="120"/>
            </w:tcMar>
          </w:tcPr>
          <w:p>
            <w:r>
              <w:rPr>
                <w:rFonts w:ascii="Arial" w:cs="Arial" w:eastAsia="Arial" w:hAnsi="Arial"/>
                <w:b w:val="false"/>
                <w:bCs w:val="false"/>
                <w:color w:val="0A0E12"/>
                <w:sz w:val="22"/>
                <w:szCs w:val="22"/>
              </w:rPr>
              <w:t xml:space="preserve">Preliminary Assessment</w:t>
            </w:r>
          </w:p>
        </w:tc>
        <w:tc>
          <w:tcPr>
            <w:tcW w:type="dxa" w:w="6360"/>
            <w:tcBorders>
              <w:top w:val="single" w:color="CCCCCC" w:sz="1"/>
              <w:left w:val="single" w:color="CCCCCC" w:sz="1"/>
              <w:bottom w:val="single" w:color="CCCCCC" w:sz="1"/>
              <w:right w:val="single" w:color="CCCCCC" w:sz="1"/>
            </w:tcBorders>
            <w:shd w:fill="FBF8F2" w:val="clear"/>
            <w:tcMar>
              <w:top w:type="dxa" w:w="80"/>
              <w:left w:type="dxa" w:w="120"/>
              <w:bottom w:type="dxa" w:w="80"/>
              <w:right w:type="dxa" w:w="120"/>
            </w:tcMar>
          </w:tcPr>
          <w:p>
            <w:r>
              <w:rPr>
                <w:rFonts w:ascii="Arial" w:cs="Arial" w:eastAsia="Arial" w:hAnsi="Arial"/>
                <w:b w:val="false"/>
                <w:bCs w:val="false"/>
                <w:color w:val="0A0E12"/>
                <w:sz w:val="22"/>
                <w:szCs w:val="22"/>
              </w:rPr>
              <w:t xml:space="preserve">10 business days. Determine if report warrants full investigation.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E12"/>
                <w:sz w:val="22"/>
                <w:szCs w:val="22"/>
              </w:rPr>
              <w:t xml:space="preserve">Investigation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E12"/>
                <w:sz w:val="22"/>
                <w:szCs w:val="22"/>
              </w:rPr>
              <w:t xml:space="preserve">Full investigation within 45 business days. Led by: founder + counsel for employee matters; board sub-committee (or external counsel) for matters involving founder.</w:t>
            </w:r>
          </w:p>
        </w:tc>
      </w:tr>
      <w:tr>
        <w:tc>
          <w:tcPr>
            <w:tcW w:type="dxa" w:w="3000"/>
            <w:tcBorders>
              <w:top w:val="single" w:color="CCCCCC" w:sz="1"/>
              <w:left w:val="single" w:color="CCCCCC" w:sz="1"/>
              <w:bottom w:val="single" w:color="CCCCCC" w:sz="1"/>
              <w:right w:val="single" w:color="CCCCCC" w:sz="1"/>
            </w:tcBorders>
            <w:shd w:fill="FBF8F2" w:val="clear"/>
            <w:tcMar>
              <w:top w:type="dxa" w:w="80"/>
              <w:left w:type="dxa" w:w="120"/>
              <w:bottom w:type="dxa" w:w="80"/>
              <w:right w:type="dxa" w:w="120"/>
            </w:tcMar>
          </w:tcPr>
          <w:p>
            <w:r>
              <w:rPr>
                <w:rFonts w:ascii="Arial" w:cs="Arial" w:eastAsia="Arial" w:hAnsi="Arial"/>
                <w:b w:val="false"/>
                <w:bCs w:val="false"/>
                <w:color w:val="0A0E12"/>
                <w:sz w:val="22"/>
                <w:szCs w:val="22"/>
              </w:rPr>
              <w:t xml:space="preserve">Resolution</w:t>
            </w:r>
          </w:p>
        </w:tc>
        <w:tc>
          <w:tcPr>
            <w:tcW w:type="dxa" w:w="6360"/>
            <w:tcBorders>
              <w:top w:val="single" w:color="CCCCCC" w:sz="1"/>
              <w:left w:val="single" w:color="CCCCCC" w:sz="1"/>
              <w:bottom w:val="single" w:color="CCCCCC" w:sz="1"/>
              <w:right w:val="single" w:color="CCCCCC" w:sz="1"/>
            </w:tcBorders>
            <w:shd w:fill="FBF8F2" w:val="clear"/>
            <w:tcMar>
              <w:top w:type="dxa" w:w="80"/>
              <w:left w:type="dxa" w:w="120"/>
              <w:bottom w:type="dxa" w:w="80"/>
              <w:right w:type="dxa" w:w="120"/>
            </w:tcMar>
          </w:tcPr>
          <w:p>
            <w:r>
              <w:rPr>
                <w:rFonts w:ascii="Arial" w:cs="Arial" w:eastAsia="Arial" w:hAnsi="Arial"/>
                <w:b w:val="false"/>
                <w:bCs w:val="false"/>
                <w:color w:val="0A0E12"/>
                <w:sz w:val="22"/>
                <w:szCs w:val="22"/>
              </w:rPr>
              <w:t xml:space="preserve">Within 60 business days of original report. Written outcome (redacted if necessary). Remediation actions implemented.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E12"/>
                <w:sz w:val="22"/>
                <w:szCs w:val="22"/>
              </w:rPr>
              <w:t xml:space="preserve">Follow-up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E12"/>
                <w:sz w:val="22"/>
                <w:szCs w:val="22"/>
              </w:rPr>
              <w:t xml:space="preserve">Status update to reporter at 30-day mark if investigation ongoing.</w:t>
            </w:r>
          </w:p>
        </w:tc>
      </w:tr>
    </w:tbl>
    <w:p>
      <w:r>
        <w:t xml:space="preserve"/>
      </w:r>
    </w:p>
    <w:p>
      <w:pPr>
        <w:pStyle w:val="Heading1"/>
      </w:pPr>
      <w:r>
        <w:rPr>
          <w:rFonts w:ascii="Arial" w:cs="Arial" w:eastAsia="Arial" w:hAnsi="Arial"/>
          <w:b/>
          <w:bCs/>
          <w:color w:val="2D6E8A"/>
          <w:sz w:val="28"/>
          <w:szCs w:val="28"/>
        </w:rPr>
        <w:t xml:space="preserve">C5. Confidentiality</w:t>
      </w:r>
    </w:p>
    <w:p>
      <w:pPr>
        <w:pStyle w:val="ListParagraph"/>
        <w:numPr>
          <w:ilvl w:val="0"/>
          <w:numId w:val="2"/>
        </w:numPr>
      </w:pPr>
      <w:r>
        <w:rPr>
          <w:rFonts w:ascii="Arial" w:cs="Arial" w:eastAsia="Arial" w:hAnsi="Arial"/>
          <w:b w:val="false"/>
          <w:bCs w:val="false"/>
          <w:sz w:val="22"/>
          <w:szCs w:val="22"/>
        </w:rPr>
        <w:t xml:space="preserve">Reporter identity is strictly confidential — disclosed only with reporter’s consent or if required by Saudi law</w:t>
      </w:r>
    </w:p>
    <w:p>
      <w:pPr>
        <w:pStyle w:val="ListParagraph"/>
        <w:numPr>
          <w:ilvl w:val="0"/>
          <w:numId w:val="2"/>
        </w:numPr>
      </w:pPr>
      <w:r>
        <w:rPr>
          <w:rFonts w:ascii="Arial" w:cs="Arial" w:eastAsia="Arial" w:hAnsi="Arial"/>
          <w:b w:val="false"/>
          <w:bCs w:val="false"/>
          <w:sz w:val="22"/>
          <w:szCs w:val="22"/>
        </w:rPr>
        <w:t xml:space="preserve">Investigation details are confidential and shared only on a need-to-know basis</w:t>
      </w:r>
    </w:p>
    <w:p>
      <w:pPr>
        <w:pStyle w:val="ListParagraph"/>
        <w:numPr>
          <w:ilvl w:val="0"/>
          <w:numId w:val="2"/>
        </w:numPr>
      </w:pPr>
      <w:r>
        <w:rPr>
          <w:rFonts w:ascii="Arial" w:cs="Arial" w:eastAsia="Arial" w:hAnsi="Arial"/>
          <w:b w:val="false"/>
          <w:bCs w:val="false"/>
          <w:sz w:val="22"/>
          <w:szCs w:val="22"/>
        </w:rPr>
        <w:t xml:space="preserve">All investigation records retained for 7 years minimum</w:t>
      </w:r>
    </w:p>
    <w:p>
      <w:r>
        <w:t xml:space="preserve"/>
      </w:r>
    </w:p>
    <w:p>
      <w:pPr>
        <w:pStyle w:val="Heading1"/>
      </w:pPr>
      <w:r>
        <w:rPr>
          <w:rFonts w:ascii="Arial" w:cs="Arial" w:eastAsia="Arial" w:hAnsi="Arial"/>
          <w:b/>
          <w:bCs/>
          <w:color w:val="2D6E8A"/>
          <w:sz w:val="28"/>
          <w:szCs w:val="28"/>
        </w:rPr>
        <w:t xml:space="preserve">C6. Policy Acknowledgment</w:t>
      </w:r>
    </w:p>
    <w:p>
      <w:r>
        <w:rPr>
          <w:rFonts w:ascii="Arial" w:cs="Arial" w:eastAsia="Arial" w:hAnsi="Arial"/>
          <w:sz w:val="22"/>
          <w:szCs w:val="22"/>
        </w:rPr>
        <w:t xml:space="preserve">All employees, contractors, and agents of Fly GACA must sign acknowledgment of this policy upon engagement and annually thereafter. Signed acknowledgments are retained in the HR file for the duration of the relationship plus 5 years.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D6E8A" w:val="clear"/>
            <w:tcMar>
              <w:top w:type="dxa" w:w="80"/>
              <w:left w:type="dxa" w:w="120"/>
              <w:bottom w:type="dxa" w:w="80"/>
              <w:right w:type="dxa" w:w="120"/>
            </w:tcMar>
          </w:tcPr>
          <w:p>
            <w:r>
              <w:rPr>
                <w:rFonts w:ascii="Arial" w:cs="Arial" w:eastAsia="Arial" w:hAnsi="Arial"/>
                <w:b/>
                <w:bCs/>
                <w:color w:val="FFFFFF"/>
                <w:sz w:val="22"/>
                <w:szCs w:val="22"/>
              </w:rPr>
              <w:t xml:space="preserve">Authorized by</w:t>
            </w:r>
          </w:p>
        </w:tc>
        <w:tc>
          <w:tcPr>
            <w:tcW w:type="dxa" w:w="6360"/>
            <w:tcBorders>
              <w:top w:val="single" w:color="CCCCCC" w:sz="1"/>
              <w:left w:val="single" w:color="CCCCCC" w:sz="1"/>
              <w:bottom w:val="single" w:color="CCCCCC" w:sz="1"/>
              <w:right w:val="single" w:color="CCCCCC" w:sz="1"/>
            </w:tcBorders>
            <w:shd w:fill="2D6E8A" w:val="clear"/>
            <w:tcMar>
              <w:top w:type="dxa" w:w="80"/>
              <w:left w:type="dxa" w:w="120"/>
              <w:bottom w:type="dxa" w:w="80"/>
              <w:right w:type="dxa" w:w="120"/>
            </w:tcMar>
          </w:tcPr>
          <w:p>
            <w:r>
              <w:rPr>
                <w:rFonts w:ascii="Arial" w:cs="Arial" w:eastAsia="Arial" w:hAnsi="Arial"/>
                <w:b/>
                <w:bCs/>
                <w:color w:val="FFFFFF"/>
                <w:sz w:val="22"/>
                <w:szCs w:val="22"/>
              </w:rPr>
              <w:t xml:space="preserve">Adel Yahya A. Madkhali, Founder &amp; CEO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E12"/>
                <w:sz w:val="22"/>
                <w:szCs w:val="22"/>
              </w:rPr>
              <w:t xml:space="preserve">Effective Date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E12"/>
                <w:sz w:val="22"/>
                <w:szCs w:val="22"/>
              </w:rPr>
              <w:t xml:space="preserve">May 2026</w:t>
            </w:r>
          </w:p>
        </w:tc>
      </w:tr>
      <w:tr>
        <w:tc>
          <w:tcPr>
            <w:tcW w:type="dxa" w:w="3000"/>
            <w:tcBorders>
              <w:top w:val="single" w:color="CCCCCC" w:sz="1"/>
              <w:left w:val="single" w:color="CCCCCC" w:sz="1"/>
              <w:bottom w:val="single" w:color="CCCCCC" w:sz="1"/>
              <w:right w:val="single" w:color="CCCCCC" w:sz="1"/>
            </w:tcBorders>
            <w:shd w:fill="FBF8F2" w:val="clear"/>
            <w:tcMar>
              <w:top w:type="dxa" w:w="80"/>
              <w:left w:type="dxa" w:w="120"/>
              <w:bottom w:type="dxa" w:w="80"/>
              <w:right w:type="dxa" w:w="120"/>
            </w:tcMar>
          </w:tcPr>
          <w:p>
            <w:r>
              <w:rPr>
                <w:rFonts w:ascii="Arial" w:cs="Arial" w:eastAsia="Arial" w:hAnsi="Arial"/>
                <w:b w:val="false"/>
                <w:bCs w:val="false"/>
                <w:color w:val="0A0E12"/>
                <w:sz w:val="22"/>
                <w:szCs w:val="22"/>
              </w:rPr>
              <w:t xml:space="preserve">Next Review</w:t>
            </w:r>
          </w:p>
        </w:tc>
        <w:tc>
          <w:tcPr>
            <w:tcW w:type="dxa" w:w="6360"/>
            <w:tcBorders>
              <w:top w:val="single" w:color="CCCCCC" w:sz="1"/>
              <w:left w:val="single" w:color="CCCCCC" w:sz="1"/>
              <w:bottom w:val="single" w:color="CCCCCC" w:sz="1"/>
              <w:right w:val="single" w:color="CCCCCC" w:sz="1"/>
            </w:tcBorders>
            <w:shd w:fill="FBF8F2" w:val="clear"/>
            <w:tcMar>
              <w:top w:type="dxa" w:w="80"/>
              <w:left w:type="dxa" w:w="120"/>
              <w:bottom w:type="dxa" w:w="80"/>
              <w:right w:type="dxa" w:w="120"/>
            </w:tcMar>
          </w:tcPr>
          <w:p>
            <w:r>
              <w:rPr>
                <w:rFonts w:ascii="Arial" w:cs="Arial" w:eastAsia="Arial" w:hAnsi="Arial"/>
                <w:b w:val="false"/>
                <w:bCs w:val="false"/>
                <w:color w:val="0A0E12"/>
                <w:sz w:val="22"/>
                <w:szCs w:val="22"/>
              </w:rPr>
              <w:t xml:space="preserve">May 2027</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E12"/>
                <w:sz w:val="22"/>
                <w:szCs w:val="22"/>
              </w:rPr>
              <w:t xml:space="preserve">Policy Version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A0E12"/>
                <w:sz w:val="22"/>
                <w:szCs w:val="22"/>
              </w:rPr>
              <w:t xml:space="preserve">v1.0</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D6E8A" w:sz="4" w:space="4"/>
      </w:pBdr>
      <w:jc w:val="center"/>
    </w:pPr>
    <w:r>
      <w:rPr>
        <w:rFonts w:ascii="Arial" w:cs="Arial" w:eastAsia="Arial" w:hAnsi="Arial"/>
        <w:color w:val="888888"/>
        <w:sz w:val="16"/>
        <w:szCs w:val="16"/>
      </w:rPr>
      <w:t xml:space="preserve">Fly GACA  ·  Saudi Gov &amp; Tax  ·  Confidential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A04A" w:sz="4" w:space="4"/>
      </w:pBdr>
    </w:pPr>
    <w:r>
      <w:rPr>
        <w:rFonts w:ascii="Arial" w:cs="Arial" w:eastAsia="Arial" w:hAnsi="Arial"/>
        <w:color w:val="888888"/>
        <w:sz w:val="16"/>
        <w:szCs w:val="16"/>
      </w:rPr>
      <w:t xml:space="preserve">Fly GACA  ·  Saudi Gov &amp; Tax  ·  v1.0  ·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2D6E8A"/>
      <w:sz w:val="28"/>
      <w:szCs w:val="28"/>
    </w:rPr>
  </w:style>
  <w:style w:type="paragraph" w:styleId="Heading2">
    <w:name w:val="Heading 2"/>
    <w:basedOn w:val="Normal"/>
    <w:next w:val="Normal"/>
    <w:qFormat/>
    <w:pPr>
      <w:spacing w:after="80" w:before="180"/>
      <w:outlineLvl w:val="1"/>
    </w:pPr>
    <w:rPr>
      <w:rFonts w:ascii="Arial" w:cs="Arial" w:eastAsia="Arial" w:hAnsi="Arial"/>
      <w:b/>
      <w:bCs/>
      <w:color w:val="0A0E12"/>
      <w:sz w:val="24"/>
      <w:szCs w:val="24"/>
    </w:rPr>
  </w:style>
  <w:style w:type="paragraph" w:styleId="Heading3">
    <w:name w:val="Heading 3"/>
    <w:basedOn w:val="Normal"/>
    <w:next w:val="Normal"/>
    <w:qFormat/>
    <w:pPr>
      <w:spacing w:after="60" w:before="120"/>
      <w:outlineLvl w:val="2"/>
    </w:pPr>
    <w:rPr>
      <w:rFonts w:ascii="Arial" w:cs="Arial" w:eastAsia="Arial" w:hAnsi="Arial"/>
      <w:b/>
      <w:b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2026-05-05T03:23:01.943Z</dcterms:created>
  <dcterms:modified xsi:type="dcterms:W3CDTF">2026-05-05T03:23:01.943Z</dcterms:modified>
</cp:coreProperties>
</file>

<file path=docProps/custom.xml><?xml version="1.0" encoding="utf-8"?>
<Properties xmlns="http://schemas.openxmlformats.org/officeDocument/2006/custom-properties" xmlns:vt="http://schemas.openxmlformats.org/officeDocument/2006/docPropsVTypes"/>
</file>