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E8A" w:sz="1"/>
              <w:left w:val="single" w:color="2D6E8A" w:sz="1"/>
              <w:bottom w:val="single" w:color="2D6E8A" w:sz="1"/>
              <w:right w:val="single" w:color="2D6E8A" w:sz="1"/>
            </w:tcBorders>
            <w:shd w:fill="2D6E8A" w:val="clear"/>
            <w:tcMar>
              <w:top w:type="dxa" w:w="400"/>
              <w:left w:type="dxa" w:w="400"/>
              <w:bottom w:type="dxa" w:w="400"/>
              <w:right w:type="dxa" w:w="400"/>
            </w:tcMar>
            <w:vAlign w:val="center"/>
          </w:tcPr>
          <w:p>
            <w:pPr>
              <w:spacing w:after="80" w:before="0"/>
              <w:jc w:val="center"/>
            </w:pPr>
            <w:r>
              <w:rPr>
                <w:rFonts w:ascii="Arial" w:cs="Arial" w:eastAsia="Arial" w:hAnsi="Arial"/>
                <w:b/>
                <w:bCs/>
                <w:color w:val="FFFFFF"/>
                <w:sz w:val="48"/>
                <w:szCs w:val="48"/>
              </w:rPr>
              <w:t xml:space="preserve">FLY GACA</w:t>
            </w:r>
          </w:p>
          <w:p>
            <w:pPr>
              <w:spacing w:after="0" w:before="0"/>
              <w:jc w:val="center"/>
            </w:pPr>
            <w:r>
              <w:rPr>
                <w:rFonts w:ascii="Arial" w:cs="Arial" w:eastAsia="Arial" w:hAnsi="Arial"/>
                <w:b/>
                <w:bCs/>
                <w:color w:val="E0C588"/>
                <w:sz w:val="36"/>
                <w:szCs w:val="36"/>
              </w:rPr>
              <w:t xml:space="preserve">Founders' Agreement</w:t>
            </w:r>
          </w:p>
        </w:tc>
      </w:tr>
    </w:tbl>
    <w:p>
      <w:pPr>
        <w:pBdr>
          <w:bottom w:val="single" w:color="C8A04A" w:sz="12" w:space="1"/>
        </w:pBdr>
        <w:spacing w:after="200" w:before="0"/>
      </w:pPr>
      <w:r>
        <w:t xml:space="preserve"/>
      </w:r>
    </w:p>
    <w:p>
      <w:pPr>
        <w:spacing w:after="60" w:before="120"/>
        <w:jc w:val="center"/>
      </w:pPr>
      <w:r>
        <w:rPr>
          <w:rFonts w:ascii="Arial" w:cs="Arial" w:eastAsia="Arial" w:hAnsi="Arial"/>
          <w:b/>
          <w:bCs/>
          <w:color w:val="0A0E12"/>
          <w:sz w:val="22"/>
          <w:szCs w:val="22"/>
        </w:rPr>
        <w:t xml:space="preserve">TEMPLATE — Subject to Saudi Counsel Review</w:t>
      </w:r>
    </w:p>
    <w:p>
      <w:pPr>
        <w:spacing w:after="240" w:before="0"/>
        <w:jc w:val="center"/>
      </w:pPr>
      <w:r>
        <w:rPr>
          <w:rFonts w:ascii="Arial" w:cs="Arial" w:eastAsia="Arial" w:hAnsi="Arial"/>
          <w:color w:val="7A8590"/>
          <w:sz w:val="20"/>
          <w:szCs w:val="20"/>
        </w:rPr>
        <w:t xml:space="preserve">Fly GACA · Office Paperwork · v1.0 · May 2026</w:t>
      </w:r>
    </w:p>
    <w:p>
      <w:pPr>
        <w:pBdr>
          <w:bottom w:val="single" w:color="C8A04A" w:sz="4"/>
        </w:pBdr>
        <w:spacing w:after="120" w:before="120"/>
      </w:pPr>
      <w:r>
        <w:rPr>
          <w:rFonts w:ascii="Arial" w:cs="Arial" w:eastAsia="Arial" w:hAnsi="Arial"/>
          <w:b/>
          <w:bCs/>
          <w:i/>
          <w:iCs/>
          <w:color w:val="CC0000"/>
          <w:sz w:val="20"/>
          <w:szCs w:val="20"/>
        </w:rPr>
        <w:t xml:space="preserve">IMPORTANT: This is a template prepared for Fly GACA’s internal use. Saudi-licensed counsel must review before execution. Not legal advice.</w:t>
      </w:r>
    </w:p>
    <w:p>
      <w:r>
        <w:br w:type="page"/>
      </w:r>
    </w:p>
    <w:p>
      <w:pPr>
        <w:pStyle w:val="Heading1"/>
        <w:spacing w:after="120" w:before="300"/>
      </w:pPr>
      <w:r>
        <w:rPr>
          <w:rFonts w:ascii="Arial" w:cs="Arial" w:eastAsia="Arial" w:hAnsi="Arial"/>
          <w:b/>
          <w:bCs/>
          <w:color w:val="2D6E8A"/>
          <w:sz w:val="28"/>
          <w:szCs w:val="28"/>
        </w:rPr>
        <w:t xml:space="preserve">1. Parties</w:t>
      </w:r>
    </w:p>
    <w:p>
      <w:pPr>
        <w:spacing w:after="60" w:before="60"/>
      </w:pPr>
      <w:r>
        <w:rPr>
          <w:rFonts w:ascii="Arial" w:cs="Arial" w:eastAsia="Arial" w:hAnsi="Arial"/>
          <w:sz w:val="22"/>
          <w:szCs w:val="22"/>
        </w:rPr>
        <w:t xml:space="preserve">This Founders’ Agreement (“Agreement”) is entered into as of [DATE] by and among the following parties (each a “Founder” and collectively the “Founders”):</w:t>
      </w:r>
    </w:p>
    <w:p>
      <w:pPr>
        <w:spacing w:after="80" w:before="80"/>
      </w:pPr>
      <w:r>
        <w:t xml:space="preserve"/>
      </w:r>
    </w:p>
    <w:p>
      <w:pPr>
        <w:spacing w:after="60" w:before="60"/>
      </w:pPr>
      <w:r>
        <w:rPr>
          <w:rFonts w:ascii="Arial" w:cs="Arial" w:eastAsia="Arial" w:hAnsi="Arial"/>
          <w:b/>
          <w:bCs/>
          <w:sz w:val="22"/>
          <w:szCs w:val="22"/>
        </w:rPr>
        <w:t xml:space="preserve">Founder 1 (Current Founder):</w:t>
      </w:r>
    </w:p>
    <w:p>
      <w:pPr>
        <w:pStyle w:val="ListParagraph"/>
        <w:numPr>
          <w:ilvl w:val="0"/>
          <w:numId w:val="2"/>
        </w:numPr>
        <w:spacing w:after="40" w:before="40"/>
      </w:pPr>
      <w:r>
        <w:rPr>
          <w:rFonts w:ascii="Arial" w:cs="Arial" w:eastAsia="Arial" w:hAnsi="Arial"/>
          <w:sz w:val="22"/>
          <w:szCs w:val="22"/>
        </w:rPr>
        <w:t xml:space="preserve">Name: Adel Yahya A. Madkhali (“Captain Adel”)</w:t>
      </w:r>
    </w:p>
    <w:p>
      <w:pPr>
        <w:pStyle w:val="ListParagraph"/>
        <w:numPr>
          <w:ilvl w:val="0"/>
          <w:numId w:val="2"/>
        </w:numPr>
        <w:spacing w:after="40" w:before="40"/>
      </w:pPr>
      <w:r>
        <w:rPr>
          <w:rFonts w:ascii="Arial" w:cs="Arial" w:eastAsia="Arial" w:hAnsi="Arial"/>
          <w:sz w:val="22"/>
          <w:szCs w:val="22"/>
        </w:rPr>
        <w:t xml:space="preserve">National ID / Iqama: [NATIONAL_ID]</w:t>
      </w:r>
    </w:p>
    <w:p>
      <w:pPr>
        <w:pStyle w:val="ListParagraph"/>
        <w:numPr>
          <w:ilvl w:val="0"/>
          <w:numId w:val="2"/>
        </w:numPr>
        <w:spacing w:after="40" w:before="40"/>
      </w:pPr>
      <w:r>
        <w:rPr>
          <w:rFonts w:ascii="Arial" w:cs="Arial" w:eastAsia="Arial" w:hAnsi="Arial"/>
          <w:sz w:val="22"/>
          <w:szCs w:val="22"/>
        </w:rPr>
        <w:t xml:space="preserve">Address: [FOUNDER_ADDRESS], Kingdom of Saudi Arabia</w:t>
      </w:r>
    </w:p>
    <w:p>
      <w:pPr>
        <w:pStyle w:val="ListParagraph"/>
        <w:numPr>
          <w:ilvl w:val="0"/>
          <w:numId w:val="2"/>
        </w:numPr>
        <w:spacing w:after="40" w:before="40"/>
      </w:pPr>
      <w:r>
        <w:rPr>
          <w:rFonts w:ascii="Arial" w:cs="Arial" w:eastAsia="Arial" w:hAnsi="Arial"/>
          <w:sz w:val="22"/>
          <w:szCs w:val="22"/>
        </w:rPr>
        <w:t xml:space="preserve">Role: Chief Executive Officer and Founder</w:t>
      </w:r>
    </w:p>
    <w:p>
      <w:pPr>
        <w:spacing w:after="80" w:before="80"/>
      </w:pPr>
      <w:r>
        <w:t xml:space="preserve"/>
      </w:r>
    </w:p>
    <w:p>
      <w:pPr>
        <w:spacing w:after="60" w:before="60"/>
      </w:pPr>
      <w:r>
        <w:rPr>
          <w:rFonts w:ascii="Arial" w:cs="Arial" w:eastAsia="Arial" w:hAnsi="Arial"/>
          <w:b/>
          <w:bCs/>
          <w:sz w:val="22"/>
          <w:szCs w:val="22"/>
        </w:rPr>
        <w:t xml:space="preserve">Future Co-Founder Reservation:</w:t>
      </w:r>
    </w:p>
    <w:p>
      <w:pPr>
        <w:spacing w:after="60" w:before="60"/>
      </w:pPr>
      <w:r>
        <w:rPr>
          <w:rFonts w:ascii="Arial" w:cs="Arial" w:eastAsia="Arial" w:hAnsi="Arial"/>
          <w:sz w:val="22"/>
          <w:szCs w:val="22"/>
        </w:rPr>
        <w:t xml:space="preserve">This Agreement reserves [FUTURE_COFOUNDERS_EQUITY_PERCENT]% of the Company’s authorized equity for one or more future co-founders (“Future Co-Founder”), to be admitted by unanimous board resolution. Upon admission, a Future Co-Founder shall execute a counterpart signature page to this Agreement and shall be bound by all terms herein.</w:t>
      </w:r>
    </w:p>
    <w:p>
      <w:pPr>
        <w:spacing w:after="80" w:before="80"/>
      </w:pPr>
      <w:r>
        <w:t xml:space="preserve"/>
      </w:r>
    </w:p>
    <w:p>
      <w:pPr>
        <w:spacing w:after="60" w:before="60"/>
      </w:pPr>
      <w:r>
        <w:rPr>
          <w:rFonts w:ascii="Arial" w:cs="Arial" w:eastAsia="Arial" w:hAnsi="Arial"/>
          <w:b/>
          <w:bCs/>
          <w:sz w:val="22"/>
          <w:szCs w:val="22"/>
        </w:rPr>
        <w:t xml:space="preserve">The Company:</w:t>
      </w:r>
    </w:p>
    <w:p>
      <w:pPr>
        <w:pStyle w:val="ListParagraph"/>
        <w:numPr>
          <w:ilvl w:val="0"/>
          <w:numId w:val="2"/>
        </w:numPr>
        <w:spacing w:after="40" w:before="40"/>
      </w:pPr>
      <w:r>
        <w:rPr>
          <w:rFonts w:ascii="Arial" w:cs="Arial" w:eastAsia="Arial" w:hAnsi="Arial"/>
          <w:sz w:val="22"/>
          <w:szCs w:val="22"/>
        </w:rPr>
        <w:t xml:space="preserve">Legal name: [COMPANY_FULL_ARABIC_NAME] / Fly GACA Saudi Arabia</w:t>
      </w:r>
    </w:p>
    <w:p>
      <w:pPr>
        <w:pStyle w:val="ListParagraph"/>
        <w:numPr>
          <w:ilvl w:val="0"/>
          <w:numId w:val="2"/>
        </w:numPr>
        <w:spacing w:after="40" w:before="40"/>
      </w:pPr>
      <w:r>
        <w:rPr>
          <w:rFonts w:ascii="Arial" w:cs="Arial" w:eastAsia="Arial" w:hAnsi="Arial"/>
          <w:sz w:val="22"/>
          <w:szCs w:val="22"/>
        </w:rPr>
        <w:t xml:space="preserve">Type: Saudi Limited Liability Company (LLC) — Sharika Dhat Mas’uliya Mahdouda</w:t>
      </w:r>
    </w:p>
    <w:p>
      <w:pPr>
        <w:pStyle w:val="ListParagraph"/>
        <w:numPr>
          <w:ilvl w:val="0"/>
          <w:numId w:val="2"/>
        </w:numPr>
        <w:spacing w:after="40" w:before="40"/>
      </w:pPr>
      <w:r>
        <w:rPr>
          <w:rFonts w:ascii="Arial" w:cs="Arial" w:eastAsia="Arial" w:hAnsi="Arial"/>
          <w:sz w:val="22"/>
          <w:szCs w:val="22"/>
        </w:rPr>
        <w:t xml:space="preserve">Commercial Registration No.: [CR_NUMBER]</w:t>
      </w:r>
    </w:p>
    <w:p>
      <w:pPr>
        <w:pStyle w:val="ListParagraph"/>
        <w:numPr>
          <w:ilvl w:val="0"/>
          <w:numId w:val="2"/>
        </w:numPr>
        <w:spacing w:after="40" w:before="40"/>
      </w:pPr>
      <w:r>
        <w:rPr>
          <w:rFonts w:ascii="Arial" w:cs="Arial" w:eastAsia="Arial" w:hAnsi="Arial"/>
          <w:sz w:val="22"/>
          <w:szCs w:val="22"/>
        </w:rPr>
        <w:t xml:space="preserve">Registered office: [REGISTERED_ADDRESS], Kingdom of Saudi Arabia</w:t>
      </w:r>
    </w:p>
    <w:p>
      <w:pPr>
        <w:pStyle w:val="ListParagraph"/>
        <w:numPr>
          <w:ilvl w:val="0"/>
          <w:numId w:val="2"/>
        </w:numPr>
        <w:spacing w:after="40" w:before="40"/>
      </w:pPr>
      <w:r>
        <w:rPr>
          <w:rFonts w:ascii="Arial" w:cs="Arial" w:eastAsia="Arial" w:hAnsi="Arial"/>
          <w:sz w:val="22"/>
          <w:szCs w:val="22"/>
        </w:rPr>
        <w:t xml:space="preserve">Governing law: Kingdom of Saudi Arabia</w:t>
      </w:r>
    </w:p>
    <w:p>
      <w:r>
        <w:br w:type="page"/>
      </w:r>
    </w:p>
    <w:p>
      <w:pPr>
        <w:pStyle w:val="Heading1"/>
        <w:spacing w:after="120" w:before="300"/>
      </w:pPr>
      <w:r>
        <w:rPr>
          <w:rFonts w:ascii="Arial" w:cs="Arial" w:eastAsia="Arial" w:hAnsi="Arial"/>
          <w:b/>
          <w:bCs/>
          <w:color w:val="2D6E8A"/>
          <w:sz w:val="28"/>
          <w:szCs w:val="28"/>
        </w:rPr>
        <w:t xml:space="preserve">2. Purpose of the Company</w:t>
      </w:r>
    </w:p>
    <w:p>
      <w:pPr>
        <w:spacing w:after="60" w:before="60"/>
      </w:pPr>
      <w:r>
        <w:rPr>
          <w:rFonts w:ascii="Arial" w:cs="Arial" w:eastAsia="Arial" w:hAnsi="Arial"/>
          <w:sz w:val="22"/>
          <w:szCs w:val="22"/>
        </w:rPr>
        <w:t xml:space="preserve">The Company is established to develop, operate, and commercialize Fly GACA, a Saudi-built aviation EdTech and RegTech platform delivering:</w:t>
      </w:r>
    </w:p>
    <w:p>
      <w:pPr>
        <w:pStyle w:val="ListParagraph"/>
        <w:numPr>
          <w:ilvl w:val="0"/>
          <w:numId w:val="2"/>
        </w:numPr>
        <w:spacing w:after="40" w:before="40"/>
      </w:pPr>
      <w:r>
        <w:rPr>
          <w:rFonts w:ascii="Arial" w:cs="Arial" w:eastAsia="Arial" w:hAnsi="Arial"/>
          <w:sz w:val="22"/>
          <w:szCs w:val="22"/>
        </w:rPr>
        <w:t xml:space="preserve">The complete GACAR regulatory library with AI-powered search and citation</w:t>
      </w:r>
    </w:p>
    <w:p>
      <w:pPr>
        <w:pStyle w:val="ListParagraph"/>
        <w:numPr>
          <w:ilvl w:val="0"/>
          <w:numId w:val="2"/>
        </w:numPr>
        <w:spacing w:after="40" w:before="40"/>
      </w:pPr>
      <w:r>
        <w:rPr>
          <w:rFonts w:ascii="Arial" w:cs="Arial" w:eastAsia="Arial" w:hAnsi="Arial"/>
          <w:sz w:val="22"/>
          <w:szCs w:val="22"/>
        </w:rPr>
        <w:t xml:space="preserve">Captain Adel: an AI flight instructor persona with GACAR-grounded responses</w:t>
      </w:r>
    </w:p>
    <w:p>
      <w:pPr>
        <w:pStyle w:val="ListParagraph"/>
        <w:numPr>
          <w:ilvl w:val="0"/>
          <w:numId w:val="2"/>
        </w:numPr>
        <w:spacing w:after="40" w:before="40"/>
      </w:pPr>
      <w:r>
        <w:rPr>
          <w:rFonts w:ascii="Arial" w:cs="Arial" w:eastAsia="Arial" w:hAnsi="Arial"/>
          <w:sz w:val="22"/>
          <w:szCs w:val="22"/>
        </w:rPr>
        <w:t xml:space="preserve">Pilot logbook, currency tracker, exam preparation, and operational tools</w:t>
      </w:r>
    </w:p>
    <w:p>
      <w:pPr>
        <w:pStyle w:val="ListParagraph"/>
        <w:numPr>
          <w:ilvl w:val="0"/>
          <w:numId w:val="2"/>
        </w:numPr>
        <w:spacing w:after="40" w:before="40"/>
      </w:pPr>
      <w:r>
        <w:rPr>
          <w:rFonts w:ascii="Arial" w:cs="Arial" w:eastAsia="Arial" w:hAnsi="Arial"/>
          <w:sz w:val="22"/>
          <w:szCs w:val="22"/>
        </w:rPr>
        <w:t xml:space="preserve">Academy cohort licensing and white-label solutions for flight schools</w:t>
      </w:r>
    </w:p>
    <w:p>
      <w:pPr>
        <w:pStyle w:val="ListParagraph"/>
        <w:numPr>
          <w:ilvl w:val="0"/>
          <w:numId w:val="2"/>
        </w:numPr>
        <w:spacing w:after="40" w:before="40"/>
      </w:pPr>
      <w:r>
        <w:rPr>
          <w:rFonts w:ascii="Arial" w:cs="Arial" w:eastAsia="Arial" w:hAnsi="Arial"/>
          <w:sz w:val="22"/>
          <w:szCs w:val="22"/>
        </w:rPr>
        <w:t xml:space="preserve">Any ancillary digital products, services, or technologies in the aviation training and compliance sector</w:t>
      </w:r>
    </w:p>
    <w:p>
      <w:pPr>
        <w:spacing w:after="60" w:before="60"/>
      </w:pPr>
      <w:r>
        <w:rPr>
          <w:rFonts w:ascii="Arial" w:cs="Arial" w:eastAsia="Arial" w:hAnsi="Arial"/>
          <w:sz w:val="22"/>
          <w:szCs w:val="22"/>
        </w:rPr>
        <w:t xml:space="preserve">The Company shall pursue its objects in compliance with all applicable Saudi laws, Vision 2030 objectives, and GACA regulatory requirements.</w:t>
      </w:r>
    </w:p>
    <w:p>
      <w:r>
        <w:br w:type="page"/>
      </w:r>
    </w:p>
    <w:p>
      <w:pPr>
        <w:pStyle w:val="Heading1"/>
        <w:spacing w:after="120" w:before="300"/>
      </w:pPr>
      <w:r>
        <w:rPr>
          <w:rFonts w:ascii="Arial" w:cs="Arial" w:eastAsia="Arial" w:hAnsi="Arial"/>
          <w:b/>
          <w:bCs/>
          <w:color w:val="2D6E8A"/>
          <w:sz w:val="28"/>
          <w:szCs w:val="28"/>
        </w:rPr>
        <w:t xml:space="preserve">3. Equity Structure</w:t>
      </w:r>
    </w:p>
    <w:p>
      <w:pPr>
        <w:pStyle w:val="Heading2"/>
        <w:spacing w:after="80" w:before="200"/>
      </w:pPr>
      <w:r>
        <w:rPr>
          <w:rFonts w:ascii="Arial" w:cs="Arial" w:eastAsia="Arial" w:hAnsi="Arial"/>
          <w:b/>
          <w:bCs/>
          <w:color w:val="0A0E12"/>
          <w:sz w:val="24"/>
          <w:szCs w:val="24"/>
        </w:rPr>
        <w:t xml:space="preserve">3.1 Initial Capital and Share Allocation</w:t>
      </w:r>
    </w:p>
    <w:p>
      <w:pPr>
        <w:spacing w:after="60" w:before="60"/>
      </w:pPr>
      <w:r>
        <w:rPr>
          <w:rFonts w:ascii="Arial" w:cs="Arial" w:eastAsia="Arial" w:hAnsi="Arial"/>
          <w:sz w:val="22"/>
          <w:szCs w:val="22"/>
        </w:rPr>
        <w:t xml:space="preserve">The authorized capital of the Company is [AUTHORIZED_CAPITAL] SAR, divided into [TOTAL_SHARES] shares of [PAR_VALUE] SAR each. The current ownership is as follows:</w:t>
      </w:r>
    </w:p>
    <w:p>
      <w:pPr>
        <w:spacing w:after="80" w:before="80"/>
      </w:pPr>
      <w:r>
        <w:t xml:space="preserve"/>
      </w:r>
    </w:p>
    <w:p>
      <w:pPr>
        <w:spacing w:after="60" w:before="60"/>
      </w:pPr>
      <w:r>
        <w:rPr>
          <w:rFonts w:ascii="Arial" w:cs="Arial" w:eastAsia="Arial" w:hAnsi="Arial"/>
          <w:sz w:val="22"/>
          <w:szCs w:val="22"/>
        </w:rPr>
        <w:t xml:space="preserve">Captain Adel Yahya A. Madkhali: [FOUNDER_SHARES] shares ([FOUNDER_EQUITY_PERCENT]%)</w:t>
      </w:r>
    </w:p>
    <w:p>
      <w:pPr>
        <w:spacing w:after="60" w:before="60"/>
      </w:pPr>
      <w:r>
        <w:rPr>
          <w:rFonts w:ascii="Arial" w:cs="Arial" w:eastAsia="Arial" w:hAnsi="Arial"/>
          <w:sz w:val="22"/>
          <w:szCs w:val="22"/>
        </w:rPr>
        <w:t xml:space="preserve">Future Co-Founder Reservation Pool: [RESERVED_SHARES] shares ([RESERVED_PERCENT]%)</w:t>
      </w:r>
    </w:p>
    <w:p>
      <w:pPr>
        <w:spacing w:after="60" w:before="60"/>
      </w:pPr>
      <w:r>
        <w:rPr>
          <w:rFonts w:ascii="Arial" w:cs="Arial" w:eastAsia="Arial" w:hAnsi="Arial"/>
          <w:sz w:val="22"/>
          <w:szCs w:val="22"/>
        </w:rPr>
        <w:t xml:space="preserve">ESOP / Incentive Pool: [ESOP_SHARES] shares (10%)</w:t>
      </w:r>
    </w:p>
    <w:p>
      <w:pPr>
        <w:spacing w:after="80" w:before="80"/>
      </w:pPr>
      <w:r>
        <w:t xml:space="preserve"/>
      </w:r>
    </w:p>
    <w:p>
      <w:pPr>
        <w:pStyle w:val="Heading2"/>
        <w:spacing w:after="80" w:before="200"/>
      </w:pPr>
      <w:r>
        <w:rPr>
          <w:rFonts w:ascii="Arial" w:cs="Arial" w:eastAsia="Arial" w:hAnsi="Arial"/>
          <w:b/>
          <w:bCs/>
          <w:color w:val="0A0E12"/>
          <w:sz w:val="24"/>
          <w:szCs w:val="24"/>
        </w:rPr>
        <w:t xml:space="preserve">3.2 Vesting Schedule</w:t>
      </w:r>
    </w:p>
    <w:p>
      <w:pPr>
        <w:spacing w:after="60" w:before="60"/>
      </w:pPr>
      <w:r>
        <w:rPr>
          <w:rFonts w:ascii="Arial" w:cs="Arial" w:eastAsia="Arial" w:hAnsi="Arial"/>
          <w:sz w:val="22"/>
          <w:szCs w:val="22"/>
        </w:rPr>
        <w:t xml:space="preserve">All Founder shares are subject to a four (4)-year vesting schedule with a one (1)-year cliff as follows:</w:t>
      </w:r>
    </w:p>
    <w:p>
      <w:pPr>
        <w:pStyle w:val="ListParagraph"/>
        <w:numPr>
          <w:ilvl w:val="0"/>
          <w:numId w:val="2"/>
        </w:numPr>
        <w:spacing w:after="40" w:before="40"/>
      </w:pPr>
      <w:r>
        <w:rPr>
          <w:rFonts w:ascii="Arial" w:cs="Arial" w:eastAsia="Arial" w:hAnsi="Arial"/>
          <w:sz w:val="22"/>
          <w:szCs w:val="22"/>
        </w:rPr>
        <w:t xml:space="preserve">Cliff: 25% of Founder shares vest on the first anniversary of the Vesting Commencement Date ([VESTING_START_DATE])</w:t>
      </w:r>
    </w:p>
    <w:p>
      <w:pPr>
        <w:pStyle w:val="ListParagraph"/>
        <w:numPr>
          <w:ilvl w:val="0"/>
          <w:numId w:val="2"/>
        </w:numPr>
        <w:spacing w:after="40" w:before="40"/>
      </w:pPr>
      <w:r>
        <w:rPr>
          <w:rFonts w:ascii="Arial" w:cs="Arial" w:eastAsia="Arial" w:hAnsi="Arial"/>
          <w:sz w:val="22"/>
          <w:szCs w:val="22"/>
        </w:rPr>
        <w:t xml:space="preserve">Monthly Ratable: The remaining 75% vest in equal monthly installments over the following thirty-six (36) months</w:t>
      </w:r>
    </w:p>
    <w:p>
      <w:pPr>
        <w:pStyle w:val="ListParagraph"/>
        <w:numPr>
          <w:ilvl w:val="0"/>
          <w:numId w:val="2"/>
        </w:numPr>
        <w:spacing w:after="40" w:before="40"/>
      </w:pPr>
      <w:r>
        <w:rPr>
          <w:rFonts w:ascii="Arial" w:cs="Arial" w:eastAsia="Arial" w:hAnsi="Arial"/>
          <w:sz w:val="22"/>
          <w:szCs w:val="22"/>
        </w:rPr>
        <w:t xml:space="preserve">Acceleration: Single-trigger acceleration of 100% of unvested shares upon a Change of Control where the Founder is terminated without Cause within twelve (12) months following such event</w:t>
      </w:r>
    </w:p>
    <w:p>
      <w:pPr>
        <w:pStyle w:val="Heading2"/>
        <w:spacing w:after="80" w:before="200"/>
      </w:pPr>
      <w:r>
        <w:rPr>
          <w:rFonts w:ascii="Arial" w:cs="Arial" w:eastAsia="Arial" w:hAnsi="Arial"/>
          <w:b/>
          <w:bCs/>
          <w:color w:val="0A0E12"/>
          <w:sz w:val="24"/>
          <w:szCs w:val="24"/>
        </w:rPr>
        <w:t xml:space="preserve">3.3 Capitalization Adjustments</w:t>
      </w:r>
    </w:p>
    <w:p>
      <w:pPr>
        <w:spacing w:after="60" w:before="60"/>
      </w:pPr>
      <w:r>
        <w:rPr>
          <w:rFonts w:ascii="Arial" w:cs="Arial" w:eastAsia="Arial" w:hAnsi="Arial"/>
          <w:sz w:val="22"/>
          <w:szCs w:val="22"/>
        </w:rPr>
        <w:t xml:space="preserve">The equity percentages above may be adjusted upon: (a) the issuance of new shares to investors, (b) the admission of a Future Co-Founder, or (c) the grant of ESOP awards, each subject to approval in accordance with Section 6 (Decision-Making).</w:t>
      </w:r>
    </w:p>
    <w:p>
      <w:r>
        <w:br w:type="page"/>
      </w:r>
    </w:p>
    <w:p>
      <w:pPr>
        <w:pStyle w:val="Heading1"/>
        <w:spacing w:after="120" w:before="300"/>
      </w:pPr>
      <w:r>
        <w:rPr>
          <w:rFonts w:ascii="Arial" w:cs="Arial" w:eastAsia="Arial" w:hAnsi="Arial"/>
          <w:b/>
          <w:bCs/>
          <w:color w:val="2D6E8A"/>
          <w:sz w:val="28"/>
          <w:szCs w:val="28"/>
        </w:rPr>
        <w:t xml:space="preserve">4. Roles and Responsibilities</w:t>
      </w:r>
    </w:p>
    <w:p>
      <w:pPr>
        <w:pStyle w:val="Heading2"/>
        <w:spacing w:after="80" w:before="200"/>
      </w:pPr>
      <w:r>
        <w:rPr>
          <w:rFonts w:ascii="Arial" w:cs="Arial" w:eastAsia="Arial" w:hAnsi="Arial"/>
          <w:b/>
          <w:bCs/>
          <w:color w:val="0A0E12"/>
          <w:sz w:val="24"/>
          <w:szCs w:val="24"/>
        </w:rPr>
        <w:t xml:space="preserve">4.1 Captain Adel (Founder 1)</w:t>
      </w:r>
    </w:p>
    <w:p>
      <w:pPr>
        <w:pStyle w:val="ListParagraph"/>
        <w:numPr>
          <w:ilvl w:val="0"/>
          <w:numId w:val="2"/>
        </w:numPr>
        <w:spacing w:after="40" w:before="40"/>
      </w:pPr>
      <w:r>
        <w:rPr>
          <w:rFonts w:ascii="Arial" w:cs="Arial" w:eastAsia="Arial" w:hAnsi="Arial"/>
          <w:sz w:val="22"/>
          <w:szCs w:val="22"/>
        </w:rPr>
        <w:t xml:space="preserve">Chief Executive Officer: overall strategic direction, product vision, and investor relations</w:t>
      </w:r>
    </w:p>
    <w:p>
      <w:pPr>
        <w:pStyle w:val="ListParagraph"/>
        <w:numPr>
          <w:ilvl w:val="0"/>
          <w:numId w:val="2"/>
        </w:numPr>
        <w:spacing w:after="40" w:before="40"/>
      </w:pPr>
      <w:r>
        <w:rPr>
          <w:rFonts w:ascii="Arial" w:cs="Arial" w:eastAsia="Arial" w:hAnsi="Arial"/>
          <w:sz w:val="22"/>
          <w:szCs w:val="22"/>
        </w:rPr>
        <w:t xml:space="preserve">Chief Product Officer: GACA content authority, AI persona design, and regulatory accuracy</w:t>
      </w:r>
    </w:p>
    <w:p>
      <w:pPr>
        <w:pStyle w:val="ListParagraph"/>
        <w:numPr>
          <w:ilvl w:val="0"/>
          <w:numId w:val="2"/>
        </w:numPr>
        <w:spacing w:after="40" w:before="40"/>
      </w:pPr>
      <w:r>
        <w:rPr>
          <w:rFonts w:ascii="Arial" w:cs="Arial" w:eastAsia="Arial" w:hAnsi="Arial"/>
          <w:sz w:val="22"/>
          <w:szCs w:val="22"/>
        </w:rPr>
        <w:t xml:space="preserve">Brand Ambassador: Captain Adel persona, public representation, and media</w:t>
      </w:r>
    </w:p>
    <w:p>
      <w:pPr>
        <w:pStyle w:val="ListParagraph"/>
        <w:numPr>
          <w:ilvl w:val="0"/>
          <w:numId w:val="2"/>
        </w:numPr>
        <w:spacing w:after="40" w:before="40"/>
      </w:pPr>
      <w:r>
        <w:rPr>
          <w:rFonts w:ascii="Arial" w:cs="Arial" w:eastAsia="Arial" w:hAnsi="Arial"/>
          <w:sz w:val="22"/>
          <w:szCs w:val="22"/>
        </w:rPr>
        <w:t xml:space="preserve">Time commitment: Full-time, minimum forty-eight (48) hours per week</w:t>
      </w:r>
    </w:p>
    <w:p>
      <w:pPr>
        <w:spacing w:after="80" w:before="80"/>
      </w:pPr>
      <w:r>
        <w:t xml:space="preserve"/>
      </w:r>
    </w:p>
    <w:p>
      <w:pPr>
        <w:pStyle w:val="Heading2"/>
        <w:spacing w:after="80" w:before="200"/>
      </w:pPr>
      <w:r>
        <w:rPr>
          <w:rFonts w:ascii="Arial" w:cs="Arial" w:eastAsia="Arial" w:hAnsi="Arial"/>
          <w:b/>
          <w:bCs/>
          <w:color w:val="0A0E12"/>
          <w:sz w:val="24"/>
          <w:szCs w:val="24"/>
        </w:rPr>
        <w:t xml:space="preserve">4.2 Future Co-Founder</w:t>
      </w:r>
    </w:p>
    <w:p>
      <w:pPr>
        <w:spacing w:after="60" w:before="60"/>
      </w:pPr>
      <w:r>
        <w:rPr>
          <w:rFonts w:ascii="Arial" w:cs="Arial" w:eastAsia="Arial" w:hAnsi="Arial"/>
          <w:sz w:val="22"/>
          <w:szCs w:val="22"/>
        </w:rPr>
        <w:t xml:space="preserve">Upon admission, the Future Co-Founder’s role, title, responsibilities, and time commitment shall be set out in a separate schedule appended hereto ([FUTURE_COFOUNDERS_ROLE_SCHEDULE]).</w:t>
      </w:r>
    </w:p>
    <w:p>
      <w:r>
        <w:br w:type="page"/>
      </w:r>
    </w:p>
    <w:p>
      <w:pPr>
        <w:pStyle w:val="Heading1"/>
        <w:spacing w:after="120" w:before="300"/>
      </w:pPr>
      <w:r>
        <w:rPr>
          <w:rFonts w:ascii="Arial" w:cs="Arial" w:eastAsia="Arial" w:hAnsi="Arial"/>
          <w:b/>
          <w:bCs/>
          <w:color w:val="2D6E8A"/>
          <w:sz w:val="28"/>
          <w:szCs w:val="28"/>
        </w:rPr>
        <w:t xml:space="preserve">5. Decision-Making</w:t>
      </w:r>
    </w:p>
    <w:p>
      <w:pPr>
        <w:pStyle w:val="Heading2"/>
        <w:spacing w:after="80" w:before="200"/>
      </w:pPr>
      <w:r>
        <w:rPr>
          <w:rFonts w:ascii="Arial" w:cs="Arial" w:eastAsia="Arial" w:hAnsi="Arial"/>
          <w:b/>
          <w:bCs/>
          <w:color w:val="0A0E12"/>
          <w:sz w:val="24"/>
          <w:szCs w:val="24"/>
        </w:rPr>
        <w:t xml:space="preserve">5.1 Ordinary Decisions</w:t>
      </w:r>
    </w:p>
    <w:p>
      <w:pPr>
        <w:spacing w:after="60" w:before="60"/>
      </w:pPr>
      <w:r>
        <w:rPr>
          <w:rFonts w:ascii="Arial" w:cs="Arial" w:eastAsia="Arial" w:hAnsi="Arial"/>
          <w:sz w:val="22"/>
          <w:szCs w:val="22"/>
        </w:rPr>
        <w:t xml:space="preserve">Day-to-day operational decisions may be made by the Chief Executive Officer without Founder vote, within the following thresholds:</w:t>
      </w:r>
    </w:p>
    <w:p>
      <w:pPr>
        <w:pStyle w:val="ListParagraph"/>
        <w:numPr>
          <w:ilvl w:val="0"/>
          <w:numId w:val="2"/>
        </w:numPr>
        <w:spacing w:after="40" w:before="40"/>
      </w:pPr>
      <w:r>
        <w:rPr>
          <w:rFonts w:ascii="Arial" w:cs="Arial" w:eastAsia="Arial" w:hAnsi="Arial"/>
          <w:sz w:val="22"/>
          <w:szCs w:val="22"/>
        </w:rPr>
        <w:t xml:space="preserve">Expenditure up to [OPERATIONAL_SPEND_LIMIT] SAR per transaction</w:t>
      </w:r>
    </w:p>
    <w:p>
      <w:pPr>
        <w:pStyle w:val="ListParagraph"/>
        <w:numPr>
          <w:ilvl w:val="0"/>
          <w:numId w:val="2"/>
        </w:numPr>
        <w:spacing w:after="40" w:before="40"/>
      </w:pPr>
      <w:r>
        <w:rPr>
          <w:rFonts w:ascii="Arial" w:cs="Arial" w:eastAsia="Arial" w:hAnsi="Arial"/>
          <w:sz w:val="22"/>
          <w:szCs w:val="22"/>
        </w:rPr>
        <w:t xml:space="preserve">Hiring of employees with monthly cost-to-company not exceeding [HIRE_CTC_LIMIT] SAR</w:t>
      </w:r>
    </w:p>
    <w:p>
      <w:pPr>
        <w:pStyle w:val="ListParagraph"/>
        <w:numPr>
          <w:ilvl w:val="0"/>
          <w:numId w:val="2"/>
        </w:numPr>
        <w:spacing w:after="40" w:before="40"/>
      </w:pPr>
      <w:r>
        <w:rPr>
          <w:rFonts w:ascii="Arial" w:cs="Arial" w:eastAsia="Arial" w:hAnsi="Arial"/>
          <w:sz w:val="22"/>
          <w:szCs w:val="22"/>
        </w:rPr>
        <w:t xml:space="preserve">Vendor and service agreements with total value not exceeding [VENDOR_LIMIT] SAR</w:t>
      </w:r>
    </w:p>
    <w:p>
      <w:pPr>
        <w:spacing w:after="80" w:before="80"/>
      </w:pPr>
      <w:r>
        <w:t xml:space="preserve"/>
      </w:r>
    </w:p>
    <w:p>
      <w:pPr>
        <w:pStyle w:val="Heading2"/>
        <w:spacing w:after="80" w:before="200"/>
      </w:pPr>
      <w:r>
        <w:rPr>
          <w:rFonts w:ascii="Arial" w:cs="Arial" w:eastAsia="Arial" w:hAnsi="Arial"/>
          <w:b/>
          <w:bCs/>
          <w:color w:val="0A0E12"/>
          <w:sz w:val="24"/>
          <w:szCs w:val="24"/>
        </w:rPr>
        <w:t xml:space="preserve">5.2 Reserved Matters Requiring Unanimous Founder Consent</w:t>
      </w:r>
    </w:p>
    <w:p>
      <w:pPr>
        <w:spacing w:after="60" w:before="60"/>
      </w:pPr>
      <w:r>
        <w:rPr>
          <w:rFonts w:ascii="Arial" w:cs="Arial" w:eastAsia="Arial" w:hAnsi="Arial"/>
          <w:sz w:val="22"/>
          <w:szCs w:val="22"/>
        </w:rPr>
        <w:t xml:space="preserve">The following matters require the written consent of all Founders (or, where applicable, the Shareholders’ Agreement supermajority threshold):</w:t>
      </w:r>
    </w:p>
    <w:p>
      <w:pPr>
        <w:pStyle w:val="ListParagraph"/>
        <w:numPr>
          <w:ilvl w:val="0"/>
          <w:numId w:val="2"/>
        </w:numPr>
        <w:spacing w:after="40" w:before="40"/>
      </w:pPr>
      <w:r>
        <w:rPr>
          <w:rFonts w:ascii="Arial" w:cs="Arial" w:eastAsia="Arial" w:hAnsi="Arial"/>
          <w:sz w:val="22"/>
          <w:szCs w:val="22"/>
        </w:rPr>
        <w:t xml:space="preserve">Issuance of new shares or modification of the authorized capital</w:t>
      </w:r>
    </w:p>
    <w:p>
      <w:pPr>
        <w:pStyle w:val="ListParagraph"/>
        <w:numPr>
          <w:ilvl w:val="0"/>
          <w:numId w:val="2"/>
        </w:numPr>
        <w:spacing w:after="40" w:before="40"/>
      </w:pPr>
      <w:r>
        <w:rPr>
          <w:rFonts w:ascii="Arial" w:cs="Arial" w:eastAsia="Arial" w:hAnsi="Arial"/>
          <w:sz w:val="22"/>
          <w:szCs w:val="22"/>
        </w:rPr>
        <w:t xml:space="preserve">Admission of a new Founder or co-founder</w:t>
      </w:r>
    </w:p>
    <w:p>
      <w:pPr>
        <w:pStyle w:val="ListParagraph"/>
        <w:numPr>
          <w:ilvl w:val="0"/>
          <w:numId w:val="2"/>
        </w:numPr>
        <w:spacing w:after="40" w:before="40"/>
      </w:pPr>
      <w:r>
        <w:rPr>
          <w:rFonts w:ascii="Arial" w:cs="Arial" w:eastAsia="Arial" w:hAnsi="Arial"/>
          <w:sz w:val="22"/>
          <w:szCs w:val="22"/>
        </w:rPr>
        <w:t xml:space="preserve">Mergers, acquisitions, or disposal of substantially all assets</w:t>
      </w:r>
    </w:p>
    <w:p>
      <w:pPr>
        <w:pStyle w:val="ListParagraph"/>
        <w:numPr>
          <w:ilvl w:val="0"/>
          <w:numId w:val="2"/>
        </w:numPr>
        <w:spacing w:after="40" w:before="40"/>
      </w:pPr>
      <w:r>
        <w:rPr>
          <w:rFonts w:ascii="Arial" w:cs="Arial" w:eastAsia="Arial" w:hAnsi="Arial"/>
          <w:sz w:val="22"/>
          <w:szCs w:val="22"/>
        </w:rPr>
        <w:t xml:space="preserve">Incurrence of debt exceeding 500,000 SAR</w:t>
      </w:r>
    </w:p>
    <w:p>
      <w:pPr>
        <w:pStyle w:val="ListParagraph"/>
        <w:numPr>
          <w:ilvl w:val="0"/>
          <w:numId w:val="2"/>
        </w:numPr>
        <w:spacing w:after="40" w:before="40"/>
      </w:pPr>
      <w:r>
        <w:rPr>
          <w:rFonts w:ascii="Arial" w:cs="Arial" w:eastAsia="Arial" w:hAnsi="Arial"/>
          <w:sz w:val="22"/>
          <w:szCs w:val="22"/>
        </w:rPr>
        <w:t xml:space="preserve">Compensation exceeding 30,000 SAR per month for any individual</w:t>
      </w:r>
    </w:p>
    <w:p>
      <w:pPr>
        <w:pStyle w:val="ListParagraph"/>
        <w:numPr>
          <w:ilvl w:val="0"/>
          <w:numId w:val="2"/>
        </w:numPr>
        <w:spacing w:after="40" w:before="40"/>
      </w:pPr>
      <w:r>
        <w:rPr>
          <w:rFonts w:ascii="Arial" w:cs="Arial" w:eastAsia="Arial" w:hAnsi="Arial"/>
          <w:sz w:val="22"/>
          <w:szCs w:val="22"/>
        </w:rPr>
        <w:t xml:space="preserve">Appointment or removal of the Chief Executive Officer</w:t>
      </w:r>
    </w:p>
    <w:p>
      <w:pPr>
        <w:pStyle w:val="ListParagraph"/>
        <w:numPr>
          <w:ilvl w:val="0"/>
          <w:numId w:val="2"/>
        </w:numPr>
        <w:spacing w:after="40" w:before="40"/>
      </w:pPr>
      <w:r>
        <w:rPr>
          <w:rFonts w:ascii="Arial" w:cs="Arial" w:eastAsia="Arial" w:hAnsi="Arial"/>
          <w:sz w:val="22"/>
          <w:szCs w:val="22"/>
        </w:rPr>
        <w:t xml:space="preserve">Amendment of the Company’s articles of association or this Agreement</w:t>
      </w:r>
    </w:p>
    <w:p>
      <w:pPr>
        <w:pStyle w:val="ListParagraph"/>
        <w:numPr>
          <w:ilvl w:val="0"/>
          <w:numId w:val="2"/>
        </w:numPr>
        <w:spacing w:after="40" w:before="40"/>
      </w:pPr>
      <w:r>
        <w:rPr>
          <w:rFonts w:ascii="Arial" w:cs="Arial" w:eastAsia="Arial" w:hAnsi="Arial"/>
          <w:sz w:val="22"/>
          <w:szCs w:val="22"/>
        </w:rPr>
        <w:t xml:space="preserve">Winding up or dissolution of the Company</w:t>
      </w:r>
    </w:p>
    <w:p>
      <w:r>
        <w:br w:type="page"/>
      </w:r>
    </w:p>
    <w:p>
      <w:pPr>
        <w:pStyle w:val="Heading1"/>
        <w:spacing w:after="120" w:before="300"/>
      </w:pPr>
      <w:r>
        <w:rPr>
          <w:rFonts w:ascii="Arial" w:cs="Arial" w:eastAsia="Arial" w:hAnsi="Arial"/>
          <w:b/>
          <w:bCs/>
          <w:color w:val="2D6E8A"/>
          <w:sz w:val="28"/>
          <w:szCs w:val="28"/>
        </w:rPr>
        <w:t xml:space="preserve">6. Intellectual Property Assignment</w:t>
      </w:r>
    </w:p>
    <w:p>
      <w:pPr>
        <w:spacing w:after="60" w:before="60"/>
      </w:pPr>
      <w:r>
        <w:rPr>
          <w:rFonts w:ascii="Arial" w:cs="Arial" w:eastAsia="Arial" w:hAnsi="Arial"/>
          <w:sz w:val="22"/>
          <w:szCs w:val="22"/>
        </w:rPr>
        <w:t xml:space="preserve">Each Founder hereby irrevocably assigns, transfers, and conveys to the Company all right, title, and interest in and to any and all Intellectual Property (“IP”), including without limitation:</w:t>
      </w:r>
    </w:p>
    <w:p>
      <w:pPr>
        <w:pStyle w:val="ListParagraph"/>
        <w:numPr>
          <w:ilvl w:val="0"/>
          <w:numId w:val="2"/>
        </w:numPr>
        <w:spacing w:after="40" w:before="40"/>
      </w:pPr>
      <w:r>
        <w:rPr>
          <w:rFonts w:ascii="Arial" w:cs="Arial" w:eastAsia="Arial" w:hAnsi="Arial"/>
          <w:sz w:val="22"/>
          <w:szCs w:val="22"/>
        </w:rPr>
        <w:t xml:space="preserve">All software, code, algorithms, databases, and data pipelines developed in connection with Fly GACA</w:t>
      </w:r>
    </w:p>
    <w:p>
      <w:pPr>
        <w:pStyle w:val="ListParagraph"/>
        <w:numPr>
          <w:ilvl w:val="0"/>
          <w:numId w:val="2"/>
        </w:numPr>
        <w:spacing w:after="40" w:before="40"/>
      </w:pPr>
      <w:r>
        <w:rPr>
          <w:rFonts w:ascii="Arial" w:cs="Arial" w:eastAsia="Arial" w:hAnsi="Arial"/>
          <w:sz w:val="22"/>
          <w:szCs w:val="22"/>
        </w:rPr>
        <w:t xml:space="preserve">The “Captain Adel” persona, character art, voice design, and system prompt architecture</w:t>
      </w:r>
    </w:p>
    <w:p>
      <w:pPr>
        <w:pStyle w:val="ListParagraph"/>
        <w:numPr>
          <w:ilvl w:val="0"/>
          <w:numId w:val="2"/>
        </w:numPr>
        <w:spacing w:after="40" w:before="40"/>
      </w:pPr>
      <w:r>
        <w:rPr>
          <w:rFonts w:ascii="Arial" w:cs="Arial" w:eastAsia="Arial" w:hAnsi="Arial"/>
          <w:sz w:val="22"/>
          <w:szCs w:val="22"/>
        </w:rPr>
        <w:t xml:space="preserve">The GACAR library ingestion, chunking, and BM25 RAG infrastructure</w:t>
      </w:r>
    </w:p>
    <w:p>
      <w:pPr>
        <w:pStyle w:val="ListParagraph"/>
        <w:numPr>
          <w:ilvl w:val="0"/>
          <w:numId w:val="2"/>
        </w:numPr>
        <w:spacing w:after="40" w:before="40"/>
      </w:pPr>
      <w:r>
        <w:rPr>
          <w:rFonts w:ascii="Arial" w:cs="Arial" w:eastAsia="Arial" w:hAnsi="Arial"/>
          <w:sz w:val="22"/>
          <w:szCs w:val="22"/>
        </w:rPr>
        <w:t xml:space="preserve">All trademarks, service marks, domain names (including flygaca.com), and trade dress</w:t>
      </w:r>
    </w:p>
    <w:p>
      <w:pPr>
        <w:pStyle w:val="ListParagraph"/>
        <w:numPr>
          <w:ilvl w:val="0"/>
          <w:numId w:val="2"/>
        </w:numPr>
        <w:spacing w:after="40" w:before="40"/>
      </w:pPr>
      <w:r>
        <w:rPr>
          <w:rFonts w:ascii="Arial" w:cs="Arial" w:eastAsia="Arial" w:hAnsi="Arial"/>
          <w:sz w:val="22"/>
          <w:szCs w:val="22"/>
        </w:rPr>
        <w:t xml:space="preserve">All copyrights, patents, trade secrets, and know-how</w:t>
      </w:r>
    </w:p>
    <w:p>
      <w:pPr>
        <w:pStyle w:val="ListParagraph"/>
        <w:numPr>
          <w:ilvl w:val="0"/>
          <w:numId w:val="2"/>
        </w:numPr>
        <w:spacing w:after="40" w:before="40"/>
      </w:pPr>
      <w:r>
        <w:rPr>
          <w:rFonts w:ascii="Arial" w:cs="Arial" w:eastAsia="Arial" w:hAnsi="Arial"/>
          <w:sz w:val="22"/>
          <w:szCs w:val="22"/>
        </w:rPr>
        <w:t xml:space="preserve">All documentation, strategic plans, financial models, and investor materials</w:t>
      </w:r>
    </w:p>
    <w:p>
      <w:pPr>
        <w:spacing w:after="80" w:before="80"/>
      </w:pPr>
      <w:r>
        <w:t xml:space="preserve"/>
      </w:r>
    </w:p>
    <w:p>
      <w:pPr>
        <w:spacing w:after="60" w:before="60"/>
      </w:pPr>
      <w:r>
        <w:rPr>
          <w:rFonts w:ascii="Arial" w:cs="Arial" w:eastAsia="Arial" w:hAnsi="Arial"/>
          <w:sz w:val="22"/>
          <w:szCs w:val="22"/>
        </w:rPr>
        <w:t xml:space="preserve">Pre-existing IP (“Background IP”) owned by a Founder prior to the Company’s formation is listed in Schedule A. Background IP is licensed to the Company on a royalty-free, irrevocable basis for the Company’s purposes, but ownership is retained by the Founder unless separately transferred.</w:t>
      </w:r>
    </w:p>
    <w:p>
      <w:r>
        <w:br w:type="page"/>
      </w:r>
    </w:p>
    <w:p>
      <w:pPr>
        <w:pStyle w:val="Heading1"/>
        <w:spacing w:after="120" w:before="300"/>
      </w:pPr>
      <w:r>
        <w:rPr>
          <w:rFonts w:ascii="Arial" w:cs="Arial" w:eastAsia="Arial" w:hAnsi="Arial"/>
          <w:b/>
          <w:bCs/>
          <w:color w:val="2D6E8A"/>
          <w:sz w:val="28"/>
          <w:szCs w:val="28"/>
        </w:rPr>
        <w:t xml:space="preserve">7. Confidentiality</w:t>
      </w:r>
    </w:p>
    <w:p>
      <w:pPr>
        <w:spacing w:after="60" w:before="60"/>
      </w:pPr>
      <w:r>
        <w:rPr>
          <w:rFonts w:ascii="Arial" w:cs="Arial" w:eastAsia="Arial" w:hAnsi="Arial"/>
          <w:sz w:val="22"/>
          <w:szCs w:val="22"/>
        </w:rPr>
        <w:t xml:space="preserve">Each Founder agrees to maintain strict confidentiality with respect to all non-public information concerning the Company, its technology, customers, investors, and business strategies (“Confidential Information”). This obligation shall:</w:t>
      </w:r>
    </w:p>
    <w:p>
      <w:pPr>
        <w:pStyle w:val="ListParagraph"/>
        <w:numPr>
          <w:ilvl w:val="0"/>
          <w:numId w:val="2"/>
        </w:numPr>
        <w:spacing w:after="40" w:before="40"/>
      </w:pPr>
      <w:r>
        <w:rPr>
          <w:rFonts w:ascii="Arial" w:cs="Arial" w:eastAsia="Arial" w:hAnsi="Arial"/>
          <w:sz w:val="22"/>
          <w:szCs w:val="22"/>
        </w:rPr>
        <w:t xml:space="preserve">Survive termination of this Agreement for a period of five (5) years with respect to general Confidential Information</w:t>
      </w:r>
    </w:p>
    <w:p>
      <w:pPr>
        <w:pStyle w:val="ListParagraph"/>
        <w:numPr>
          <w:ilvl w:val="0"/>
          <w:numId w:val="2"/>
        </w:numPr>
        <w:spacing w:after="40" w:before="40"/>
      </w:pPr>
      <w:r>
        <w:rPr>
          <w:rFonts w:ascii="Arial" w:cs="Arial" w:eastAsia="Arial" w:hAnsi="Arial"/>
          <w:sz w:val="22"/>
          <w:szCs w:val="22"/>
        </w:rPr>
        <w:t xml:space="preserve">Survive indefinitely with respect to trade secrets and personal data protected under Saudi PDPL (Royal Decree M/19)</w:t>
      </w:r>
    </w:p>
    <w:p>
      <w:pPr>
        <w:pStyle w:val="ListParagraph"/>
        <w:numPr>
          <w:ilvl w:val="0"/>
          <w:numId w:val="2"/>
        </w:numPr>
        <w:spacing w:after="40" w:before="40"/>
      </w:pPr>
      <w:r>
        <w:rPr>
          <w:rFonts w:ascii="Arial" w:cs="Arial" w:eastAsia="Arial" w:hAnsi="Arial"/>
          <w:sz w:val="22"/>
          <w:szCs w:val="22"/>
        </w:rPr>
        <w:t xml:space="preserve">Apply to the Founder’s employees, contractors, and advisers who are bound by equivalent obligations</w:t>
      </w:r>
    </w:p>
    <w:p>
      <w:pPr>
        <w:spacing w:after="60" w:before="60"/>
      </w:pPr>
      <w:r>
        <w:rPr>
          <w:rFonts w:ascii="Arial" w:cs="Arial" w:eastAsia="Arial" w:hAnsi="Arial"/>
          <w:sz w:val="22"/>
          <w:szCs w:val="22"/>
        </w:rPr>
        <w:t xml:space="preserve">Exceptions: Information that is publicly available other than through breach of this clause, independently developed without reference to Confidential Information, or required to be disclosed by applicable law or court order (subject to prior notice where legally permissible).</w:t>
      </w:r>
    </w:p>
    <w:p>
      <w:r>
        <w:br w:type="page"/>
      </w:r>
    </w:p>
    <w:p>
      <w:pPr>
        <w:pStyle w:val="Heading1"/>
        <w:spacing w:after="120" w:before="300"/>
      </w:pPr>
      <w:r>
        <w:rPr>
          <w:rFonts w:ascii="Arial" w:cs="Arial" w:eastAsia="Arial" w:hAnsi="Arial"/>
          <w:b/>
          <w:bCs/>
          <w:color w:val="2D6E8A"/>
          <w:sz w:val="28"/>
          <w:szCs w:val="28"/>
        </w:rPr>
        <w:t xml:space="preserve">8. Non-Compete</w:t>
      </w:r>
    </w:p>
    <w:p>
      <w:pPr>
        <w:spacing w:after="60" w:before="60"/>
      </w:pPr>
      <w:r>
        <w:rPr>
          <w:rFonts w:ascii="Arial" w:cs="Arial" w:eastAsia="Arial" w:hAnsi="Arial"/>
          <w:sz w:val="22"/>
          <w:szCs w:val="22"/>
        </w:rPr>
        <w:t xml:space="preserve">During the term of each Founder’s active role at the Company and for a period of twelve (12) months following departure, each Founder agrees not to, directly or indirectly:</w:t>
      </w:r>
    </w:p>
    <w:p>
      <w:pPr>
        <w:pStyle w:val="ListParagraph"/>
        <w:numPr>
          <w:ilvl w:val="0"/>
          <w:numId w:val="2"/>
        </w:numPr>
        <w:spacing w:after="40" w:before="40"/>
      </w:pPr>
      <w:r>
        <w:rPr>
          <w:rFonts w:ascii="Arial" w:cs="Arial" w:eastAsia="Arial" w:hAnsi="Arial"/>
          <w:sz w:val="22"/>
          <w:szCs w:val="22"/>
        </w:rPr>
        <w:t xml:space="preserve">Engage in, establish, invest in, or assist any business that competes materially with the Company’s aviation EdTech and RegTech activities in the Kingdom of Saudi Arabia</w:t>
      </w:r>
    </w:p>
    <w:p>
      <w:pPr>
        <w:pStyle w:val="ListParagraph"/>
        <w:numPr>
          <w:ilvl w:val="0"/>
          <w:numId w:val="2"/>
        </w:numPr>
        <w:spacing w:after="40" w:before="40"/>
      </w:pPr>
      <w:r>
        <w:rPr>
          <w:rFonts w:ascii="Arial" w:cs="Arial" w:eastAsia="Arial" w:hAnsi="Arial"/>
          <w:sz w:val="22"/>
          <w:szCs w:val="22"/>
        </w:rPr>
        <w:t xml:space="preserve">Solicit or hire the Company’s employees or contractors for a competing venture</w:t>
      </w:r>
    </w:p>
    <w:p>
      <w:pPr>
        <w:pStyle w:val="ListParagraph"/>
        <w:numPr>
          <w:ilvl w:val="0"/>
          <w:numId w:val="2"/>
        </w:numPr>
        <w:spacing w:after="40" w:before="40"/>
      </w:pPr>
      <w:r>
        <w:rPr>
          <w:rFonts w:ascii="Arial" w:cs="Arial" w:eastAsia="Arial" w:hAnsi="Arial"/>
          <w:sz w:val="22"/>
          <w:szCs w:val="22"/>
        </w:rPr>
        <w:t xml:space="preserve">Solicit the Company’s customers or prospective customers for a competing product or service</w:t>
      </w:r>
    </w:p>
    <w:p>
      <w:pPr>
        <w:spacing w:after="80" w:before="80"/>
      </w:pPr>
      <w:r>
        <w:t xml:space="preserve"/>
      </w:r>
    </w:p>
    <w:p>
      <w:pPr>
        <w:spacing w:after="60" w:before="60"/>
      </w:pPr>
      <w:r>
        <w:rPr>
          <w:rFonts w:ascii="Arial" w:cs="Arial" w:eastAsia="Arial" w:hAnsi="Arial"/>
          <w:sz w:val="22"/>
          <w:szCs w:val="22"/>
        </w:rPr>
        <w:t xml:space="preserve">Geographic scope: Kingdom of Saudi Arabia. Temporal scope: twelve (12) months post-departure. Functional scope: aviation regulatory content delivery, AI flight instruction, and GACA exam preparation products. Founders acknowledge that these restrictions are reasonable and proportionate to protect the Company’s legitimate business interests.</w:t>
      </w:r>
    </w:p>
    <w:p>
      <w:r>
        <w:br w:type="page"/>
      </w:r>
    </w:p>
    <w:p>
      <w:pPr>
        <w:pStyle w:val="Heading1"/>
        <w:spacing w:after="120" w:before="300"/>
      </w:pPr>
      <w:r>
        <w:rPr>
          <w:rFonts w:ascii="Arial" w:cs="Arial" w:eastAsia="Arial" w:hAnsi="Arial"/>
          <w:b/>
          <w:bCs/>
          <w:color w:val="2D6E8A"/>
          <w:sz w:val="28"/>
          <w:szCs w:val="28"/>
        </w:rPr>
        <w:t xml:space="preserve">9. Departure Scenarios</w:t>
      </w:r>
    </w:p>
    <w:p>
      <w:pPr>
        <w:pStyle w:val="Heading2"/>
        <w:spacing w:after="80" w:before="200"/>
      </w:pPr>
      <w:r>
        <w:rPr>
          <w:rFonts w:ascii="Arial" w:cs="Arial" w:eastAsia="Arial" w:hAnsi="Arial"/>
          <w:b/>
          <w:bCs/>
          <w:color w:val="0A0E12"/>
          <w:sz w:val="24"/>
          <w:szCs w:val="24"/>
        </w:rPr>
        <w:t xml:space="preserve">9.1 Good Leaver</w:t>
      </w:r>
    </w:p>
    <w:p>
      <w:pPr>
        <w:spacing w:after="60" w:before="60"/>
      </w:pPr>
      <w:r>
        <w:rPr>
          <w:rFonts w:ascii="Arial" w:cs="Arial" w:eastAsia="Arial" w:hAnsi="Arial"/>
          <w:sz w:val="22"/>
          <w:szCs w:val="22"/>
        </w:rPr>
        <w:t xml:space="preserve">A Founder is a “Good Leaver” upon departure due to death, Permanent Disability, termination by the Company without Cause, or resignation with twelve (12) months’ written notice. Good Leaver vested shares are retained. Unvested shares are subject to buyback at Fair Market Value (“FMV”).</w:t>
      </w:r>
    </w:p>
    <w:p>
      <w:pPr>
        <w:spacing w:after="80" w:before="80"/>
      </w:pPr>
      <w:r>
        <w:t xml:space="preserve"/>
      </w:r>
    </w:p>
    <w:p>
      <w:pPr>
        <w:pStyle w:val="Heading2"/>
        <w:spacing w:after="80" w:before="200"/>
      </w:pPr>
      <w:r>
        <w:rPr>
          <w:rFonts w:ascii="Arial" w:cs="Arial" w:eastAsia="Arial" w:hAnsi="Arial"/>
          <w:b/>
          <w:bCs/>
          <w:color w:val="0A0E12"/>
          <w:sz w:val="24"/>
          <w:szCs w:val="24"/>
        </w:rPr>
        <w:t xml:space="preserve">9.2 Bad Leaver</w:t>
      </w:r>
    </w:p>
    <w:p>
      <w:pPr>
        <w:spacing w:after="60" w:before="60"/>
      </w:pPr>
      <w:r>
        <w:rPr>
          <w:rFonts w:ascii="Arial" w:cs="Arial" w:eastAsia="Arial" w:hAnsi="Arial"/>
          <w:sz w:val="22"/>
          <w:szCs w:val="22"/>
        </w:rPr>
        <w:t xml:space="preserve">A Founder is a “Bad Leaver” upon departure due to: termination for Cause (fraud, gross misconduct, material breach of this Agreement), resignation without adequate notice, or material breach of non-compete or IP assignment obligations. All unvested shares are forfeited. Vested shares are subject to mandatory buyback at par value. The Company may pursue additional remedies for damages caused.</w:t>
      </w:r>
    </w:p>
    <w:p>
      <w:pPr>
        <w:spacing w:after="80" w:before="80"/>
      </w:pPr>
      <w:r>
        <w:t xml:space="preserve"/>
      </w:r>
    </w:p>
    <w:p>
      <w:pPr>
        <w:pStyle w:val="Heading2"/>
        <w:spacing w:after="80" w:before="200"/>
      </w:pPr>
      <w:r>
        <w:rPr>
          <w:rFonts w:ascii="Arial" w:cs="Arial" w:eastAsia="Arial" w:hAnsi="Arial"/>
          <w:b/>
          <w:bCs/>
          <w:color w:val="0A0E12"/>
          <w:sz w:val="24"/>
          <w:szCs w:val="24"/>
        </w:rPr>
        <w:t xml:space="preserve">9.3 Buyback Procedure</w:t>
      </w:r>
    </w:p>
    <w:p>
      <w:pPr>
        <w:spacing w:after="60" w:before="60"/>
      </w:pPr>
      <w:r>
        <w:rPr>
          <w:rFonts w:ascii="Arial" w:cs="Arial" w:eastAsia="Arial" w:hAnsi="Arial"/>
          <w:sz w:val="22"/>
          <w:szCs w:val="22"/>
        </w:rPr>
        <w:t xml:space="preserve">Upon a Founder departure, the remaining Founders (and/or the Company) shall have a right of first refusal to acquire departing Founder’s shares at the applicable price within sixty (60) days of notice. Any shares not acquired shall be offered to existing investors under the terms of the Shareholders’ Agreement.</w:t>
      </w:r>
    </w:p>
    <w:p>
      <w:r>
        <w:br w:type="page"/>
      </w:r>
    </w:p>
    <w:p>
      <w:pPr>
        <w:pStyle w:val="Heading1"/>
        <w:spacing w:after="120" w:before="300"/>
      </w:pPr>
      <w:r>
        <w:rPr>
          <w:rFonts w:ascii="Arial" w:cs="Arial" w:eastAsia="Arial" w:hAnsi="Arial"/>
          <w:b/>
          <w:bCs/>
          <w:color w:val="2D6E8A"/>
          <w:sz w:val="28"/>
          <w:szCs w:val="28"/>
        </w:rPr>
        <w:t xml:space="preserve">10. Dispute Resolution</w:t>
      </w:r>
    </w:p>
    <w:p>
      <w:pPr>
        <w:spacing w:after="60" w:before="60"/>
      </w:pPr>
      <w:r>
        <w:rPr>
          <w:rFonts w:ascii="Arial" w:cs="Arial" w:eastAsia="Arial" w:hAnsi="Arial"/>
          <w:sz w:val="22"/>
          <w:szCs w:val="22"/>
        </w:rPr>
        <w:t xml:space="preserve">Any dispute, controversy, or claim arising out of or in connection with this Agreement, or its breach, termination, or validity, shall be resolved as follows:</w:t>
      </w:r>
    </w:p>
    <w:p>
      <w:pPr>
        <w:pStyle w:val="ListParagraph"/>
        <w:numPr>
          <w:ilvl w:val="0"/>
          <w:numId w:val="2"/>
        </w:numPr>
        <w:spacing w:after="40" w:before="40"/>
      </w:pPr>
      <w:r>
        <w:rPr>
          <w:rFonts w:ascii="Arial" w:cs="Arial" w:eastAsia="Arial" w:hAnsi="Arial"/>
          <w:sz w:val="22"/>
          <w:szCs w:val="22"/>
        </w:rPr>
        <w:t xml:space="preserve">Step 1 — Negotiation: The parties shall attempt in good faith to resolve the dispute within fifteen (15) calendar days of written notice</w:t>
      </w:r>
    </w:p>
    <w:p>
      <w:pPr>
        <w:pStyle w:val="ListParagraph"/>
        <w:numPr>
          <w:ilvl w:val="0"/>
          <w:numId w:val="2"/>
        </w:numPr>
        <w:spacing w:after="40" w:before="40"/>
      </w:pPr>
      <w:r>
        <w:rPr>
          <w:rFonts w:ascii="Arial" w:cs="Arial" w:eastAsia="Arial" w:hAnsi="Arial"/>
          <w:sz w:val="22"/>
          <w:szCs w:val="22"/>
        </w:rPr>
        <w:t xml:space="preserve">Step 2 — Mediation: If unresolved, the parties shall submit to non-binding mediation administered by the Saudi Center for Commercial Arbitration (SCCA) within thirty (30) days</w:t>
      </w:r>
    </w:p>
    <w:p>
      <w:pPr>
        <w:pStyle w:val="ListParagraph"/>
        <w:numPr>
          <w:ilvl w:val="0"/>
          <w:numId w:val="2"/>
        </w:numPr>
        <w:spacing w:after="40" w:before="40"/>
      </w:pPr>
      <w:r>
        <w:rPr>
          <w:rFonts w:ascii="Arial" w:cs="Arial" w:eastAsia="Arial" w:hAnsi="Arial"/>
          <w:sz w:val="22"/>
          <w:szCs w:val="22"/>
        </w:rPr>
        <w:t xml:space="preserve">Step 3 — Arbitration: If mediation fails, disputes shall be finally resolved by binding arbitration under the SCCA Rules, with a sole arbitrator, proceedings in Arabic and English, seat in Riyadh, Kingdom of Saudi Arabia</w:t>
      </w:r>
    </w:p>
    <w:p>
      <w:pPr>
        <w:spacing w:after="80" w:before="80"/>
      </w:pPr>
      <w:r>
        <w:t xml:space="preserve"/>
      </w:r>
    </w:p>
    <w:p>
      <w:pPr>
        <w:spacing w:after="60" w:before="60"/>
      </w:pPr>
      <w:r>
        <w:rPr>
          <w:rFonts w:ascii="Arial" w:cs="Arial" w:eastAsia="Arial" w:hAnsi="Arial"/>
          <w:sz w:val="22"/>
          <w:szCs w:val="22"/>
        </w:rPr>
        <w:t xml:space="preserve">Notwithstanding the foregoing, either party may seek emergency injunctive or equitable relief from the competent Saudi courts to prevent irreparable harm.</w:t>
      </w:r>
    </w:p>
    <w:p>
      <w:r>
        <w:br w:type="page"/>
      </w:r>
    </w:p>
    <w:p>
      <w:pPr>
        <w:pStyle w:val="Heading1"/>
        <w:spacing w:after="120" w:before="300"/>
      </w:pPr>
      <w:r>
        <w:rPr>
          <w:rFonts w:ascii="Arial" w:cs="Arial" w:eastAsia="Arial" w:hAnsi="Arial"/>
          <w:b/>
          <w:bCs/>
          <w:color w:val="2D6E8A"/>
          <w:sz w:val="28"/>
          <w:szCs w:val="28"/>
        </w:rPr>
        <w:t xml:space="preserve">11. Governing Law</w:t>
      </w:r>
    </w:p>
    <w:p>
      <w:pPr>
        <w:spacing w:after="60" w:before="60"/>
      </w:pPr>
      <w:r>
        <w:rPr>
          <w:rFonts w:ascii="Arial" w:cs="Arial" w:eastAsia="Arial" w:hAnsi="Arial"/>
          <w:sz w:val="22"/>
          <w:szCs w:val="22"/>
        </w:rPr>
        <w:t xml:space="preserve">This Agreement shall be governed by and construed in accordance with the laws of the Kingdom of Saudi Arabia, including the Saudi Companies Law (Royal Decree No. M/3) and its executive regulations.</w:t>
      </w:r>
    </w:p>
    <w:p>
      <w:pPr>
        <w:pStyle w:val="Heading1"/>
        <w:spacing w:after="120" w:before="300"/>
      </w:pPr>
      <w:r>
        <w:rPr>
          <w:rFonts w:ascii="Arial" w:cs="Arial" w:eastAsia="Arial" w:hAnsi="Arial"/>
          <w:b/>
          <w:bCs/>
          <w:color w:val="2D6E8A"/>
          <w:sz w:val="28"/>
          <w:szCs w:val="28"/>
        </w:rPr>
        <w:t xml:space="preserve">12. General Provisions</w:t>
      </w:r>
    </w:p>
    <w:p>
      <w:pPr>
        <w:pStyle w:val="ListParagraph"/>
        <w:numPr>
          <w:ilvl w:val="0"/>
          <w:numId w:val="2"/>
        </w:numPr>
        <w:spacing w:after="40" w:before="40"/>
      </w:pPr>
      <w:r>
        <w:rPr>
          <w:rFonts w:ascii="Arial" w:cs="Arial" w:eastAsia="Arial" w:hAnsi="Arial"/>
          <w:sz w:val="22"/>
          <w:szCs w:val="22"/>
        </w:rPr>
        <w:t xml:space="preserve">Entire Agreement: This Agreement, together with its schedules, constitutes the entire agreement among the Founders with respect to its subject matter and supersedes all prior agreements</w:t>
      </w:r>
    </w:p>
    <w:p>
      <w:pPr>
        <w:pStyle w:val="ListParagraph"/>
        <w:numPr>
          <w:ilvl w:val="0"/>
          <w:numId w:val="2"/>
        </w:numPr>
        <w:spacing w:after="40" w:before="40"/>
      </w:pPr>
      <w:r>
        <w:rPr>
          <w:rFonts w:ascii="Arial" w:cs="Arial" w:eastAsia="Arial" w:hAnsi="Arial"/>
          <w:sz w:val="22"/>
          <w:szCs w:val="22"/>
        </w:rPr>
        <w:t xml:space="preserve">Amendments: This Agreement may be amended only by a written instrument executed by all Founders</w:t>
      </w:r>
    </w:p>
    <w:p>
      <w:pPr>
        <w:pStyle w:val="ListParagraph"/>
        <w:numPr>
          <w:ilvl w:val="0"/>
          <w:numId w:val="2"/>
        </w:numPr>
        <w:spacing w:after="40" w:before="40"/>
      </w:pPr>
      <w:r>
        <w:rPr>
          <w:rFonts w:ascii="Arial" w:cs="Arial" w:eastAsia="Arial" w:hAnsi="Arial"/>
          <w:sz w:val="22"/>
          <w:szCs w:val="22"/>
        </w:rPr>
        <w:t xml:space="preserve">Severability: If any provision is found unenforceable, the remaining provisions shall continue in full force</w:t>
      </w:r>
    </w:p>
    <w:p>
      <w:pPr>
        <w:pStyle w:val="ListParagraph"/>
        <w:numPr>
          <w:ilvl w:val="0"/>
          <w:numId w:val="2"/>
        </w:numPr>
        <w:spacing w:after="40" w:before="40"/>
      </w:pPr>
      <w:r>
        <w:rPr>
          <w:rFonts w:ascii="Arial" w:cs="Arial" w:eastAsia="Arial" w:hAnsi="Arial"/>
          <w:sz w:val="22"/>
          <w:szCs w:val="22"/>
        </w:rPr>
        <w:t xml:space="preserve">Waiver: Failure to exercise any right shall not constitute a waiver of that right</w:t>
      </w:r>
    </w:p>
    <w:p>
      <w:pPr>
        <w:pStyle w:val="ListParagraph"/>
        <w:numPr>
          <w:ilvl w:val="0"/>
          <w:numId w:val="2"/>
        </w:numPr>
        <w:spacing w:after="40" w:before="40"/>
      </w:pPr>
      <w:r>
        <w:rPr>
          <w:rFonts w:ascii="Arial" w:cs="Arial" w:eastAsia="Arial" w:hAnsi="Arial"/>
          <w:sz w:val="22"/>
          <w:szCs w:val="22"/>
        </w:rPr>
        <w:t xml:space="preserve">Counterparts: This Agreement may be executed in counterparts, each of which shall be deemed an original</w:t>
      </w:r>
    </w:p>
    <w:p>
      <w:pPr>
        <w:pStyle w:val="ListParagraph"/>
        <w:numPr>
          <w:ilvl w:val="0"/>
          <w:numId w:val="2"/>
        </w:numPr>
        <w:spacing w:after="40" w:before="40"/>
      </w:pPr>
      <w:r>
        <w:rPr>
          <w:rFonts w:ascii="Arial" w:cs="Arial" w:eastAsia="Arial" w:hAnsi="Arial"/>
          <w:sz w:val="22"/>
          <w:szCs w:val="22"/>
        </w:rPr>
        <w:t xml:space="preserve">Language: This Agreement is executed in English. An Arabic translation shall be prepared for CR filing purposes. In the event of conflict, the Arabic version shall prevail for regulatory purposes; the English version for commercial interpretation between the Founders</w:t>
      </w:r>
    </w:p>
    <w:p>
      <w:r>
        <w:br w:type="page"/>
      </w:r>
    </w:p>
    <w:p>
      <w:pPr>
        <w:pStyle w:val="Heading1"/>
        <w:spacing w:after="120" w:before="300"/>
      </w:pPr>
      <w:r>
        <w:rPr>
          <w:rFonts w:ascii="Arial" w:cs="Arial" w:eastAsia="Arial" w:hAnsi="Arial"/>
          <w:b/>
          <w:bCs/>
          <w:color w:val="2D6E8A"/>
          <w:sz w:val="28"/>
          <w:szCs w:val="28"/>
        </w:rPr>
        <w:t xml:space="preserve">Schedule A — Background IP</w:t>
      </w:r>
    </w:p>
    <w:p>
      <w:pPr>
        <w:spacing w:after="60" w:before="60"/>
      </w:pPr>
      <w:r>
        <w:rPr>
          <w:rFonts w:ascii="Arial" w:cs="Arial" w:eastAsia="Arial" w:hAnsi="Arial"/>
          <w:sz w:val="22"/>
          <w:szCs w:val="22"/>
        </w:rPr>
        <w:t xml:space="preserve">[List of pre-existing IP retained by each Founder:]</w:t>
      </w:r>
    </w:p>
    <w:p>
      <w:pPr>
        <w:spacing w:after="80" w:before="80"/>
      </w:pPr>
      <w:r>
        <w:t xml:space="preserve"/>
      </w:r>
    </w:p>
    <w:p>
      <w:pPr>
        <w:spacing w:after="60" w:before="60"/>
      </w:pPr>
      <w:r>
        <w:rPr>
          <w:rFonts w:ascii="Arial" w:cs="Arial" w:eastAsia="Arial" w:hAnsi="Arial"/>
          <w:sz w:val="22"/>
          <w:szCs w:val="22"/>
        </w:rPr>
        <w:t xml:space="preserve">Founder 1 (Captain Adel): [DESCRIPTION_OF_BACKGROUND_IP]</w:t>
      </w:r>
    </w:p>
    <w:p>
      <w:pPr>
        <w:spacing w:after="80" w:before="80"/>
      </w:pPr>
      <w:r>
        <w:t xml:space="preserve"/>
      </w:r>
    </w:p>
    <w:p>
      <w:pPr>
        <w:spacing w:after="60" w:before="60"/>
      </w:pPr>
      <w:r>
        <w:rPr>
          <w:rFonts w:ascii="Arial" w:cs="Arial" w:eastAsia="Arial" w:hAnsi="Arial"/>
          <w:sz w:val="22"/>
          <w:szCs w:val="22"/>
        </w:rPr>
        <w:t xml:space="preserve">Future Co-Founder: [DESCRIPTION_OF_BACKGROUND_IP]</w:t>
      </w:r>
    </w:p>
    <w:p>
      <w:r>
        <w:br w:type="page"/>
      </w:r>
    </w:p>
    <w:p>
      <w:pPr>
        <w:spacing w:after="80" w:before="80"/>
      </w:pPr>
      <w:r>
        <w:t xml:space="preserve"/>
      </w:r>
    </w:p>
    <w:p>
      <w:pPr>
        <w:pStyle w:val="Heading2"/>
        <w:spacing w:after="80" w:before="200"/>
      </w:pPr>
      <w:r>
        <w:rPr>
          <w:rFonts w:ascii="Arial" w:cs="Arial" w:eastAsia="Arial" w:hAnsi="Arial"/>
          <w:b/>
          <w:bCs/>
          <w:color w:val="0A0E12"/>
          <w:sz w:val="24"/>
          <w:szCs w:val="24"/>
        </w:rPr>
        <w:t xml:space="preserve">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Arial" w:cs="Arial" w:eastAsia="Arial" w:hAnsi="Arial"/>
                <w:b/>
                <w:bCs/>
                <w:sz w:val="22"/>
                <w:szCs w:val="22"/>
              </w:rPr>
              <w:t xml:space="preserve">FOUNDER 1: Adel Yahya A. Madkhali</w:t>
            </w:r>
          </w:p>
          <w:p>
            <w:pPr>
              <w:spacing w:after="12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Name: ___________________________</w:t>
            </w:r>
          </w:p>
          <w:p>
            <w:pPr>
              <w:spacing w:after="60" w:before="60"/>
            </w:pPr>
            <w:r>
              <w:rPr>
                <w:rFonts w:ascii="Arial" w:cs="Arial" w:eastAsia="Arial" w:hAnsi="Arial"/>
                <w:sz w:val="22"/>
                <w:szCs w:val="22"/>
              </w:rPr>
              <w:t xml:space="preserve">Title: ___________________________</w:t>
            </w:r>
          </w:p>
          <w:p>
            <w:pPr>
              <w:spacing w:after="60" w:before="60"/>
            </w:pPr>
            <w:r>
              <w:rPr>
                <w:rFonts w:ascii="Arial" w:cs="Arial" w:eastAsia="Arial" w:hAnsi="Arial"/>
                <w:sz w:val="22"/>
                <w:szCs w:val="22"/>
              </w:rPr>
              <w:t xml:space="preserve">Date: ___________________________</w:t>
            </w:r>
          </w:p>
        </w:tc>
        <w:tc>
          <w:tcPr>
            <w:tcW w:type="dxa" w:w="240"/>
            <w:tcBorders>
              <w:top w:val="none"/>
              <w:left w:val="none"/>
              <w:bottom w:val="none"/>
              <w:right w:val="none"/>
            </w:tcBorders>
            <w:tcMar>
              <w:top w:type="dxa" w:w="0"/>
              <w:left w:type="dxa" w:w="0"/>
              <w:bottom w:type="dxa" w:w="0"/>
              <w:right w:type="dxa" w:w="0"/>
            </w:tcMar>
          </w:tcPr>
          <w:p>
            <w:r>
              <w:t xml:space="preserve"/>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200" w:before="0"/>
            </w:pPr>
            <w:r>
              <w:rPr>
                <w:rFonts w:ascii="Arial" w:cs="Arial" w:eastAsia="Arial" w:hAnsi="Arial"/>
                <w:b/>
                <w:bCs/>
                <w:sz w:val="22"/>
                <w:szCs w:val="22"/>
              </w:rPr>
              <w:t xml:space="preserve">FUTURE CO-FOUNDER: [FULL_NAME]</w:t>
            </w:r>
          </w:p>
          <w:p>
            <w:pPr>
              <w:spacing w:after="120" w:before="120"/>
            </w:pPr>
            <w:r>
              <w:rPr>
                <w:rFonts w:ascii="Arial" w:cs="Arial" w:eastAsia="Arial" w:hAnsi="Arial"/>
                <w:sz w:val="22"/>
                <w:szCs w:val="22"/>
              </w:rPr>
              <w:t xml:space="preserve">Signature: ___________________________</w:t>
            </w:r>
          </w:p>
          <w:p>
            <w:pPr>
              <w:spacing w:after="60" w:before="60"/>
            </w:pPr>
            <w:r>
              <w:rPr>
                <w:rFonts w:ascii="Arial" w:cs="Arial" w:eastAsia="Arial" w:hAnsi="Arial"/>
                <w:sz w:val="22"/>
                <w:szCs w:val="22"/>
              </w:rPr>
              <w:t xml:space="preserve">Name: ___________________________</w:t>
            </w:r>
          </w:p>
          <w:p>
            <w:pPr>
              <w:spacing w:after="60" w:before="60"/>
            </w:pPr>
            <w:r>
              <w:rPr>
                <w:rFonts w:ascii="Arial" w:cs="Arial" w:eastAsia="Arial" w:hAnsi="Arial"/>
                <w:sz w:val="22"/>
                <w:szCs w:val="22"/>
              </w:rPr>
              <w:t xml:space="preserve">Title: ___________________________</w:t>
            </w:r>
          </w:p>
          <w:p>
            <w:pPr>
              <w:spacing w:after="60" w:before="60"/>
            </w:pPr>
            <w:r>
              <w:rPr>
                <w:rFonts w:ascii="Arial" w:cs="Arial" w:eastAsia="Arial" w:hAnsi="Arial"/>
                <w:sz w:val="22"/>
                <w:szCs w:val="22"/>
              </w:rPr>
              <w:t xml:space="preserve">Date: ___________________________</w:t>
            </w:r>
          </w:p>
        </w:tc>
      </w:tr>
    </w:tbl>
    <w:p>
      <w:pPr>
        <w:spacing w:after="80" w:before="80"/>
      </w:pPr>
      <w:r>
        <w:t xml:space="preserve"/>
      </w:r>
    </w:p>
    <w:p>
      <w:pPr>
        <w:spacing w:after="60" w:before="60"/>
      </w:pPr>
      <w:r>
        <w:rPr>
          <w:rFonts w:ascii="Arial" w:cs="Arial" w:eastAsia="Arial" w:hAnsi="Arial"/>
          <w:i/>
          <w:iCs/>
          <w:sz w:val="22"/>
          <w:szCs w:val="22"/>
        </w:rPr>
        <w:t xml:space="preserve">Witness 1: ___________________________ Date: _______________</w:t>
      </w:r>
    </w:p>
    <w:p>
      <w:pPr>
        <w:spacing w:after="60" w:before="60"/>
      </w:pPr>
      <w:r>
        <w:rPr>
          <w:rFonts w:ascii="Arial" w:cs="Arial" w:eastAsia="Arial" w:hAnsi="Arial"/>
          <w:i/>
          <w:iCs/>
          <w:sz w:val="22"/>
          <w:szCs w:val="22"/>
        </w:rPr>
        <w:t xml:space="preserve">Witness 2: ___________________________ Date: _______________</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7A8590"/>
        <w:sz w:val="18"/>
        <w:szCs w:val="18"/>
      </w:rPr>
      <w:t xml:space="preserve">Fly GACA · Confidential · TEMPLATE	</w:t>
    </w:r>
    <w:r>
      <w:rPr>
        <w:rFonts w:ascii="Arial" w:cs="Arial" w:eastAsia="Arial" w:hAnsi="Arial"/>
        <w:color w:val="7A85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2D6E8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0A0E1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2026-05-05T01:32:47.748Z</dcterms:created>
  <dcterms:modified xsi:type="dcterms:W3CDTF">2026-05-05T01:32:47.748Z</dcterms:modified>
</cp:coreProperties>
</file>

<file path=docProps/custom.xml><?xml version="1.0" encoding="utf-8"?>
<Properties xmlns="http://schemas.openxmlformats.org/officeDocument/2006/custom-properties" xmlns:vt="http://schemas.openxmlformats.org/officeDocument/2006/docPropsVTypes"/>
</file>