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none"/>
              <w:left w:val="none"/>
              <w:bottom w:val="single" w:color="C8A04A" w:sz="12"/>
              <w:right w:val="none"/>
            </w:tcBorders>
            <w:shd w:fill="2D6E8A" w:val="clear"/>
            <w:tcMar>
              <w:top w:type="dxa" w:w="280"/>
              <w:left w:type="dxa" w:w="400"/>
              <w:bottom w:type="dxa" w:w="28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FLY GACA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8A04A"/>
                <w:sz w:val="28"/>
                <w:szCs w:val="28"/>
              </w:rPr>
              <w:t xml:space="preserve">Finance &amp; Accounting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2D6E8A"/>
          <w:sz w:val="48"/>
          <w:szCs w:val="48"/>
        </w:rPr>
        <w:t xml:space="preserve">Banking &amp; Treasury Policy</w:t>
      </w:r>
    </w:p>
    <w:p>
      <w:pPr>
        <w:spacing w:after="80" w:before="8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Fly GACA  ·  Finance &amp; Accounting  ·  v1.0  ·  May 2026</w:t>
      </w:r>
    </w:p>
    <w:p>
      <w:pPr>
        <w:spacing w:after="40" w:before="4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Captain Adel Yahya A. Madkhali, Founder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i@flygaca.com  ·  +966 51 096 6969  ·  flygaca.com</w:t>
      </w:r>
    </w:p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C8A04A" w:sz="4"/>
              <w:left w:val="single" w:color="2D6E8A" w:sz="12"/>
              <w:bottom w:val="single" w:color="C8A04A" w:sz="4"/>
              <w:right w:val="none" w:color="FFFFFF" w:sz="0"/>
            </w:tcBorders>
            <w:shd w:fill="B5DDC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A0E12"/>
                <w:sz w:val="20"/>
                <w:szCs w:val="20"/>
              </w:rPr>
              <w:t xml:space="preserve">Why This Matters  </w:t>
            </w:r>
            <w:r>
              <w:rPr>
                <w:rFonts w:ascii="Arial" w:cs="Arial" w:eastAsia="Arial" w:hAnsi="Arial"/>
                <w:color w:val="0A0E12"/>
                <w:sz w:val="20"/>
                <w:szCs w:val="20"/>
              </w:rPr>
              <w:t xml:space="preserve">Treasury controls protect Fly GACA's most liquid asset — cash. Dual-control wires, authorized signatory limits, and monthly reconciliations prevent fraud, ensure continuous liquidity, and demonstrate the financial governance that sophisticated investors and Saudi banks require.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6E8A"/>
          <w:sz w:val="28"/>
          <w:szCs w:val="28"/>
        </w:rPr>
        <w:t xml:space="preserve">1. Bank Relationships &amp; Account Structure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400"/>
            <w:shd w:fill="2D6E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300"/>
            <w:shd w:fill="2D6E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 Institution</w:t>
            </w:r>
          </w:p>
        </w:tc>
        <w:tc>
          <w:tcPr>
            <w:tcW w:type="dxa" w:w="1500"/>
            <w:shd w:fill="2D6E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Account Type</w:t>
            </w:r>
          </w:p>
        </w:tc>
        <w:tc>
          <w:tcPr>
            <w:tcW w:type="dxa" w:w="2300"/>
            <w:shd w:fill="2D6E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Primary Purpose</w:t>
            </w:r>
          </w:p>
        </w:tc>
      </w:tr>
      <w:tr>
        <w:tc>
          <w:tcPr>
            <w:tcW w:type="dxa" w:w="14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Primary Operating</w:t>
            </w:r>
          </w:p>
        </w:tc>
        <w:tc>
          <w:tcPr>
            <w:tcW w:type="dxa" w:w="23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Al Rajhi Bank or Saudi National Bank (SNB)</w:t>
            </w:r>
          </w:p>
        </w:tc>
        <w:tc>
          <w:tcPr>
            <w:tcW w:type="dxa" w:w="15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SAR Current Account</w:t>
            </w:r>
          </w:p>
        </w:tc>
        <w:tc>
          <w:tcPr>
            <w:tcW w:type="dxa" w:w="23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Payroll, vendor payments, daily operations</w:t>
            </w:r>
          </w:p>
        </w:tc>
      </w:tr>
      <w:tr>
        <w:tc>
          <w:tcPr>
            <w:tcW w:type="dxa" w:w="14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Secondary / Savings</w:t>
            </w:r>
          </w:p>
        </w:tc>
        <w:tc>
          <w:tcPr>
            <w:tcW w:type="dxa" w:w="23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Riyad Bank (or other than primary)</w:t>
            </w:r>
          </w:p>
        </w:tc>
        <w:tc>
          <w:tcPr>
            <w:tcW w:type="dxa" w:w="15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SAR Savings / Murabaha Account</w:t>
            </w:r>
          </w:p>
        </w:tc>
        <w:tc>
          <w:tcPr>
            <w:tcW w:type="dxa" w:w="23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Liquidity buffer; yield optimization; redundancy</w:t>
            </w:r>
          </w:p>
        </w:tc>
      </w:tr>
      <w:tr>
        <w:tc>
          <w:tcPr>
            <w:tcW w:type="dxa" w:w="14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Merchant Settlement</w:t>
            </w:r>
          </w:p>
        </w:tc>
        <w:tc>
          <w:tcPr>
            <w:tcW w:type="dxa" w:w="23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Moyasar (PSP — not a bank)</w:t>
            </w:r>
          </w:p>
        </w:tc>
        <w:tc>
          <w:tcPr>
            <w:tcW w:type="dxa" w:w="15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Settlement sub-account</w:t>
            </w:r>
          </w:p>
        </w:tc>
        <w:tc>
          <w:tcPr>
            <w:tcW w:type="dxa" w:w="23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Subscription collections; daily sweep to operating account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color w:val="0A0E12"/>
          <w:sz w:val="22"/>
          <w:szCs w:val="22"/>
        </w:rPr>
        <w:t xml:space="preserve">Rationale for dual-bank structure: eliminates single-point-of-failure for payroll processing; provides negotiating leverage on fees; optimizes yield on cash balances above the 6-month operating reserve.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6E8A"/>
          <w:sz w:val="28"/>
          <w:szCs w:val="28"/>
        </w:rPr>
        <w:t xml:space="preserve">2. Account Opening Checklist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00"/>
            <w:shd w:fill="2D6E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Document</w:t>
            </w:r>
          </w:p>
        </w:tc>
        <w:tc>
          <w:tcPr>
            <w:tcW w:type="dxa" w:w="4200"/>
            <w:shd w:fill="2D6E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 / Requirement</w:t>
            </w:r>
          </w:p>
        </w:tc>
      </w:tr>
      <w:tr>
        <w:tc>
          <w:tcPr>
            <w:tcW w:type="dxa" w:w="28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Commercial Registration (CR)</w:t>
            </w:r>
          </w:p>
        </w:tc>
        <w:tc>
          <w:tcPr>
            <w:tcW w:type="dxa" w:w="4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Valid; name and address must match all other documents exactly</w:t>
            </w:r>
          </w:p>
        </w:tc>
      </w:tr>
      <w:tr>
        <w:tc>
          <w:tcPr>
            <w:tcW w:type="dxa" w:w="28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MISA License</w:t>
            </w:r>
          </w:p>
        </w:tc>
        <w:tc>
          <w:tcPr>
            <w:tcW w:type="dxa" w:w="4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Required if company has any foreign ownership component</w:t>
            </w:r>
          </w:p>
        </w:tc>
      </w:tr>
      <w:tr>
        <w:tc>
          <w:tcPr>
            <w:tcW w:type="dxa" w:w="28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Memorandum &amp; Articles of Association (MoA)</w:t>
            </w:r>
          </w:p>
        </w:tc>
        <w:tc>
          <w:tcPr>
            <w:tcW w:type="dxa" w:w="4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Stamped copy from Ministry of Commerce; must reflect current directors</w:t>
            </w:r>
          </w:p>
        </w:tc>
      </w:tr>
      <w:tr>
        <w:tc>
          <w:tcPr>
            <w:tcW w:type="dxa" w:w="28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Founder Saudi National ID / Iqama</w:t>
            </w:r>
          </w:p>
        </w:tc>
        <w:tc>
          <w:tcPr>
            <w:tcW w:type="dxa" w:w="4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Must be valid at time of application; matches CR signatory name</w:t>
            </w:r>
          </w:p>
        </w:tc>
      </w:tr>
      <w:tr>
        <w:tc>
          <w:tcPr>
            <w:tcW w:type="dxa" w:w="28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Board Resolution</w:t>
            </w:r>
          </w:p>
        </w:tc>
        <w:tc>
          <w:tcPr>
            <w:tcW w:type="dxa" w:w="4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Authorizing account opening, designated signatories, and signatory limits</w:t>
            </w:r>
          </w:p>
        </w:tc>
      </w:tr>
      <w:tr>
        <w:tc>
          <w:tcPr>
            <w:tcW w:type="dxa" w:w="28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Initial Capital Deposit Proof</w:t>
            </w:r>
          </w:p>
        </w:tc>
        <w:tc>
          <w:tcPr>
            <w:tcW w:type="dxa" w:w="4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Some banks require 5,000–10,000 SAR minimum opening deposit</w:t>
            </w:r>
          </w:p>
        </w:tc>
      </w:tr>
      <w:tr>
        <w:tc>
          <w:tcPr>
            <w:tcW w:type="dxa" w:w="28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ZATCA VAT Certificate</w:t>
            </w:r>
          </w:p>
        </w:tc>
        <w:tc>
          <w:tcPr>
            <w:tcW w:type="dxa" w:w="4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Proof of ZATCA registration; requested by most Saudi banks</w:t>
            </w:r>
          </w:p>
        </w:tc>
      </w:tr>
      <w:tr>
        <w:tc>
          <w:tcPr>
            <w:tcW w:type="dxa" w:w="28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Office Lease Agreement</w:t>
            </w:r>
          </w:p>
        </w:tc>
        <w:tc>
          <w:tcPr>
            <w:tcW w:type="dxa" w:w="4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Proof of physical business address in KSA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color w:val="2D6E8A"/>
          <w:sz w:val="28"/>
          <w:szCs w:val="28"/>
        </w:rPr>
        <w:t xml:space="preserve">3. Authorized Signatories &amp; Control Limits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2D6E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Transaction / Action</w:t>
            </w:r>
          </w:p>
        </w:tc>
        <w:tc>
          <w:tcPr>
            <w:tcW w:type="dxa" w:w="2500"/>
            <w:shd w:fill="2D6E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Signatory Requirement</w:t>
            </w:r>
          </w:p>
        </w:tc>
        <w:tc>
          <w:tcPr>
            <w:tcW w:type="dxa" w:w="1800"/>
            <w:shd w:fill="2D6E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Control Level</w:t>
            </w:r>
          </w:p>
        </w:tc>
      </w:tr>
      <w:tr>
        <w:tc>
          <w:tcPr>
            <w:tcW w:type="dxa" w:w="25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All transactions ≤ 100,000 SAR</w:t>
            </w:r>
          </w:p>
        </w:tc>
        <w:tc>
          <w:tcPr>
            <w:tcW w:type="dxa" w:w="25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Founder (Captain Adel) — sole signatory</w:t>
            </w:r>
          </w:p>
        </w:tc>
        <w:tc>
          <w:tcPr>
            <w:tcW w:type="dxa" w:w="18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Single control</w:t>
            </w:r>
          </w:p>
        </w:tc>
      </w:tr>
      <w:tr>
        <w:tc>
          <w:tcPr>
            <w:tcW w:type="dxa" w:w="25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All transactions &gt; 100,000 SAR</w:t>
            </w:r>
          </w:p>
        </w:tc>
        <w:tc>
          <w:tcPr>
            <w:tcW w:type="dxa" w:w="25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Founder + COO or designated Board Member</w:t>
            </w:r>
          </w:p>
        </w:tc>
        <w:tc>
          <w:tcPr>
            <w:tcW w:type="dxa" w:w="18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Dual control — mandatory</w:t>
            </w:r>
          </w:p>
        </w:tc>
      </w:tr>
      <w:tr>
        <w:tc>
          <w:tcPr>
            <w:tcW w:type="dxa" w:w="25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Changes to authorized signatories</w:t>
            </w:r>
          </w:p>
        </w:tc>
        <w:tc>
          <w:tcPr>
            <w:tcW w:type="dxa" w:w="25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Board resolution required</w:t>
            </w:r>
          </w:p>
        </w:tc>
        <w:tc>
          <w:tcPr>
            <w:tcW w:type="dxa" w:w="18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Board-level control</w:t>
            </w:r>
          </w:p>
        </w:tc>
      </w:tr>
      <w:tr>
        <w:tc>
          <w:tcPr>
            <w:tcW w:type="dxa" w:w="25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Emergency (Founder unavailable)</w:t>
            </w:r>
          </w:p>
        </w:tc>
        <w:tc>
          <w:tcPr>
            <w:tcW w:type="dxa" w:w="25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Board-designated alternate + immediate Founder notification</w:t>
            </w:r>
          </w:p>
        </w:tc>
        <w:tc>
          <w:tcPr>
            <w:tcW w:type="dxa" w:w="18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Board-level control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color w:val="2D6E8A"/>
          <w:sz w:val="28"/>
          <w:szCs w:val="28"/>
        </w:rPr>
        <w:t xml:space="preserve">4. Wire Transfer Policy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2D6E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Transfer Scenario</w:t>
            </w:r>
          </w:p>
        </w:tc>
        <w:tc>
          <w:tcPr>
            <w:tcW w:type="dxa" w:w="1800"/>
            <w:shd w:fill="2D6E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Approval Required</w:t>
            </w:r>
          </w:p>
        </w:tc>
        <w:tc>
          <w:tcPr>
            <w:tcW w:type="dxa" w:w="3000"/>
            <w:shd w:fill="2D6E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Verification Steps</w:t>
            </w:r>
          </w:p>
        </w:tc>
      </w:tr>
      <w:tr>
        <w:tc>
          <w:tcPr>
            <w:tcW w:type="dxa" w:w="2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≤ 50,000 SAR to known domestic vendor</w:t>
            </w:r>
          </w:p>
        </w:tc>
        <w:tc>
          <w:tcPr>
            <w:tcW w:type="dxa" w:w="18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Founder single signature</w:t>
            </w:r>
          </w:p>
        </w:tc>
        <w:tc>
          <w:tcPr>
            <w:tcW w:type="dxa" w:w="30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Vendor in approved list; bank details pre-verified and unchanged</w:t>
            </w:r>
          </w:p>
        </w:tc>
      </w:tr>
      <w:tr>
        <w:tc>
          <w:tcPr>
            <w:tcW w:type="dxa" w:w="2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&gt; 50,000 SAR — domestic</w:t>
            </w:r>
          </w:p>
        </w:tc>
        <w:tc>
          <w:tcPr>
            <w:tcW w:type="dxa" w:w="18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Dual signature: Founder + COO/Board</w:t>
            </w:r>
          </w:p>
        </w:tc>
        <w:tc>
          <w:tcPr>
            <w:tcW w:type="dxa" w:w="30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Callback to vendor CFO/Finance before release</w:t>
            </w:r>
          </w:p>
        </w:tc>
      </w:tr>
      <w:tr>
        <w:tc>
          <w:tcPr>
            <w:tcW w:type="dxa" w:w="2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International wire (any amount)</w:t>
            </w:r>
          </w:p>
        </w:tc>
        <w:tc>
          <w:tcPr>
            <w:tcW w:type="dxa" w:w="18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Dual signature</w:t>
            </w:r>
          </w:p>
        </w:tc>
        <w:tc>
          <w:tcPr>
            <w:tcW w:type="dxa" w:w="30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Callback + WHT assessment + OFAC screening</w:t>
            </w:r>
          </w:p>
        </w:tc>
      </w:tr>
      <w:tr>
        <w:tc>
          <w:tcPr>
            <w:tcW w:type="dxa" w:w="2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First payment to any new vendor</w:t>
            </w:r>
          </w:p>
        </w:tc>
        <w:tc>
          <w:tcPr>
            <w:tcW w:type="dxa" w:w="18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Dual signature + Procurement approval</w:t>
            </w:r>
          </w:p>
        </w:tc>
        <w:tc>
          <w:tcPr>
            <w:tcW w:type="dxa" w:w="30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KYC complete; DPA signed if applicable</w:t>
            </w:r>
          </w:p>
        </w:tc>
      </w:tr>
      <w:tr>
        <w:tc>
          <w:tcPr>
            <w:tcW w:type="dxa" w:w="2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Change to existing vendor banking details</w:t>
            </w:r>
          </w:p>
        </w:tc>
        <w:tc>
          <w:tcPr>
            <w:tcW w:type="dxa" w:w="18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Dual signature + written request on vendor letterhead</w:t>
            </w:r>
          </w:p>
        </w:tc>
        <w:tc>
          <w:tcPr>
            <w:tcW w:type="dxa" w:w="30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Phone verification to known contact; NEVER accept via email alone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color w:val="2D6E8A"/>
          <w:sz w:val="28"/>
          <w:szCs w:val="28"/>
        </w:rPr>
        <w:t xml:space="preserve">5. Foreign Currency Exposure Management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0A0E12"/>
          <w:sz w:val="22"/>
          <w:szCs w:val="22"/>
        </w:rPr>
        <w:t xml:space="preserve">USD-denominated COGS: Gemini API (Google) and Firebase (Google) billed in USD monthly.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0A0E12"/>
          <w:sz w:val="22"/>
          <w:szCs w:val="22"/>
        </w:rPr>
        <w:t xml:space="preserve">Reference rate: 1 USD = 3.75 SAR (SAR is pegged). Actual bank rate may differ by 0.10–0.30%; use actual debit rate for accounting entries.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0A0E12"/>
          <w:sz w:val="22"/>
          <w:szCs w:val="22"/>
        </w:rPr>
        <w:t xml:space="preserve">Monthly FX tracking: Finance logs USD amounts and SAR equivalents at actual rate; posts to 5100 and 5110 respectively.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0A0E12"/>
          <w:sz w:val="22"/>
          <w:szCs w:val="22"/>
        </w:rPr>
        <w:t xml:space="preserve">Quarterly hedging review: once USD spend exceeds 100,000 SAR equivalent per quarter, Finance will review forward contract options with the primary bank's treasury desk.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0A0E12"/>
          <w:sz w:val="22"/>
          <w:szCs w:val="22"/>
        </w:rPr>
        <w:t xml:space="preserve">Period-end revaluation: open USD payables are revalued at the closing spot rate; FX gain or loss posted to Other Income / Other Expense (below operating line).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6E8A"/>
          <w:sz w:val="28"/>
          <w:szCs w:val="28"/>
        </w:rPr>
        <w:t xml:space="preserve">6. Cash Reserve Policy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0A0E12"/>
          <w:sz w:val="22"/>
          <w:szCs w:val="22"/>
        </w:rPr>
        <w:t xml:space="preserve">Minimum liquidity requirement: 6 months of total operating expenses must be maintained in liquid, same-day-accessible accounts at all times.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0A0E12"/>
          <w:sz w:val="22"/>
          <w:szCs w:val="22"/>
        </w:rPr>
        <w:t xml:space="preserve">Operating burn rate: updated monthly during the financial close; Months of Runway KPI published in the Monthly Investor Update.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0A0E12"/>
          <w:sz w:val="22"/>
          <w:szCs w:val="22"/>
        </w:rPr>
        <w:t xml:space="preserve">Alert threshold: if cash reserves fall below 4 months of runway, the Founder convenes an emergency financial review within 5 business days.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0A0E12"/>
          <w:sz w:val="22"/>
          <w:szCs w:val="22"/>
        </w:rPr>
        <w:t xml:space="preserve">Yield optimization: cash exceeding the 6-month reserve floor is swept to the secondary savings account (Riyad Bank Murabaha or SNB savings) to optimize Shariah-compliant returns while maintaining same-day liquidity.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6E8A"/>
          <w:sz w:val="28"/>
          <w:szCs w:val="28"/>
        </w:rPr>
        <w:t xml:space="preserve">7. Bank Reconciliation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0A0E12"/>
          <w:sz w:val="22"/>
          <w:szCs w:val="22"/>
        </w:rPr>
        <w:t xml:space="preserve">All bank accounts are reconciled monthly within 5 business days of the bank statement date.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0A0E12"/>
          <w:sz w:val="22"/>
          <w:szCs w:val="22"/>
        </w:rPr>
        <w:t xml:space="preserve">Moyasar merchant account: reconciled weekly due to daily settlement variability (1–3 business day settlement lag).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0A0E12"/>
          <w:sz w:val="22"/>
          <w:szCs w:val="22"/>
        </w:rPr>
        <w:t xml:space="preserve">Prepared by: external bookkeeper or Finance staff. Reviewed and signed off by: Founder / COO.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0A0E12"/>
          <w:sz w:val="22"/>
          <w:szCs w:val="22"/>
        </w:rPr>
        <w:t xml:space="preserve">Unreconciled items &gt; 500 SAR outstanding for more than 30 days must be escalated to the Founder with a written explanation.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0A0E12"/>
          <w:sz w:val="22"/>
          <w:szCs w:val="22"/>
        </w:rPr>
        <w:t xml:space="preserve">See Monthly Close Checklist (Days 9–10) for integration with month-end close process.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6E8A"/>
          <w:sz w:val="28"/>
          <w:szCs w:val="28"/>
        </w:rPr>
        <w:t xml:space="preserve">8. Fraud Controls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2D6E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Control Mechanism</w:t>
            </w:r>
          </w:p>
        </w:tc>
        <w:tc>
          <w:tcPr>
            <w:tcW w:type="dxa" w:w="3200"/>
            <w:shd w:fill="2D6E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600"/>
            <w:shd w:fill="2D6E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Frequency / Trigger</w:t>
            </w:r>
          </w:p>
        </w:tc>
      </w:tr>
      <w:tr>
        <w:tc>
          <w:tcPr>
            <w:tcW w:type="dxa" w:w="2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Positive Pay</w:t>
            </w:r>
          </w:p>
        </w:tc>
        <w:tc>
          <w:tcPr>
            <w:tcW w:type="dxa" w:w="3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Issue bank with list of authorized checks; bank flags any exceptions</w:t>
            </w:r>
          </w:p>
        </w:tc>
        <w:tc>
          <w:tcPr>
            <w:tcW w:type="dxa" w:w="16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Each check run</w:t>
            </w:r>
          </w:p>
        </w:tc>
      </w:tr>
      <w:tr>
        <w:tc>
          <w:tcPr>
            <w:tcW w:type="dxa" w:w="2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Daily Transaction Review</w:t>
            </w:r>
          </w:p>
        </w:tc>
        <w:tc>
          <w:tcPr>
            <w:tcW w:type="dxa" w:w="3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Founder/COO reviews online banking activity for unauthorized items</w:t>
            </w:r>
          </w:p>
        </w:tc>
        <w:tc>
          <w:tcPr>
            <w:tcW w:type="dxa" w:w="16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Daily</w:t>
            </w:r>
          </w:p>
        </w:tc>
      </w:tr>
      <w:tr>
        <w:tc>
          <w:tcPr>
            <w:tcW w:type="dxa" w:w="2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No Signed Blank Checks</w:t>
            </w:r>
          </w:p>
        </w:tc>
        <w:tc>
          <w:tcPr>
            <w:tcW w:type="dxa" w:w="3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Pre-signed blank checks are strictly and absolutely prohibited</w:t>
            </w:r>
          </w:p>
        </w:tc>
        <w:tc>
          <w:tcPr>
            <w:tcW w:type="dxa" w:w="16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Standing policy</w:t>
            </w:r>
          </w:p>
        </w:tc>
      </w:tr>
      <w:tr>
        <w:tc>
          <w:tcPr>
            <w:tcW w:type="dxa" w:w="2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Vendor Bank Detail Change Protocol</w:t>
            </w:r>
          </w:p>
        </w:tc>
        <w:tc>
          <w:tcPr>
            <w:tcW w:type="dxa" w:w="3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Dual approval + outbound phone verification to known contact</w:t>
            </w:r>
          </w:p>
        </w:tc>
        <w:tc>
          <w:tcPr>
            <w:tcW w:type="dxa" w:w="16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Each change event</w:t>
            </w:r>
          </w:p>
        </w:tc>
      </w:tr>
      <w:tr>
        <w:tc>
          <w:tcPr>
            <w:tcW w:type="dxa" w:w="2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Online Banking MFA</w:t>
            </w:r>
          </w:p>
        </w:tc>
        <w:tc>
          <w:tcPr>
            <w:tcW w:type="dxa" w:w="3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Multi-factor authentication mandatory; access revoked within 24 hours of staff departure</w:t>
            </w:r>
          </w:p>
        </w:tc>
        <w:tc>
          <w:tcPr>
            <w:tcW w:type="dxa" w:w="16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Ongoing</w:t>
            </w:r>
          </w:p>
        </w:tc>
      </w:tr>
      <w:tr>
        <w:tc>
          <w:tcPr>
            <w:tcW w:type="dxa" w:w="2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Annual External Audit</w:t>
            </w:r>
          </w:p>
        </w:tc>
        <w:tc>
          <w:tcPr>
            <w:tcW w:type="dxa" w:w="3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SOCPA-accredited firm conducts full financial audit; bank confirmations sent directly</w:t>
            </w:r>
          </w:p>
        </w:tc>
        <w:tc>
          <w:tcPr>
            <w:tcW w:type="dxa" w:w="16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Annually</w:t>
            </w:r>
          </w:p>
        </w:tc>
      </w:tr>
      <w:tr>
        <w:tc>
          <w:tcPr>
            <w:tcW w:type="dxa" w:w="2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Segregation of Duties</w:t>
            </w:r>
          </w:p>
        </w:tc>
        <w:tc>
          <w:tcPr>
            <w:tcW w:type="dxa" w:w="32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Person who initiates wire ≠ person who approves wire (when COO hired)</w:t>
            </w:r>
          </w:p>
        </w:tc>
        <w:tc>
          <w:tcPr>
            <w:tcW w:type="dxa" w:w="1600"/>
            <w:shd w:fill="F5F2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A0E12"/>
                <w:sz w:val="22"/>
                <w:szCs w:val="22"/>
              </w:rPr>
              <w:t xml:space="preserve">Ongoing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55555"/>
        <w:sz w:val="18"/>
        <w:szCs w:val="18"/>
      </w:rPr>
      <w:t xml:space="preserve">Fly GACA  ·  Finance  ·  Confidential          Page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8"/>
        <w:szCs w:val="18"/>
      </w:rPr>
      <w:t xml:space="preserve"> of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A0E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2026-05-05T03:34:26.502Z</dcterms:created>
  <dcterms:modified xsi:type="dcterms:W3CDTF">2026-05-05T03:34:26.502Z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