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2D6E8A" w:val="solid"/>
        <w:spacing w:after="60" w:before="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  ·  Strategic &amp; Governance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6E8A"/>
          <w:sz w:val="52"/>
          <w:szCs w:val="52"/>
        </w:rPr>
        <w:t xml:space="preserve">Vendor Management Policy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C8A04A"/>
          <w:sz w:val="22"/>
          <w:szCs w:val="22"/>
        </w:rPr>
        <w:t xml:space="preserve">Fly GACA  ·  Strategic &amp; Governance  ·  v1.0  ·  May 2026</w:t>
      </w:r>
    </w:p>
    <w:p>
      <w:pPr>
        <w:spacing w:after="400" w:before="0"/>
      </w:pPr>
      <w:r>
        <w:rPr>
          <w:rFonts w:ascii="Arial" w:cs="Arial" w:eastAsia="Arial" w:hAnsi="Arial"/>
          <w:color w:val="0A0E12"/>
          <w:sz w:val="18"/>
          <w:szCs w:val="18"/>
        </w:rPr>
        <w:t xml:space="preserve">Confidential — Not for Distribution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0E12"/>
          <w:sz w:val="20"/>
          <w:szCs w:val="20"/>
        </w:rPr>
        <w:t xml:space="preserve">Captain Adel Yahya A. Madkhali  ·  Founder &amp; GACA-Licensed Pilot</w:t>
      </w:r>
    </w:p>
    <w:p>
      <w:pPr>
        <w:spacing w:after="600" w:before="0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+966 51 096 6969  ·  i@flygaca.com  ·  flygaca.com</w:t>
      </w:r>
    </w:p>
    <w:p>
      <w:pPr>
        <w:pBdr>
          <w:left w:val="thick" w:color="2D6E8A" w:sz="12"/>
        </w:pBdr>
        <w:shd w:color="B5DDC2" w:val="solid"/>
        <w:spacing w:after="180" w:before="120"/>
        <w:ind w:left="200" w:right="200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  Every vendor with access to Fly GACA systems, data, or customer relationships must be onboarded through this process. No vendor begins work without a signed contract. No vendor processes personal data without a DPA.  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Vendor Management Policy establishes how Fly GACA selects, onboards, monitors, and terminates vendors and sub-processors. It ensures regulatory compliance (PDPL, ZATCA), protects Fly GACA and its customers from third-party risk, and creates a consistent vendor experience. This policy applies to all staff, contractors, and the Founder.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Vendor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Critical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Outage or exit causes immediate revenue or regulatory impact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Gemini API, Firebase/GCP, Moyasar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Annual + incident-triggered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Material impact on operations if unavailable &gt;24hr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Legal counsel, accounting firm, CDN provider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Significant but manageable; 72hr+ recovery acceptable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SaaS tools (Slack, Notion, Sentry), contractors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Bi-annual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Low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Minimal operational impact; easily replaceable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Office supplies, courier, minor subscriptions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Ad hoc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Vendor Onboarding Process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 All Vendors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Business need justified in writing (email from requesting team or Founder is sufficient at current stage).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KYC/sanctions check: Verify vendor is not on a KSA, UN, or US OFAC sanctions 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Signed contract required before any work begins or access is granted.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Contract review thresholds: &lt;10K SAR — Founder approval only.  10K–100K SAR — Founder review + legal counsel sign-off.  &gt;100K SAR — Founder + legal counsel + board observer notification.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 High and Critical Vendors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Security review: Confirm vendor holds relevant certifications (ISO 27001, SOC 2, or equivalent).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SLA review: Confirm uptime SLA is documented and penalties are enforceable.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DPA (Data Processing Agreement) required if vendor will process any personal data of KSA residents.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Sub-processor disclosure: Vendor must disclose their own sub-processors if they handle personal data.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3.3  PDPL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Any vendor processing personal data of individuals in Saudi Arabia is classified as a sub-processor under PDPL.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 DPA must be executed before personal data is shared.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DPA must specify: data types, processing purpose, retention period, deletion obligations, security standards, and sub-sub-processor disclosure requirements.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sub-processors must be listed in the Sub-Processor List &amp; DPA Register.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Annual Reviews — Critical Category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Each Critical vendor is reviewed annually using the following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Dimension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Performance vs SLA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Did the vendor meet contractual uptime/SLA targets? Any incidents?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Cost vs alternatives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Is pricing competitive? Has pricing changed materially?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Risk reassessment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Has the vendor's financial stability, ownership, or security posture changed?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PDPL compliance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Is the DPA current? Any sub-processor changes requiring customer notification?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Strategic fit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Does this vendor still align with in-Kingdom-first data strategy?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Review outcomes are documented in the Decision Log if a material change is made.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Vendor Termination Process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1 — Notice: Issue formal written notice per contract. For Critical vendors, minimum 30 days regardless of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2 — Data return: Instruct vendor to return all Fly GACA data in machine-readable format within the notice period.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3 — Data deletion: Obtain written confirmation that all Fly GACA data has been deleted from vendor systems within 30 days of contract 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4 — Access revocation: Revoke all API keys, credentials, and access grants on or before the last day of the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5 — Transition planning: For Critical and High vendors, document the replacement vendor or interim plan before issuing notice.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6 — Audit closeout: Note vendor termination in the Sub-Processor List &amp; DPA Register with date and reason.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Cross-References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Procurement Policy — Purchase approval thresholds and ZATCA Fatoora invoice requirements.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Information Security Policy — Access control, credential management, and security review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Sub-Processor List &amp; DPA Register — Live record of all sub-processors and DPA status (companion document in this folder).</w:t>
      </w:r>
    </w:p>
    <w:p>
      <w:pPr>
        <w:spacing w:after="1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0A0E12"/>
        <w:sz w:val="16"/>
        <w:szCs w:val="16"/>
      </w:rPr>
      <w:t xml:space="preserve">Fly GACA  ·  Strategic  ·  Confidential     Page </w:t>
    </w:r>
    <w:r>
      <w:rPr>
        <w:rFonts w:ascii="Arial" w:cs="Arial" w:eastAsia="Arial" w:hAnsi="Arial"/>
        <w:color w:val="0A0E12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Management Policy</dc:title>
  <dc:creator>Fly GACA</dc:creator>
  <cp:lastModifiedBy>Un-named</cp:lastModifiedBy>
  <cp:revision>1</cp:revision>
  <dcterms:created xsi:type="dcterms:W3CDTF">2026-05-05T06:48:00.441Z</dcterms:created>
  <dcterms:modified xsi:type="dcterms:W3CDTF">2026-05-05T06:48:00.441Z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