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sz w:val="48"/>
          <w:szCs w:val="48"/>
        </w:rPr>
        <w:t xml:space="preserve"/>
      </w:r>
    </w:p>
    <w:p>
      <w:pPr>
        <w:shd w:fill="2D6E8A" w:val="clear"/>
        <w:spacing w:after="0" w:before="0"/>
        <w:jc w:val="center"/>
      </w:pPr>
      <w:r>
        <w:rPr>
          <w:rFonts w:ascii="Arial" w:cs="Arial" w:eastAsia="Arial" w:hAnsi="Arial"/>
          <w:b/>
          <w:bCs/>
          <w:caps/>
          <w:color w:val="FFFFFF"/>
          <w:sz w:val="40"/>
          <w:szCs w:val="40"/>
        </w:rPr>
        <w:t xml:space="preserve">FLY GACA</w:t>
      </w:r>
    </w:p>
    <w:p>
      <w:pPr>
        <w:shd w:fill="2D6E8A" w:val="clear"/>
        <w:spacing w:after="0" w:before="0"/>
        <w:jc w:val="center"/>
      </w:pPr>
      <w:r>
        <w:rPr>
          <w:rFonts w:ascii="Arial" w:cs="Arial" w:eastAsia="Arial" w:hAnsi="Arial"/>
          <w:b/>
          <w:bCs/>
          <w:color w:val="C8A04A"/>
          <w:sz w:val="28"/>
          <w:szCs w:val="28"/>
        </w:rPr>
        <w:t xml:space="preserve">Saudi Government &amp; Tax</w:t>
      </w:r>
    </w:p>
    <w:p>
      <w:pPr>
        <w:pBdr>
          <w:bottom w:val="single" w:color="C8A04A" w:sz="8" w:space="4"/>
        </w:pBdr>
        <w:spacing w:after="240" w:before="80"/>
        <w:jc w:val="center"/>
      </w:pPr>
      <w:r>
        <w:rPr>
          <w:sz w:val="4"/>
          <w:szCs w:val="4"/>
        </w:rPr>
        <w:t xml:space="preserve"/>
      </w:r>
    </w:p>
    <w:p>
      <w:pPr>
        <w:spacing w:after="120" w:before="480"/>
        <w:jc w:val="center"/>
      </w:pPr>
      <w:r>
        <w:rPr>
          <w:rFonts w:ascii="Arial" w:cs="Arial" w:eastAsia="Arial" w:hAnsi="Arial"/>
          <w:b/>
          <w:bCs/>
          <w:color w:val="2D6E8A"/>
          <w:sz w:val="48"/>
          <w:szCs w:val="48"/>
        </w:rPr>
        <w:t xml:space="preserve">ZATCA Fatoora
E-Invoicing Compliance Pack</w:t>
      </w:r>
    </w:p>
    <w:p>
      <w:pPr>
        <w:spacing w:after="960" w:before="0"/>
        <w:jc w:val="center"/>
      </w:pPr>
      <w:r>
        <w:rPr>
          <w:rFonts w:ascii="Arial" w:cs="Arial" w:eastAsia="Arial" w:hAnsi="Arial"/>
          <w:i/>
          <w:iCs/>
          <w:color w:val="555555"/>
          <w:sz w:val="24"/>
          <w:szCs w:val="24"/>
        </w:rPr>
        <w:t xml:space="preserve">Phase 2 Integration — Saudi Electronic Invoicing Requirements</w:t>
      </w:r>
    </w:p>
    <w:p>
      <w:pPr>
        <w:jc w:val="center"/>
      </w:pPr>
      <w:r>
        <w:rPr>
          <w:rFonts w:ascii="Arial" w:cs="Arial" w:eastAsia="Arial" w:hAnsi="Arial"/>
          <w:color w:val="888888"/>
          <w:sz w:val="18"/>
          <w:szCs w:val="18"/>
        </w:rPr>
        <w:t xml:space="preserve">Fly GACA  ·  Saudi Gov &amp; Tax  ·  v1.0  ·  May 2026</w:t>
      </w:r>
    </w:p>
    <w:p>
      <w:pPr>
        <w:jc w:val="center"/>
      </w:pPr>
      <w:r>
        <w:rPr>
          <w:rFonts w:ascii="Arial" w:cs="Arial" w:eastAsia="Arial" w:hAnsi="Arial"/>
          <w:color w:val="888888"/>
          <w:sz w:val="18"/>
          <w:szCs w:val="18"/>
        </w:rPr>
        <w:t xml:space="preserve">Adel Yahya A. Madkhali  ·  i@flygaca.com  ·  +966 51 096 6969  ·  flygaca.com</w:t>
      </w:r>
    </w:p>
    <w:p>
      <w:pPr>
        <w:pageBreakBefore/>
      </w:pPr>
      <w:r/>
    </w:p>
    <w:p>
      <w:pPr>
        <w:shd w:fill="B5DDC2" w:val="clear"/>
        <w:spacing w:after="160" w:before="160"/>
        <w:ind w:left="360" w:right="360"/>
      </w:pPr>
      <w:r>
        <w:rPr>
          <w:rFonts w:ascii="Arial" w:cs="Arial" w:eastAsia="Arial" w:hAnsi="Arial"/>
          <w:i/>
          <w:iCs/>
          <w:color w:val="1A3D2A"/>
          <w:sz w:val="22"/>
          <w:szCs w:val="22"/>
        </w:rPr>
        <w:t xml:space="preserve">Saudi Arabia’s ZATCA Fatoora mandate requires all businesses to generate and (in Phase 2) integrate electronic invoices in real time with ZATCA. Early preparation protects Fly GACA from penalties and positions the company for seamless enterprise billing as revenue scales.</w:t>
      </w:r>
    </w:p>
    <w:p>
      <w:r>
        <w:t xml:space="preserve"/>
      </w:r>
    </w:p>
    <w:p>
      <w:pPr>
        <w:pStyle w:val="Heading1"/>
      </w:pPr>
      <w:r>
        <w:rPr>
          <w:rFonts w:ascii="Arial" w:cs="Arial" w:eastAsia="Arial" w:hAnsi="Arial"/>
          <w:b/>
          <w:bCs/>
          <w:color w:val="2D6E8A"/>
          <w:sz w:val="28"/>
          <w:szCs w:val="28"/>
        </w:rPr>
        <w:t xml:space="preserve">1. Overview: ZATCA Fatoora Two-Phase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6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Requirement &amp;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Phase 1 — Generation (Dec 2021)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All taxpayers must generate e-invoices in structured XML (or PDF/A-3 with embedded XML). Fly GACA must comply from Day 1 of operations.</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Phase 2 — Integration (Wave-based, 2023–2026+)</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Real-time API integration with ZATCA’s Fatoora platform. Mandatory QR code + cryptographic stamp. Rollout by revenue band (wave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Fly GACA Wave Eligibility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Likely Wave 8+ (revenue ≥25M SAR/yr). Estimated integration deadline: 2027. However, early adoption is strongly recommended.</w:t>
            </w:r>
          </w:p>
        </w:tc>
      </w:tr>
    </w:tbl>
    <w:p>
      <w:r>
        <w:t xml:space="preserve"/>
      </w:r>
    </w:p>
    <w:p>
      <w:pPr>
        <w:pStyle w:val="Heading1"/>
      </w:pPr>
      <w:r>
        <w:rPr>
          <w:rFonts w:ascii="Arial" w:cs="Arial" w:eastAsia="Arial" w:hAnsi="Arial"/>
          <w:b/>
          <w:bCs/>
          <w:color w:val="2D6E8A"/>
          <w:sz w:val="28"/>
          <w:szCs w:val="28"/>
        </w:rPr>
        <w:t xml:space="preserve">2. Invoice Types</w:t>
      </w:r>
    </w:p>
    <w:p>
      <w:pPr>
        <w:pStyle w:val="ListParagraph"/>
        <w:numPr>
          <w:ilvl w:val="0"/>
          <w:numId w:val="2"/>
        </w:numPr>
      </w:pPr>
      <w:r>
        <w:rPr>
          <w:rFonts w:ascii="Arial" w:cs="Arial" w:eastAsia="Arial" w:hAnsi="Arial"/>
          <w:b w:val="false"/>
          <w:bCs w:val="false"/>
          <w:sz w:val="22"/>
          <w:szCs w:val="22"/>
        </w:rPr>
        <w:t xml:space="preserve">Standard Tax Invoice (Fatura Dariba): B2B invoices for VAT-registered customers. Must include all ZATCA mandatory fields.</w:t>
      </w:r>
    </w:p>
    <w:p>
      <w:pPr>
        <w:pStyle w:val="ListParagraph"/>
        <w:numPr>
          <w:ilvl w:val="0"/>
          <w:numId w:val="2"/>
        </w:numPr>
      </w:pPr>
      <w:r>
        <w:rPr>
          <w:rFonts w:ascii="Arial" w:cs="Arial" w:eastAsia="Arial" w:hAnsi="Arial"/>
          <w:b w:val="false"/>
          <w:bCs w:val="false"/>
          <w:sz w:val="22"/>
          <w:szCs w:val="22"/>
        </w:rPr>
        <w:t xml:space="preserve">Simplified Tax Invoice: B2C transactions (e.g., Pro subscriber receipts via Moyasar). Must include QR code from Phase 1.</w:t>
      </w:r>
    </w:p>
    <w:p>
      <w:pPr>
        <w:pStyle w:val="ListParagraph"/>
        <w:numPr>
          <w:ilvl w:val="0"/>
          <w:numId w:val="2"/>
        </w:numPr>
      </w:pPr>
      <w:r>
        <w:rPr>
          <w:rFonts w:ascii="Arial" w:cs="Arial" w:eastAsia="Arial" w:hAnsi="Arial"/>
          <w:b w:val="false"/>
          <w:bCs w:val="false"/>
          <w:sz w:val="22"/>
          <w:szCs w:val="22"/>
        </w:rPr>
        <w:t xml:space="preserve">Credit/Debit Notes: For refunds or adjustments. Reference original invoice UUID.</w:t>
      </w:r>
    </w:p>
    <w:p>
      <w:r>
        <w:t xml:space="preserve"/>
      </w:r>
    </w:p>
    <w:p>
      <w:pPr>
        <w:pStyle w:val="Heading1"/>
      </w:pPr>
      <w:r>
        <w:rPr>
          <w:rFonts w:ascii="Arial" w:cs="Arial" w:eastAsia="Arial" w:hAnsi="Arial"/>
          <w:b/>
          <w:bCs/>
          <w:color w:val="2D6E8A"/>
          <w:sz w:val="28"/>
          <w:szCs w:val="28"/>
        </w:rPr>
        <w:t xml:space="preserve">3. Technical Requirements — Phase 2</w:t>
      </w:r>
    </w:p>
    <w:p>
      <w:pPr>
        <w:pStyle w:val="Heading2"/>
      </w:pPr>
      <w:r>
        <w:rPr>
          <w:rFonts w:ascii="Arial" w:cs="Arial" w:eastAsia="Arial" w:hAnsi="Arial"/>
          <w:b/>
          <w:bCs/>
          <w:color w:val="0A0E12"/>
          <w:sz w:val="24"/>
          <w:szCs w:val="24"/>
        </w:rPr>
        <w:t xml:space="preserve">3.1 XML Format</w:t>
      </w:r>
    </w:p>
    <w:p>
      <w:pPr>
        <w:pStyle w:val="ListParagraph"/>
        <w:numPr>
          <w:ilvl w:val="0"/>
          <w:numId w:val="2"/>
        </w:numPr>
      </w:pPr>
      <w:r>
        <w:rPr>
          <w:rFonts w:ascii="Arial" w:cs="Arial" w:eastAsia="Arial" w:hAnsi="Arial"/>
          <w:b w:val="false"/>
          <w:bCs w:val="false"/>
          <w:sz w:val="22"/>
          <w:szCs w:val="22"/>
        </w:rPr>
        <w:t xml:space="preserve">Format: UBL 2.1 (Universal Business Language) wrapped in ZATCA-specified schema</w:t>
      </w:r>
    </w:p>
    <w:p>
      <w:pPr>
        <w:pStyle w:val="ListParagraph"/>
        <w:numPr>
          <w:ilvl w:val="0"/>
          <w:numId w:val="2"/>
        </w:numPr>
      </w:pPr>
      <w:r>
        <w:rPr>
          <w:rFonts w:ascii="Arial" w:cs="Arial" w:eastAsia="Arial" w:hAnsi="Arial"/>
          <w:b w:val="false"/>
          <w:bCs w:val="false"/>
          <w:sz w:val="22"/>
          <w:szCs w:val="22"/>
        </w:rPr>
        <w:t xml:space="preserve">Encoding: UTF-8</w:t>
      </w:r>
    </w:p>
    <w:p>
      <w:pPr>
        <w:pStyle w:val="ListParagraph"/>
        <w:numPr>
          <w:ilvl w:val="0"/>
          <w:numId w:val="2"/>
        </w:numPr>
      </w:pPr>
      <w:r>
        <w:rPr>
          <w:rFonts w:ascii="Arial" w:cs="Arial" w:eastAsia="Arial" w:hAnsi="Arial"/>
          <w:b w:val="false"/>
          <w:bCs w:val="false"/>
          <w:sz w:val="22"/>
          <w:szCs w:val="22"/>
        </w:rPr>
        <w:t xml:space="preserve">Mandatory fields: Seller TIN (Tax Identification Number), buyer TIN (for B2B), invoice UUID, issue date/time, supply date, line items, VAT amount, QR code data</w:t>
      </w:r>
    </w:p>
    <w:p>
      <w:pPr>
        <w:pStyle w:val="ListParagraph"/>
        <w:numPr>
          <w:ilvl w:val="0"/>
          <w:numId w:val="2"/>
        </w:numPr>
      </w:pPr>
      <w:r>
        <w:rPr>
          <w:rFonts w:ascii="Arial" w:cs="Arial" w:eastAsia="Arial" w:hAnsi="Arial"/>
          <w:b w:val="false"/>
          <w:bCs w:val="false"/>
          <w:sz w:val="22"/>
          <w:szCs w:val="22"/>
        </w:rPr>
        <w:t xml:space="preserve">QR code data: Base64-encoded TLV (Tag-Length-Value) with seller name, TIN, timestamp, total, VAT amount</w:t>
      </w:r>
    </w:p>
    <w:p>
      <w:pPr>
        <w:pStyle w:val="Heading2"/>
      </w:pPr>
      <w:r>
        <w:rPr>
          <w:rFonts w:ascii="Arial" w:cs="Arial" w:eastAsia="Arial" w:hAnsi="Arial"/>
          <w:b/>
          <w:bCs/>
          <w:color w:val="0A0E12"/>
          <w:sz w:val="24"/>
          <w:szCs w:val="24"/>
        </w:rPr>
        <w:t xml:space="preserve">3.2 Cryptographic Stamp</w:t>
      </w:r>
    </w:p>
    <w:p>
      <w:pPr>
        <w:pStyle w:val="ListParagraph"/>
        <w:numPr>
          <w:ilvl w:val="0"/>
          <w:numId w:val="2"/>
        </w:numPr>
      </w:pPr>
      <w:r>
        <w:rPr>
          <w:rFonts w:ascii="Arial" w:cs="Arial" w:eastAsia="Arial" w:hAnsi="Arial"/>
          <w:b w:val="false"/>
          <w:bCs w:val="false"/>
          <w:sz w:val="22"/>
          <w:szCs w:val="22"/>
        </w:rPr>
        <w:t xml:space="preserve">Each invoice must carry a ZATCA-issued cryptographic stamp (ECDSA signature)</w:t>
      </w:r>
    </w:p>
    <w:p>
      <w:pPr>
        <w:pStyle w:val="ListParagraph"/>
        <w:numPr>
          <w:ilvl w:val="0"/>
          <w:numId w:val="2"/>
        </w:numPr>
      </w:pPr>
      <w:r>
        <w:rPr>
          <w:rFonts w:ascii="Arial" w:cs="Arial" w:eastAsia="Arial" w:hAnsi="Arial"/>
          <w:b w:val="false"/>
          <w:bCs w:val="false"/>
          <w:sz w:val="22"/>
          <w:szCs w:val="22"/>
        </w:rPr>
        <w:t xml:space="preserve">Stamps require a ZATCA-issued X.509 certificate (Compliance Certificate + Production Certificate)</w:t>
      </w:r>
    </w:p>
    <w:p>
      <w:pPr>
        <w:pStyle w:val="ListParagraph"/>
        <w:numPr>
          <w:ilvl w:val="0"/>
          <w:numId w:val="2"/>
        </w:numPr>
      </w:pPr>
      <w:r>
        <w:rPr>
          <w:rFonts w:ascii="Arial" w:cs="Arial" w:eastAsia="Arial" w:hAnsi="Arial"/>
          <w:b w:val="false"/>
          <w:bCs w:val="false"/>
          <w:sz w:val="22"/>
          <w:szCs w:val="22"/>
        </w:rPr>
        <w:t xml:space="preserve">Certificate procurement: via ZATCA Fatoora developer portal (zatca.gov.sa/fatoora)</w:t>
      </w:r>
    </w:p>
    <w:p>
      <w:pPr>
        <w:pStyle w:val="Heading2"/>
      </w:pPr>
      <w:r>
        <w:rPr>
          <w:rFonts w:ascii="Arial" w:cs="Arial" w:eastAsia="Arial" w:hAnsi="Arial"/>
          <w:b/>
          <w:bCs/>
          <w:color w:val="0A0E12"/>
          <w:sz w:val="24"/>
          <w:szCs w:val="24"/>
        </w:rPr>
        <w:t xml:space="preserve">3.3 API Integration</w:t>
      </w:r>
    </w:p>
    <w:p>
      <w:pPr>
        <w:pStyle w:val="ListParagraph"/>
        <w:numPr>
          <w:ilvl w:val="0"/>
          <w:numId w:val="2"/>
        </w:numPr>
      </w:pPr>
      <w:r>
        <w:rPr>
          <w:rFonts w:ascii="Arial" w:cs="Arial" w:eastAsia="Arial" w:hAnsi="Arial"/>
          <w:b w:val="false"/>
          <w:bCs w:val="false"/>
          <w:sz w:val="22"/>
          <w:szCs w:val="22"/>
        </w:rPr>
        <w:t xml:space="preserve">Reporting API: Submit invoice to ZATCA within 24 hours of issuance (simplified) or in real-time (standard)</w:t>
      </w:r>
    </w:p>
    <w:p>
      <w:pPr>
        <w:pStyle w:val="ListParagraph"/>
        <w:numPr>
          <w:ilvl w:val="0"/>
          <w:numId w:val="2"/>
        </w:numPr>
      </w:pPr>
      <w:r>
        <w:rPr>
          <w:rFonts w:ascii="Arial" w:cs="Arial" w:eastAsia="Arial" w:hAnsi="Arial"/>
          <w:b w:val="false"/>
          <w:bCs w:val="false"/>
          <w:sz w:val="22"/>
          <w:szCs w:val="22"/>
        </w:rPr>
        <w:t xml:space="preserve">Clearance API: Standard invoices must be cleared by ZATCA before delivery to buyer</w:t>
      </w:r>
    </w:p>
    <w:p>
      <w:pPr>
        <w:pStyle w:val="ListParagraph"/>
        <w:numPr>
          <w:ilvl w:val="0"/>
          <w:numId w:val="2"/>
        </w:numPr>
      </w:pPr>
      <w:r>
        <w:rPr>
          <w:rFonts w:ascii="Arial" w:cs="Arial" w:eastAsia="Arial" w:hAnsi="Arial"/>
          <w:b w:val="false"/>
          <w:bCs w:val="false"/>
          <w:sz w:val="22"/>
          <w:szCs w:val="22"/>
        </w:rPr>
        <w:t xml:space="preserve">Status API: Query clearance/reporting status</w:t>
      </w:r>
    </w:p>
    <w:p>
      <w:r>
        <w:t xml:space="preserve"/>
      </w:r>
    </w:p>
    <w:p>
      <w:pPr>
        <w:pStyle w:val="Heading1"/>
      </w:pPr>
      <w:r>
        <w:rPr>
          <w:rFonts w:ascii="Arial" w:cs="Arial" w:eastAsia="Arial" w:hAnsi="Arial"/>
          <w:b/>
          <w:bCs/>
          <w:color w:val="2D6E8A"/>
          <w:sz w:val="28"/>
          <w:szCs w:val="28"/>
        </w:rPr>
        <w:t xml:space="preserve">4. Integration Approach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Recommendation for Fly GACA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Direct ERP/custom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Viable for Series A+ with dedicated engineering. Not recommended pre-revenue.</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Zoho Invoice (ZATCA-compliant)</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Best SME choice. Cloud-based, ZATCA Phase 2 certified, Arabic support, Moyasar payment link integration.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Qoyod (Saudi SME 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Saudi-built, Arabic-first, affordable. Strong Fatoora compliance track record.</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Mawared HR/Finance Suite</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Full HR + payroll + invoicing. Better if GOSI/WPS integration also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FreshBooks / QuickBooks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Limited ZATCA Phase 2 support — avoid for compliance-critical workflows.</w:t>
            </w:r>
          </w:p>
        </w:tc>
      </w:tr>
    </w:tbl>
    <w:p>
      <w:r>
        <w:rPr>
          <w:rFonts w:ascii="Arial" w:cs="Arial" w:eastAsia="Arial" w:hAnsi="Arial"/>
          <w:sz w:val="22"/>
          <w:szCs w:val="22"/>
        </w:rPr>
        <w:t xml:space="preserve">Fly GACA Recommendation: Start with Qoyod (est. 200–500 SAR/month) for immediate Phase 1 compliance. Migrate to Zoho Invoice or custom integration at Wave 8 trigger.</w:t>
      </w:r>
    </w:p>
    <w:p>
      <w:r>
        <w:t xml:space="preserve"/>
      </w:r>
    </w:p>
    <w:p>
      <w:pPr>
        <w:pStyle w:val="Heading1"/>
      </w:pPr>
      <w:r>
        <w:rPr>
          <w:rFonts w:ascii="Arial" w:cs="Arial" w:eastAsia="Arial" w:hAnsi="Arial"/>
          <w:b/>
          <w:bCs/>
          <w:color w:val="2D6E8A"/>
          <w:sz w:val="28"/>
          <w:szCs w:val="28"/>
        </w:rPr>
        <w:t xml:space="preserve">5. Certificate Procurement</w:t>
      </w:r>
    </w:p>
    <w:p>
      <w:pPr>
        <w:pStyle w:val="ListParagraph"/>
        <w:numPr>
          <w:ilvl w:val="0"/>
          <w:numId w:val="2"/>
        </w:numPr>
      </w:pPr>
      <w:r>
        <w:rPr>
          <w:rFonts w:ascii="Arial" w:cs="Arial" w:eastAsia="Arial" w:hAnsi="Arial"/>
          <w:b w:val="false"/>
          <w:bCs w:val="false"/>
          <w:sz w:val="22"/>
          <w:szCs w:val="22"/>
        </w:rPr>
        <w:t xml:space="preserve">Step 1: Create ZATCA developer account at zatca.gov.sa/fatoora</w:t>
      </w:r>
    </w:p>
    <w:p>
      <w:pPr>
        <w:pStyle w:val="ListParagraph"/>
        <w:numPr>
          <w:ilvl w:val="0"/>
          <w:numId w:val="2"/>
        </w:numPr>
      </w:pPr>
      <w:r>
        <w:rPr>
          <w:rFonts w:ascii="Arial" w:cs="Arial" w:eastAsia="Arial" w:hAnsi="Arial"/>
          <w:b w:val="false"/>
          <w:bCs w:val="false"/>
          <w:sz w:val="22"/>
          <w:szCs w:val="22"/>
        </w:rPr>
        <w:t xml:space="preserve">Step 2: Generate Certificate Signing Request (CSR) using your e-invoicing solution</w:t>
      </w:r>
    </w:p>
    <w:p>
      <w:pPr>
        <w:pStyle w:val="ListParagraph"/>
        <w:numPr>
          <w:ilvl w:val="0"/>
          <w:numId w:val="2"/>
        </w:numPr>
      </w:pPr>
      <w:r>
        <w:rPr>
          <w:rFonts w:ascii="Arial" w:cs="Arial" w:eastAsia="Arial" w:hAnsi="Arial"/>
          <w:b w:val="false"/>
          <w:bCs w:val="false"/>
          <w:sz w:val="22"/>
          <w:szCs w:val="22"/>
        </w:rPr>
        <w:t xml:space="preserve">Step 3: Submit CSR via ZATCA API → receive Compliance Certificate</w:t>
      </w:r>
    </w:p>
    <w:p>
      <w:pPr>
        <w:pStyle w:val="ListParagraph"/>
        <w:numPr>
          <w:ilvl w:val="0"/>
          <w:numId w:val="2"/>
        </w:numPr>
      </w:pPr>
      <w:r>
        <w:rPr>
          <w:rFonts w:ascii="Arial" w:cs="Arial" w:eastAsia="Arial" w:hAnsi="Arial"/>
          <w:b w:val="false"/>
          <w:bCs w:val="false"/>
          <w:sz w:val="22"/>
          <w:szCs w:val="22"/>
        </w:rPr>
        <w:t xml:space="preserve">Step 4: Run compliance checks (ZATCA provides test invoices)</w:t>
      </w:r>
    </w:p>
    <w:p>
      <w:pPr>
        <w:pStyle w:val="ListParagraph"/>
        <w:numPr>
          <w:ilvl w:val="0"/>
          <w:numId w:val="2"/>
        </w:numPr>
      </w:pPr>
      <w:r>
        <w:rPr>
          <w:rFonts w:ascii="Arial" w:cs="Arial" w:eastAsia="Arial" w:hAnsi="Arial"/>
          <w:b w:val="false"/>
          <w:bCs w:val="false"/>
          <w:sz w:val="22"/>
          <w:szCs w:val="22"/>
        </w:rPr>
        <w:t xml:space="preserve">Step 5: Request Production Certificate after passing compliance checks</w:t>
      </w:r>
    </w:p>
    <w:p>
      <w:pPr>
        <w:pStyle w:val="ListParagraph"/>
        <w:numPr>
          <w:ilvl w:val="0"/>
          <w:numId w:val="2"/>
        </w:numPr>
      </w:pPr>
      <w:r>
        <w:rPr>
          <w:rFonts w:ascii="Arial" w:cs="Arial" w:eastAsia="Arial" w:hAnsi="Arial"/>
          <w:b w:val="false"/>
          <w:bCs w:val="false"/>
          <w:sz w:val="22"/>
          <w:szCs w:val="22"/>
        </w:rPr>
        <w:t xml:space="preserve">Step 6: Go live — all invoices must use Production Certificate</w:t>
      </w:r>
    </w:p>
    <w:p>
      <w:r>
        <w:t xml:space="preserve"/>
      </w:r>
    </w:p>
    <w:p>
      <w:pPr>
        <w:pStyle w:val="Heading1"/>
      </w:pPr>
      <w:r>
        <w:rPr>
          <w:rFonts w:ascii="Arial" w:cs="Arial" w:eastAsia="Arial" w:hAnsi="Arial"/>
          <w:b/>
          <w:bCs/>
          <w:color w:val="2D6E8A"/>
          <w:sz w:val="28"/>
          <w:szCs w:val="28"/>
        </w:rPr>
        <w:t xml:space="preserve">6. Sandbox Testing</w:t>
      </w:r>
    </w:p>
    <w:p>
      <w:pPr>
        <w:pStyle w:val="ListParagraph"/>
        <w:numPr>
          <w:ilvl w:val="0"/>
          <w:numId w:val="2"/>
        </w:numPr>
      </w:pPr>
      <w:r>
        <w:rPr>
          <w:rFonts w:ascii="Arial" w:cs="Arial" w:eastAsia="Arial" w:hAnsi="Arial"/>
          <w:b w:val="false"/>
          <w:bCs w:val="false"/>
          <w:sz w:val="22"/>
          <w:szCs w:val="22"/>
        </w:rPr>
        <w:t xml:space="preserve">ZATCA provides a sandbox environment at sandbox.zatca.gov.sa</w:t>
      </w:r>
    </w:p>
    <w:p>
      <w:pPr>
        <w:pStyle w:val="ListParagraph"/>
        <w:numPr>
          <w:ilvl w:val="0"/>
          <w:numId w:val="2"/>
        </w:numPr>
      </w:pPr>
      <w:r>
        <w:rPr>
          <w:rFonts w:ascii="Arial" w:cs="Arial" w:eastAsia="Arial" w:hAnsi="Arial"/>
          <w:b w:val="false"/>
          <w:bCs w:val="false"/>
          <w:sz w:val="22"/>
          <w:szCs w:val="22"/>
        </w:rPr>
        <w:t xml:space="preserve">Test with sample invoices across all types (standard, simplified, credit note)</w:t>
      </w:r>
    </w:p>
    <w:p>
      <w:pPr>
        <w:pStyle w:val="ListParagraph"/>
        <w:numPr>
          <w:ilvl w:val="0"/>
          <w:numId w:val="2"/>
        </w:numPr>
      </w:pPr>
      <w:r>
        <w:rPr>
          <w:rFonts w:ascii="Arial" w:cs="Arial" w:eastAsia="Arial" w:hAnsi="Arial"/>
          <w:b w:val="false"/>
          <w:bCs w:val="false"/>
          <w:sz w:val="22"/>
          <w:szCs w:val="22"/>
        </w:rPr>
        <w:t xml:space="preserve">Validate QR code generation and cryptographic stamp</w:t>
      </w:r>
    </w:p>
    <w:p>
      <w:pPr>
        <w:pStyle w:val="ListParagraph"/>
        <w:numPr>
          <w:ilvl w:val="0"/>
          <w:numId w:val="2"/>
        </w:numPr>
      </w:pPr>
      <w:r>
        <w:rPr>
          <w:rFonts w:ascii="Arial" w:cs="Arial" w:eastAsia="Arial" w:hAnsi="Arial"/>
          <w:b w:val="false"/>
          <w:bCs w:val="false"/>
          <w:sz w:val="22"/>
          <w:szCs w:val="22"/>
        </w:rPr>
        <w:t xml:space="preserve">Minimum 10 successful test transactions before production go-live recommended</w:t>
      </w:r>
    </w:p>
    <w:p>
      <w:r>
        <w:t xml:space="preserve"/>
      </w:r>
    </w:p>
    <w:p>
      <w:pPr>
        <w:pStyle w:val="Heading1"/>
      </w:pPr>
      <w:r>
        <w:rPr>
          <w:rFonts w:ascii="Arial" w:cs="Arial" w:eastAsia="Arial" w:hAnsi="Arial"/>
          <w:b/>
          <w:bCs/>
          <w:color w:val="2D6E8A"/>
          <w:sz w:val="28"/>
          <w:szCs w:val="28"/>
        </w:rPr>
        <w:t xml:space="preserve">7. Penalties for Non-Compliance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Violation</w:t>
            </w:r>
          </w:p>
        </w:tc>
        <w:tc>
          <w:tcPr>
            <w:tcW w:type="dxa" w:w="6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Penalty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Failure to generate e-invoice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5,000–25,000 SAR per violation</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Failure to integrate (Phase 2, post-wave date)</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1,000–50,000 SAR per violation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Incorrect QR code or cryptographic stamp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1,000–10,000 SAR per invoice</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Repeated violations</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Up to 3x the base penalty + potential license suspension</w:t>
            </w:r>
          </w:p>
        </w:tc>
      </w:tr>
    </w:tbl>
    <w:p>
      <w:r>
        <w:t xml:space="preserve"/>
      </w:r>
    </w:p>
    <w:p>
      <w:pPr>
        <w:pStyle w:val="Heading1"/>
      </w:pPr>
      <w:r>
        <w:rPr>
          <w:rFonts w:ascii="Arial" w:cs="Arial" w:eastAsia="Arial" w:hAnsi="Arial"/>
          <w:b/>
          <w:bCs/>
          <w:color w:val="2D6E8A"/>
          <w:sz w:val="28"/>
          <w:szCs w:val="28"/>
        </w:rPr>
        <w:t xml:space="preserve">8. Fly GACA Action Plan</w:t>
      </w:r>
    </w:p>
    <w:p>
      <w:pPr>
        <w:pStyle w:val="ListParagraph"/>
        <w:numPr>
          <w:ilvl w:val="0"/>
          <w:numId w:val="2"/>
        </w:numPr>
      </w:pPr>
      <w:r>
        <w:rPr>
          <w:rFonts w:ascii="Arial" w:cs="Arial" w:eastAsia="Arial" w:hAnsi="Arial"/>
          <w:b w:val="false"/>
          <w:bCs w:val="false"/>
          <w:sz w:val="22"/>
          <w:szCs w:val="22"/>
        </w:rPr>
        <w:t xml:space="preserve">Q3 2026: Register with ZATCA, obtain TIN, select Qoyod for Phase 1 compliance</w:t>
      </w:r>
    </w:p>
    <w:p>
      <w:pPr>
        <w:pStyle w:val="ListParagraph"/>
        <w:numPr>
          <w:ilvl w:val="0"/>
          <w:numId w:val="2"/>
        </w:numPr>
      </w:pPr>
      <w:r>
        <w:rPr>
          <w:rFonts w:ascii="Arial" w:cs="Arial" w:eastAsia="Arial" w:hAnsi="Arial"/>
          <w:b w:val="false"/>
          <w:bCs w:val="false"/>
          <w:sz w:val="22"/>
          <w:szCs w:val="22"/>
        </w:rPr>
        <w:t xml:space="preserve">Q4 2026: Configure Moyasar payment gateway to trigger automatic simplified e-invoice on payment</w:t>
      </w:r>
    </w:p>
    <w:p>
      <w:pPr>
        <w:pStyle w:val="ListParagraph"/>
        <w:numPr>
          <w:ilvl w:val="0"/>
          <w:numId w:val="2"/>
        </w:numPr>
      </w:pPr>
      <w:r>
        <w:rPr>
          <w:rFonts w:ascii="Arial" w:cs="Arial" w:eastAsia="Arial" w:hAnsi="Arial"/>
          <w:b w:val="false"/>
          <w:bCs w:val="false"/>
          <w:sz w:val="22"/>
          <w:szCs w:val="22"/>
        </w:rPr>
        <w:t xml:space="preserve">Q1 2027: Begin Phase 2 sandbox testing with ZATCA developer certificate</w:t>
      </w:r>
    </w:p>
    <w:p>
      <w:pPr>
        <w:pStyle w:val="ListParagraph"/>
        <w:numPr>
          <w:ilvl w:val="0"/>
          <w:numId w:val="2"/>
        </w:numPr>
      </w:pPr>
      <w:r>
        <w:rPr>
          <w:rFonts w:ascii="Arial" w:cs="Arial" w:eastAsia="Arial" w:hAnsi="Arial"/>
          <w:b w:val="false"/>
          <w:bCs w:val="false"/>
          <w:sz w:val="22"/>
          <w:szCs w:val="22"/>
        </w:rPr>
        <w:t xml:space="preserve">Q2 2027: Go live with Phase 2 integration (ahead of Wave 8 anticipated deadline)</w:t>
      </w:r>
    </w:p>
    <w:p>
      <w:pPr>
        <w:pStyle w:val="ListParagraph"/>
        <w:numPr>
          <w:ilvl w:val="0"/>
          <w:numId w:val="2"/>
        </w:numPr>
      </w:pPr>
      <w:r>
        <w:rPr>
          <w:rFonts w:ascii="Arial" w:cs="Arial" w:eastAsia="Arial" w:hAnsi="Arial"/>
          <w:b w:val="false"/>
          <w:bCs w:val="false"/>
          <w:sz w:val="22"/>
          <w:szCs w:val="22"/>
        </w:rPr>
        <w:t xml:space="preserve">Ongoing: Retain all issued invoices and ZATCA clearance records for 6 years minimum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E8A" w:sz="4" w:space="4"/>
      </w:pBdr>
      <w:jc w:val="center"/>
    </w:pPr>
    <w:r>
      <w:rPr>
        <w:rFonts w:ascii="Arial" w:cs="Arial" w:eastAsia="Arial" w:hAnsi="Arial"/>
        <w:color w:val="888888"/>
        <w:sz w:val="16"/>
        <w:szCs w:val="16"/>
      </w:rPr>
      <w:t xml:space="preserve">Fly GACA  ·  Saudi Gov &amp; Tax  ·  Confidential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4A" w:sz="4" w:space="4"/>
      </w:pBdr>
    </w:pPr>
    <w:r>
      <w:rPr>
        <w:rFonts w:ascii="Arial" w:cs="Arial" w:eastAsia="Arial" w:hAnsi="Arial"/>
        <w:color w:val="888888"/>
        <w:sz w:val="16"/>
        <w:szCs w:val="16"/>
      </w:rPr>
      <w:t xml:space="preserve">Fly GACA  ·  Saudi Gov &amp; Tax  ·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18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2026-05-05T03:23:01.819Z</dcterms:created>
  <dcterms:modified xsi:type="dcterms:W3CDTF">2026-05-05T03:23:01.819Z</dcterms:modified>
</cp:coreProperties>
</file>

<file path=docProps/custom.xml><?xml version="1.0" encoding="utf-8"?>
<Properties xmlns="http://schemas.openxmlformats.org/officeDocument/2006/custom-properties" xmlns:vt="http://schemas.openxmlformats.org/officeDocument/2006/docPropsVTypes"/>
</file>