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2D6E8A" w:val="solid"/>
        <w:spacing w:after="60" w:before="0"/>
        <w:ind w:left="360"/>
      </w:pPr>
      <w:r>
        <w:rPr>
          <w:rFonts w:ascii="Arial" w:cs="Arial" w:eastAsia="Arial" w:hAnsi="Arial"/>
          <w:b/>
          <w:bCs/>
          <w:color w:val="FFFFFF"/>
          <w:sz w:val="28"/>
          <w:szCs w:val="28"/>
        </w:rPr>
        <w:t xml:space="preserve">Fly GACA  ·  Strategic &amp; Governance</w:t>
      </w:r>
    </w:p>
    <w:p>
      <w:pPr>
        <w:spacing w:after="100" w:before="300"/>
      </w:pPr>
      <w:r>
        <w:rPr>
          <w:rFonts w:ascii="Arial" w:cs="Arial" w:eastAsia="Arial" w:hAnsi="Arial"/>
          <w:b/>
          <w:bCs/>
          <w:color w:val="2D6E8A"/>
          <w:sz w:val="52"/>
          <w:szCs w:val="52"/>
        </w:rPr>
        <w:t xml:space="preserve">Decision Log Template</w:t>
      </w:r>
    </w:p>
    <w:p>
      <w:pPr>
        <w:spacing w:after="60" w:before="0"/>
      </w:pPr>
      <w:r>
        <w:rPr>
          <w:rFonts w:ascii="Arial" w:cs="Arial" w:eastAsia="Arial" w:hAnsi="Arial"/>
          <w:i/>
          <w:iCs/>
          <w:color w:val="C8A04A"/>
          <w:sz w:val="22"/>
          <w:szCs w:val="22"/>
        </w:rPr>
        <w:t xml:space="preserve">Fly GACA  ·  Strategic &amp; Governance  ·  v1.0  ·  May 2026</w:t>
      </w:r>
    </w:p>
    <w:p>
      <w:pPr>
        <w:spacing w:after="400" w:before="0"/>
      </w:pPr>
      <w:r>
        <w:rPr>
          <w:rFonts w:ascii="Arial" w:cs="Arial" w:eastAsia="Arial" w:hAnsi="Arial"/>
          <w:color w:val="0A0E12"/>
          <w:sz w:val="18"/>
          <w:szCs w:val="18"/>
        </w:rPr>
        <w:t xml:space="preserve">Confidential — Not for Distribution</w:t>
      </w:r>
    </w:p>
    <w:p>
      <w:pPr>
        <w:spacing w:after="60" w:before="0"/>
      </w:pPr>
      <w:r>
        <w:rPr>
          <w:rFonts w:ascii="Arial" w:cs="Arial" w:eastAsia="Arial" w:hAnsi="Arial"/>
          <w:b/>
          <w:bCs/>
          <w:color w:val="0A0E12"/>
          <w:sz w:val="20"/>
          <w:szCs w:val="20"/>
        </w:rPr>
        <w:t xml:space="preserve">Captain Adel Yahya A. Madkhali  ·  Founder &amp; GACA-Licensed Pilot</w:t>
      </w:r>
    </w:p>
    <w:p>
      <w:pPr>
        <w:spacing w:after="600" w:before="0"/>
      </w:pPr>
      <w:r>
        <w:rPr>
          <w:rFonts w:ascii="Arial" w:cs="Arial" w:eastAsia="Arial" w:hAnsi="Arial"/>
          <w:color w:val="0A0E12"/>
          <w:sz w:val="20"/>
          <w:szCs w:val="20"/>
        </w:rPr>
        <w:t xml:space="preserve">+966 51 096 6969  ·  i@flygaca.com  ·  flygaca.com</w:t>
      </w:r>
    </w:p>
    <w:p>
      <w:pPr>
        <w:pBdr>
          <w:left w:val="thick" w:color="2D6E8A" w:sz="12"/>
        </w:pBdr>
        <w:shd w:color="B5DDC2" w:val="solid"/>
        <w:spacing w:after="180" w:before="120"/>
        <w:ind w:left="200" w:right="200"/>
      </w:pPr>
      <w:r>
        <w:rPr>
          <w:rFonts w:ascii="Arial" w:cs="Arial" w:eastAsia="Arial" w:hAnsi="Arial"/>
          <w:i/>
          <w:iCs/>
          <w:color w:val="0A0E12"/>
          <w:sz w:val="20"/>
          <w:szCs w:val="20"/>
        </w:rPr>
        <w:t xml:space="preserve">  Why log decisions? Future you will not remember why. New hires will challenge old decisions. Investors will ask 'why X not Y' — have the answer ready. Every strategic or irreversible decision belongs here within 7 days of being made.  </w:t>
      </w:r>
    </w:p>
    <w:p>
      <w:pPr>
        <w:pBdr>
          <w:bottom w:val="single" w:color="2D6E8A" w:sz="6"/>
        </w:pBdr>
        <w:spacing w:after="120" w:before="360"/>
      </w:pPr>
      <w:r>
        <w:rPr>
          <w:rFonts w:ascii="Arial" w:cs="Arial" w:eastAsia="Arial" w:hAnsi="Arial"/>
          <w:b/>
          <w:bCs/>
          <w:color w:val="2D6E8A"/>
          <w:sz w:val="28"/>
          <w:szCs w:val="28"/>
        </w:rPr>
        <w:t xml:space="preserve">How to Use This Log</w:t>
      </w:r>
    </w:p>
    <w:p>
      <w:pPr>
        <w:spacing w:after="80" w:before="60"/>
      </w:pPr>
      <w:r>
        <w:rPr>
          <w:rFonts w:ascii="Arial" w:cs="Arial" w:eastAsia="Arial" w:hAnsi="Arial"/>
          <w:color w:val="0A0E12"/>
          <w:sz w:val="22"/>
          <w:szCs w:val="22"/>
        </w:rPr>
        <w:t xml:space="preserve">Log every decision that is: (a) strategic in nature, (b) irreversible or expensive to reverse, (c) likely to be questioned by investors or the board, or (d) cross-functional. Routine operational decisions do not need to be logged. Target: 1–2 entries per month during the pre-Series A stage.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Description</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Date the decision was made (not logged)</w:t>
            </w:r>
          </w:p>
        </w:tc>
      </w:tr>
      <w:tr>
        <w:tc>
          <w:p>
            <w:pPr>
              <w:spacing w:after="60" w:before="60"/>
              <w:ind w:left="80"/>
            </w:pPr>
            <w:r>
              <w:rPr>
                <w:rFonts w:ascii="Arial" w:cs="Arial" w:eastAsia="Arial" w:hAnsi="Arial"/>
                <w:color w:val="0A0E12"/>
                <w:sz w:val="20"/>
                <w:szCs w:val="20"/>
              </w:rPr>
              <w:t xml:space="preserve">Decision Title</w:t>
            </w:r>
          </w:p>
        </w:tc>
        <w:tc>
          <w:p>
            <w:pPr>
              <w:spacing w:after="60" w:before="60"/>
              <w:ind w:left="80"/>
            </w:pPr>
            <w:r>
              <w:rPr>
                <w:rFonts w:ascii="Arial" w:cs="Arial" w:eastAsia="Arial" w:hAnsi="Arial"/>
                <w:color w:val="0A0E12"/>
                <w:sz w:val="20"/>
                <w:szCs w:val="20"/>
              </w:rPr>
              <w:t xml:space="preserve">Short, specific — enough to find in a search</w:t>
            </w:r>
          </w:p>
        </w:tc>
      </w:tr>
      <w:tr>
        <w:tc>
          <w:tcPr>
            <w:shd w:color="F5F2ED" w:val="solid"/>
          </w:tcPr>
          <w:p>
            <w:pPr>
              <w:spacing w:after="60" w:before="60"/>
              <w:ind w:left="80"/>
            </w:pPr>
            <w:r>
              <w:rPr>
                <w:rFonts w:ascii="Arial" w:cs="Arial" w:eastAsia="Arial" w:hAnsi="Arial"/>
                <w:color w:val="0A0E12"/>
                <w:sz w:val="20"/>
                <w:szCs w:val="20"/>
              </w:rPr>
              <w:t xml:space="preserve">Context</w:t>
            </w:r>
          </w:p>
        </w:tc>
        <w:tc>
          <w:tcPr>
            <w:shd w:color="F5F2ED" w:val="solid"/>
          </w:tcPr>
          <w:p>
            <w:pPr>
              <w:spacing w:after="60" w:before="60"/>
              <w:ind w:left="80"/>
            </w:pPr>
            <w:r>
              <w:rPr>
                <w:rFonts w:ascii="Arial" w:cs="Arial" w:eastAsia="Arial" w:hAnsi="Arial"/>
                <w:color w:val="0A0E12"/>
                <w:sz w:val="20"/>
                <w:szCs w:val="20"/>
              </w:rPr>
              <w:t xml:space="preserve">1 paragraph — why was this decision necessary?</w:t>
            </w:r>
          </w:p>
        </w:tc>
      </w:tr>
      <w:tr>
        <w:tc>
          <w:p>
            <w:pPr>
              <w:spacing w:after="60" w:before="60"/>
              <w:ind w:left="80"/>
            </w:pPr>
            <w:r>
              <w:rPr>
                <w:rFonts w:ascii="Arial" w:cs="Arial" w:eastAsia="Arial" w:hAnsi="Arial"/>
                <w:color w:val="0A0E12"/>
                <w:sz w:val="20"/>
                <w:szCs w:val="20"/>
              </w:rPr>
              <w:t xml:space="preserve">Options Considered</w:t>
            </w:r>
          </w:p>
        </w:tc>
        <w:tc>
          <w:p>
            <w:pPr>
              <w:spacing w:after="60" w:before="60"/>
              <w:ind w:left="80"/>
            </w:pPr>
            <w:r>
              <w:rPr>
                <w:rFonts w:ascii="Arial" w:cs="Arial" w:eastAsia="Arial" w:hAnsi="Arial"/>
                <w:color w:val="0A0E12"/>
                <w:sz w:val="20"/>
                <w:szCs w:val="20"/>
              </w:rPr>
              <w:t xml:space="preserve">3–4 options with brief pros and cons</w:t>
            </w:r>
          </w:p>
        </w:tc>
      </w:tr>
      <w:tr>
        <w:tc>
          <w:tcPr>
            <w:shd w:color="F5F2ED" w:val="solid"/>
          </w:tcPr>
          <w:p>
            <w:pPr>
              <w:spacing w:after="60" w:before="60"/>
              <w:ind w:left="80"/>
            </w:pPr>
            <w:r>
              <w:rPr>
                <w:rFonts w:ascii="Arial" w:cs="Arial" w:eastAsia="Arial" w:hAnsi="Arial"/>
                <w:color w:val="0A0E12"/>
                <w:sz w:val="20"/>
                <w:szCs w:val="20"/>
              </w:rPr>
              <w:t xml:space="preserve">Decision</w:t>
            </w:r>
          </w:p>
        </w:tc>
        <w:tc>
          <w:tcPr>
            <w:shd w:color="F5F2ED" w:val="solid"/>
          </w:tcPr>
          <w:p>
            <w:pPr>
              <w:spacing w:after="60" w:before="60"/>
              <w:ind w:left="80"/>
            </w:pPr>
            <w:r>
              <w:rPr>
                <w:rFonts w:ascii="Arial" w:cs="Arial" w:eastAsia="Arial" w:hAnsi="Arial"/>
                <w:color w:val="0A0E12"/>
                <w:sz w:val="20"/>
                <w:szCs w:val="20"/>
              </w:rPr>
              <w:t xml:space="preserve">What was chosen, in one sentence</w:t>
            </w:r>
          </w:p>
        </w:tc>
      </w:tr>
      <w:tr>
        <w:tc>
          <w:p>
            <w:pPr>
              <w:spacing w:after="60" w:before="60"/>
              <w:ind w:left="80"/>
            </w:pPr>
            <w:r>
              <w:rPr>
                <w:rFonts w:ascii="Arial" w:cs="Arial" w:eastAsia="Arial" w:hAnsi="Arial"/>
                <w:color w:val="0A0E12"/>
                <w:sz w:val="20"/>
                <w:szCs w:val="20"/>
              </w:rPr>
              <w:t xml:space="preserve">Rationale</w:t>
            </w:r>
          </w:p>
        </w:tc>
        <w:tc>
          <w:p>
            <w:pPr>
              <w:spacing w:after="60" w:before="60"/>
              <w:ind w:left="80"/>
            </w:pPr>
            <w:r>
              <w:rPr>
                <w:rFonts w:ascii="Arial" w:cs="Arial" w:eastAsia="Arial" w:hAnsi="Arial"/>
                <w:color w:val="0A0E12"/>
                <w:sz w:val="20"/>
                <w:szCs w:val="20"/>
              </w:rPr>
              <w:t xml:space="preserve">Why this option? What would need to be true for a different choice?</w:t>
            </w:r>
          </w:p>
        </w:tc>
      </w:tr>
      <w:tr>
        <w:tc>
          <w:tcPr>
            <w:shd w:color="F5F2ED" w:val="solid"/>
          </w:tcPr>
          <w:p>
            <w:pPr>
              <w:spacing w:after="60" w:before="60"/>
              <w:ind w:left="80"/>
            </w:pPr>
            <w:r>
              <w:rPr>
                <w:rFonts w:ascii="Arial" w:cs="Arial" w:eastAsia="Arial" w:hAnsi="Arial"/>
                <w:color w:val="0A0E12"/>
                <w:sz w:val="20"/>
                <w:szCs w:val="20"/>
              </w:rPr>
              <w:t xml:space="preserve">Reversibility</w:t>
            </w:r>
          </w:p>
        </w:tc>
        <w:tc>
          <w:tcPr>
            <w:shd w:color="F5F2ED" w:val="solid"/>
          </w:tcPr>
          <w:p>
            <w:pPr>
              <w:spacing w:after="60" w:before="60"/>
              <w:ind w:left="80"/>
            </w:pPr>
            <w:r>
              <w:rPr>
                <w:rFonts w:ascii="Arial" w:cs="Arial" w:eastAsia="Arial" w:hAnsi="Arial"/>
                <w:color w:val="0A0E12"/>
                <w:sz w:val="20"/>
                <w:szCs w:val="20"/>
              </w:rPr>
              <w:t xml:space="preserve">One-way door (irreversible) or Two-way door (can be undone)</w:t>
            </w:r>
          </w:p>
        </w:tc>
      </w:tr>
      <w:tr>
        <w:tc>
          <w:p>
            <w:pPr>
              <w:spacing w:after="60" w:before="60"/>
              <w:ind w:left="80"/>
            </w:pPr>
            <w:r>
              <w:rPr>
                <w:rFonts w:ascii="Arial" w:cs="Arial" w:eastAsia="Arial" w:hAnsi="Arial"/>
                <w:color w:val="0A0E12"/>
                <w:sz w:val="20"/>
                <w:szCs w:val="20"/>
              </w:rPr>
              <w:t xml:space="preserve">Owner</w:t>
            </w:r>
          </w:p>
        </w:tc>
        <w:tc>
          <w:p>
            <w:pPr>
              <w:spacing w:after="60" w:before="60"/>
              <w:ind w:left="80"/>
            </w:pPr>
            <w:r>
              <w:rPr>
                <w:rFonts w:ascii="Arial" w:cs="Arial" w:eastAsia="Arial" w:hAnsi="Arial"/>
                <w:color w:val="0A0E12"/>
                <w:sz w:val="20"/>
                <w:szCs w:val="20"/>
              </w:rPr>
              <w:t xml:space="preserve">Who made the call</w:t>
            </w:r>
          </w:p>
        </w:tc>
      </w:tr>
      <w:tr>
        <w:tc>
          <w:tcPr>
            <w:shd w:color="F5F2ED" w:val="solid"/>
          </w:tcPr>
          <w:p>
            <w:pPr>
              <w:spacing w:after="60" w:before="60"/>
              <w:ind w:left="80"/>
            </w:pPr>
            <w:r>
              <w:rPr>
                <w:rFonts w:ascii="Arial" w:cs="Arial" w:eastAsia="Arial" w:hAnsi="Arial"/>
                <w:color w:val="0A0E12"/>
                <w:sz w:val="20"/>
                <w:szCs w:val="20"/>
              </w:rPr>
              <w:t xml:space="preserve">Stakeholders Consulted</w:t>
            </w:r>
          </w:p>
        </w:tc>
        <w:tc>
          <w:tcPr>
            <w:shd w:color="F5F2ED" w:val="solid"/>
          </w:tcPr>
          <w:p>
            <w:pPr>
              <w:spacing w:after="60" w:before="60"/>
              <w:ind w:left="80"/>
            </w:pPr>
            <w:r>
              <w:rPr>
                <w:rFonts w:ascii="Arial" w:cs="Arial" w:eastAsia="Arial" w:hAnsi="Arial"/>
                <w:color w:val="0A0E12"/>
                <w:sz w:val="20"/>
                <w:szCs w:val="20"/>
              </w:rPr>
              <w:t xml:space="preserve">Who was involved before the decision</w:t>
            </w:r>
          </w:p>
        </w:tc>
      </w:tr>
      <w:tr>
        <w:tc>
          <w:p>
            <w:pPr>
              <w:spacing w:after="60" w:before="60"/>
              <w:ind w:left="80"/>
            </w:pPr>
            <w:r>
              <w:rPr>
                <w:rFonts w:ascii="Arial" w:cs="Arial" w:eastAsia="Arial" w:hAnsi="Arial"/>
                <w:color w:val="0A0E12"/>
                <w:sz w:val="20"/>
                <w:szCs w:val="20"/>
              </w:rPr>
              <w:t xml:space="preserve">Review Date</w:t>
            </w:r>
          </w:p>
        </w:tc>
        <w:tc>
          <w:p>
            <w:pPr>
              <w:spacing w:after="60" w:before="60"/>
              <w:ind w:left="80"/>
            </w:pPr>
            <w:r>
              <w:rPr>
                <w:rFonts w:ascii="Arial" w:cs="Arial" w:eastAsia="Arial" w:hAnsi="Arial"/>
                <w:color w:val="0A0E12"/>
                <w:sz w:val="20"/>
                <w:szCs w:val="20"/>
              </w:rPr>
              <w:t xml:space="preserve">When this decision should be revisited</w:t>
            </w:r>
          </w:p>
        </w:tc>
      </w:tr>
    </w:tbl>
    <w:p>
      <w:pPr>
        <w:spacing w:after="80"/>
      </w:pPr>
      <w:r>
        <w:rPr>
          <w:sz w:val="22"/>
          <w:szCs w:val="22"/>
        </w:rPr>
        <w:t xml:space="preserve"/>
      </w:r>
    </w:p>
    <w:p>
      <w:pPr>
        <w:spacing w:after="80" w:before="240"/>
      </w:pPr>
      <w:r>
        <w:rPr>
          <w:rFonts w:ascii="Arial" w:cs="Arial" w:eastAsia="Arial" w:hAnsi="Arial"/>
          <w:b/>
          <w:bCs/>
          <w:color w:val="0A0E12"/>
          <w:sz w:val="24"/>
          <w:szCs w:val="24"/>
        </w:rPr>
        <w:t xml:space="preserve">DEC-001  —  Why me-central2 (Dammam) not us-central1 for 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Detail</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Mar 2025</w:t>
            </w:r>
          </w:p>
        </w:tc>
      </w:tr>
      <w:tr>
        <w:tc>
          <w:p>
            <w:pPr>
              <w:spacing w:after="60" w:before="60"/>
              <w:ind w:left="80"/>
            </w:pPr>
            <w:r>
              <w:rPr>
                <w:rFonts w:ascii="Arial" w:cs="Arial" w:eastAsia="Arial" w:hAnsi="Arial"/>
                <w:color w:val="0A0E12"/>
                <w:sz w:val="20"/>
                <w:szCs w:val="20"/>
              </w:rPr>
              <w:t xml:space="preserve">Decision</w:t>
            </w:r>
          </w:p>
        </w:tc>
        <w:tc>
          <w:p>
            <w:pPr>
              <w:spacing w:after="60" w:before="60"/>
              <w:ind w:left="80"/>
            </w:pPr>
            <w:r>
              <w:rPr>
                <w:rFonts w:ascii="Arial" w:cs="Arial" w:eastAsia="Arial" w:hAnsi="Arial"/>
                <w:color w:val="0A0E12"/>
                <w:sz w:val="20"/>
                <w:szCs w:val="20"/>
              </w:rPr>
              <w:t xml:space="preserve">me-central2 (Dammam) as primary region for all Firestore, Cloud Run, and Cloud Storage workloads.</w:t>
            </w:r>
          </w:p>
        </w:tc>
      </w:tr>
      <w:tr>
        <w:tc>
          <w:tcPr>
            <w:shd w:color="F5F2ED" w:val="solid"/>
          </w:tcPr>
          <w:p>
            <w:pPr>
              <w:spacing w:after="60" w:before="60"/>
              <w:ind w:left="80"/>
            </w:pPr>
            <w:r>
              <w:rPr>
                <w:rFonts w:ascii="Arial" w:cs="Arial" w:eastAsia="Arial" w:hAnsi="Arial"/>
                <w:color w:val="0A0E12"/>
                <w:sz w:val="20"/>
                <w:szCs w:val="20"/>
              </w:rPr>
              <w:t xml:space="preserve">Reversibility</w:t>
            </w:r>
          </w:p>
        </w:tc>
        <w:tc>
          <w:tcPr>
            <w:shd w:color="F5F2ED" w:val="solid"/>
          </w:tcPr>
          <w:p>
            <w:pPr>
              <w:spacing w:after="60" w:before="60"/>
              <w:ind w:left="80"/>
            </w:pPr>
            <w:r>
              <w:rPr>
                <w:rFonts w:ascii="Arial" w:cs="Arial" w:eastAsia="Arial" w:hAnsi="Arial"/>
                <w:color w:val="0A0E12"/>
                <w:sz w:val="20"/>
                <w:szCs w:val="20"/>
              </w:rPr>
              <w:t xml:space="preserve">Two-way door — migration possible but 2–4 weeks of operational work. Treat as one-way for planning purposes.</w:t>
            </w:r>
          </w:p>
        </w:tc>
      </w:tr>
      <w:tr>
        <w:tc>
          <w:p>
            <w:pPr>
              <w:spacing w:after="60" w:before="60"/>
              <w:ind w:left="80"/>
            </w:pPr>
            <w:r>
              <w:rPr>
                <w:rFonts w:ascii="Arial" w:cs="Arial" w:eastAsia="Arial" w:hAnsi="Arial"/>
                <w:color w:val="0A0E12"/>
                <w:sz w:val="20"/>
                <w:szCs w:val="20"/>
              </w:rPr>
              <w:t xml:space="preserve">Owner</w:t>
            </w:r>
          </w:p>
        </w:tc>
        <w:tc>
          <w:p>
            <w:pPr>
              <w:spacing w:after="60" w:before="60"/>
              <w:ind w:left="80"/>
            </w:pPr>
            <w:r>
              <w:rPr>
                <w:rFonts w:ascii="Arial" w:cs="Arial" w:eastAsia="Arial" w:hAnsi="Arial"/>
                <w:color w:val="0A0E12"/>
                <w:sz w:val="20"/>
                <w:szCs w:val="20"/>
              </w:rPr>
              <w:t xml:space="preserve">Founder</w:t>
            </w:r>
          </w:p>
        </w:tc>
      </w:tr>
      <w:tr>
        <w:tc>
          <w:tcPr>
            <w:shd w:color="F5F2ED" w:val="solid"/>
          </w:tcPr>
          <w:p>
            <w:pPr>
              <w:spacing w:after="60" w:before="60"/>
              <w:ind w:left="80"/>
            </w:pPr>
            <w:r>
              <w:rPr>
                <w:rFonts w:ascii="Arial" w:cs="Arial" w:eastAsia="Arial" w:hAnsi="Arial"/>
                <w:color w:val="0A0E12"/>
                <w:sz w:val="20"/>
                <w:szCs w:val="20"/>
              </w:rPr>
              <w:t xml:space="preserve">Stakeholders Consulted</w:t>
            </w:r>
          </w:p>
        </w:tc>
        <w:tc>
          <w:tcPr>
            <w:shd w:color="F5F2ED" w:val="solid"/>
          </w:tcPr>
          <w:p>
            <w:pPr>
              <w:spacing w:after="60" w:before="60"/>
              <w:ind w:left="80"/>
            </w:pPr>
            <w:r>
              <w:rPr>
                <w:rFonts w:ascii="Arial" w:cs="Arial" w:eastAsia="Arial" w:hAnsi="Arial"/>
                <w:color w:val="0A0E12"/>
                <w:sz w:val="20"/>
                <w:szCs w:val="20"/>
              </w:rPr>
              <w:t xml:space="preserve">Legal counsel, future CTO</w:t>
            </w:r>
          </w:p>
        </w:tc>
      </w:tr>
      <w:tr>
        <w:tc>
          <w:p>
            <w:pPr>
              <w:spacing w:after="60" w:before="60"/>
              <w:ind w:left="80"/>
            </w:pPr>
            <w:r>
              <w:rPr>
                <w:rFonts w:ascii="Arial" w:cs="Arial" w:eastAsia="Arial" w:hAnsi="Arial"/>
                <w:color w:val="0A0E12"/>
                <w:sz w:val="20"/>
                <w:szCs w:val="20"/>
              </w:rPr>
              <w:t xml:space="preserve">Review Date</w:t>
            </w:r>
          </w:p>
        </w:tc>
        <w:tc>
          <w:p>
            <w:pPr>
              <w:spacing w:after="60" w:before="60"/>
              <w:ind w:left="80"/>
            </w:pPr>
            <w:r>
              <w:rPr>
                <w:rFonts w:ascii="Arial" w:cs="Arial" w:eastAsia="Arial" w:hAnsi="Arial"/>
                <w:color w:val="0A0E12"/>
                <w:sz w:val="20"/>
                <w:szCs w:val="20"/>
              </w:rPr>
              <w:t xml:space="preserve">Mar 2027</w:t>
            </w:r>
          </w:p>
        </w:tc>
      </w:tr>
    </w:tbl>
    <w:p>
      <w:pPr>
        <w:spacing w:after="60" w:before="160"/>
      </w:pPr>
      <w:r>
        <w:rPr>
          <w:rFonts w:ascii="Arial" w:cs="Arial" w:eastAsia="Arial" w:hAnsi="Arial"/>
          <w:b/>
          <w:bCs/>
          <w:color w:val="2D6E8A"/>
          <w:sz w:val="22"/>
          <w:szCs w:val="22"/>
        </w:rPr>
        <w:t xml:space="preserve">Context</w:t>
      </w:r>
    </w:p>
    <w:p>
      <w:pPr>
        <w:spacing w:after="80" w:before="60"/>
      </w:pPr>
      <w:r>
        <w:rPr>
          <w:rFonts w:ascii="Arial" w:cs="Arial" w:eastAsia="Arial" w:hAnsi="Arial"/>
          <w:color w:val="0A0E12"/>
          <w:sz w:val="22"/>
          <w:szCs w:val="22"/>
        </w:rPr>
        <w:t xml:space="preserve">Fly GACA processes personal data of Saudi residents. PDPL requires personal data of KSA residents to be stored and processed within KSA unless an adequacy decision covers cross-border transfer. At architecture decision time, me-central2 (Dammam) was the only GCP region physically located in KSA.</w:t>
      </w:r>
    </w:p>
    <w:p>
      <w:pPr>
        <w:spacing w:after="60" w:before="160"/>
      </w:pPr>
      <w:r>
        <w:rPr>
          <w:rFonts w:ascii="Arial" w:cs="Arial" w:eastAsia="Arial" w:hAnsi="Arial"/>
          <w:b/>
          <w:bCs/>
          <w:color w:val="2D6E8A"/>
          <w:sz w:val="22"/>
          <w:szCs w:val="22"/>
        </w:rPr>
        <w:t xml:space="preserve">Options Considered</w:t>
      </w:r>
    </w:p>
    <w:p>
      <w:pPr>
        <w:pStyle w:val="ListParagraph"/>
        <w:numPr>
          <w:ilvl w:val="0"/>
          <w:numId w:val="1"/>
        </w:numPr>
        <w:spacing w:after="40" w:before="40"/>
      </w:pPr>
      <w:r>
        <w:rPr>
          <w:rFonts w:ascii="Arial" w:cs="Arial" w:eastAsia="Arial" w:hAnsi="Arial"/>
          <w:color w:val="0A0E12"/>
          <w:sz w:val="22"/>
          <w:szCs w:val="22"/>
        </w:rPr>
        <w:t xml:space="preserve">us-central1 — Lower cost, wider GCP service availability. Con: PDPL non-compliant for KSA personal data.</w:t>
      </w:r>
    </w:p>
    <w:p>
      <w:pPr>
        <w:pStyle w:val="ListParagraph"/>
        <w:numPr>
          <w:ilvl w:val="0"/>
          <w:numId w:val="1"/>
        </w:numPr>
        <w:spacing w:after="40" w:before="40"/>
      </w:pPr>
      <w:r>
        <w:rPr>
          <w:rFonts w:ascii="Arial" w:cs="Arial" w:eastAsia="Arial" w:hAnsi="Arial"/>
          <w:color w:val="0A0E12"/>
          <w:sz w:val="22"/>
          <w:szCs w:val="22"/>
        </w:rPr>
        <w:t xml:space="preserve">me-central2 Dammam — Fully PDPL compliant, in-Kingdom hosting, strong regulatory story for GACA and academy customers. Con: Slightly higher cost, fewer services.</w:t>
      </w:r>
    </w:p>
    <w:p>
      <w:pPr>
        <w:pStyle w:val="ListParagraph"/>
        <w:numPr>
          <w:ilvl w:val="0"/>
          <w:numId w:val="1"/>
        </w:numPr>
        <w:spacing w:after="40" w:before="40"/>
      </w:pPr>
      <w:r>
        <w:rPr>
          <w:rFonts w:ascii="Arial" w:cs="Arial" w:eastAsia="Arial" w:hAnsi="Arial"/>
          <w:color w:val="0A0E12"/>
          <w:sz w:val="22"/>
          <w:szCs w:val="22"/>
        </w:rPr>
        <w:t xml:space="preserve">Multi-cloud (AWS Bahrain + GCP) — Redundancy. Con: Complexity, cost, PDPL still requires KSA primary.</w:t>
      </w:r>
    </w:p>
    <w:p>
      <w:pPr>
        <w:spacing w:after="60" w:before="160"/>
      </w:pPr>
      <w:r>
        <w:rPr>
          <w:rFonts w:ascii="Arial" w:cs="Arial" w:eastAsia="Arial" w:hAnsi="Arial"/>
          <w:b/>
          <w:bCs/>
          <w:color w:val="2D6E8A"/>
          <w:sz w:val="22"/>
          <w:szCs w:val="22"/>
        </w:rPr>
        <w:t xml:space="preserve">Rationale</w:t>
      </w:r>
    </w:p>
    <w:p>
      <w:pPr>
        <w:spacing w:after="80" w:before="60"/>
      </w:pPr>
      <w:r>
        <w:rPr>
          <w:rFonts w:ascii="Arial" w:cs="Arial" w:eastAsia="Arial" w:hAnsi="Arial"/>
          <w:color w:val="0A0E12"/>
          <w:sz w:val="22"/>
          <w:szCs w:val="22"/>
        </w:rPr>
        <w:t xml:space="preserve">PDPL compliance is non-negotiable. Academy customers and GACA will ask where data lives — 'Dammam' is a one-word answer. The cost premium is negligible relative to the regulatory risk avoided.</w:t>
      </w:r>
    </w:p>
    <w:p>
      <w:pPr>
        <w:spacing w:after="80"/>
      </w:pPr>
      <w:r>
        <w:rPr>
          <w:sz w:val="22"/>
          <w:szCs w:val="22"/>
        </w:rPr>
        <w:t xml:space="preserve"/>
      </w:r>
    </w:p>
    <w:p>
      <w:pPr>
        <w:spacing w:after="80" w:before="240"/>
      </w:pPr>
      <w:r>
        <w:rPr>
          <w:rFonts w:ascii="Arial" w:cs="Arial" w:eastAsia="Arial" w:hAnsi="Arial"/>
          <w:b/>
          <w:bCs/>
          <w:color w:val="0A0E12"/>
          <w:sz w:val="24"/>
          <w:szCs w:val="24"/>
        </w:rPr>
        <w:t xml:space="preserve">DEC-002  —  Why Gemini (Google AI) not OpenAI GPT-4 or Anthropic Claude for LLM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Detail</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Apr 2025</w:t>
            </w:r>
          </w:p>
        </w:tc>
      </w:tr>
      <w:tr>
        <w:tc>
          <w:p>
            <w:pPr>
              <w:spacing w:after="60" w:before="60"/>
              <w:ind w:left="80"/>
            </w:pPr>
            <w:r>
              <w:rPr>
                <w:rFonts w:ascii="Arial" w:cs="Arial" w:eastAsia="Arial" w:hAnsi="Arial"/>
                <w:color w:val="0A0E12"/>
                <w:sz w:val="20"/>
                <w:szCs w:val="20"/>
              </w:rPr>
              <w:t xml:space="preserve">Decision</w:t>
            </w:r>
          </w:p>
        </w:tc>
        <w:tc>
          <w:p>
            <w:pPr>
              <w:spacing w:after="60" w:before="60"/>
              <w:ind w:left="80"/>
            </w:pPr>
            <w:r>
              <w:rPr>
                <w:rFonts w:ascii="Arial" w:cs="Arial" w:eastAsia="Arial" w:hAnsi="Arial"/>
                <w:color w:val="0A0E12"/>
                <w:sz w:val="20"/>
                <w:szCs w:val="20"/>
              </w:rPr>
              <w:t xml:space="preserve">Google Gemini via Vertex AI, inference in me-central2.</w:t>
            </w:r>
          </w:p>
        </w:tc>
      </w:tr>
      <w:tr>
        <w:tc>
          <w:tcPr>
            <w:shd w:color="F5F2ED" w:val="solid"/>
          </w:tcPr>
          <w:p>
            <w:pPr>
              <w:spacing w:after="60" w:before="60"/>
              <w:ind w:left="80"/>
            </w:pPr>
            <w:r>
              <w:rPr>
                <w:rFonts w:ascii="Arial" w:cs="Arial" w:eastAsia="Arial" w:hAnsi="Arial"/>
                <w:color w:val="0A0E12"/>
                <w:sz w:val="20"/>
                <w:szCs w:val="20"/>
              </w:rPr>
              <w:t xml:space="preserve">Reversibility</w:t>
            </w:r>
          </w:p>
        </w:tc>
        <w:tc>
          <w:tcPr>
            <w:shd w:color="F5F2ED" w:val="solid"/>
          </w:tcPr>
          <w:p>
            <w:pPr>
              <w:spacing w:after="60" w:before="60"/>
              <w:ind w:left="80"/>
            </w:pPr>
            <w:r>
              <w:rPr>
                <w:rFonts w:ascii="Arial" w:cs="Arial" w:eastAsia="Arial" w:hAnsi="Arial"/>
                <w:color w:val="0A0E12"/>
                <w:sz w:val="20"/>
                <w:szCs w:val="20"/>
              </w:rPr>
              <w:t xml:space="preserve">Two-way door — switching requires prompt re-engineering and RAG re-evaluation (estimated 4–6 weeks). Revisit if Gemini quality degrades or alternatives achieve KSA residency.</w:t>
            </w:r>
          </w:p>
        </w:tc>
      </w:tr>
      <w:tr>
        <w:tc>
          <w:p>
            <w:pPr>
              <w:spacing w:after="60" w:before="60"/>
              <w:ind w:left="80"/>
            </w:pPr>
            <w:r>
              <w:rPr>
                <w:rFonts w:ascii="Arial" w:cs="Arial" w:eastAsia="Arial" w:hAnsi="Arial"/>
                <w:color w:val="0A0E12"/>
                <w:sz w:val="20"/>
                <w:szCs w:val="20"/>
              </w:rPr>
              <w:t xml:space="preserve">Owner</w:t>
            </w:r>
          </w:p>
        </w:tc>
        <w:tc>
          <w:p>
            <w:pPr>
              <w:spacing w:after="60" w:before="60"/>
              <w:ind w:left="80"/>
            </w:pPr>
            <w:r>
              <w:rPr>
                <w:rFonts w:ascii="Arial" w:cs="Arial" w:eastAsia="Arial" w:hAnsi="Arial"/>
                <w:color w:val="0A0E12"/>
                <w:sz w:val="20"/>
                <w:szCs w:val="20"/>
              </w:rPr>
              <w:t xml:space="preserve">Founder</w:t>
            </w:r>
          </w:p>
        </w:tc>
      </w:tr>
      <w:tr>
        <w:tc>
          <w:tcPr>
            <w:shd w:color="F5F2ED" w:val="solid"/>
          </w:tcPr>
          <w:p>
            <w:pPr>
              <w:spacing w:after="60" w:before="60"/>
              <w:ind w:left="80"/>
            </w:pPr>
            <w:r>
              <w:rPr>
                <w:rFonts w:ascii="Arial" w:cs="Arial" w:eastAsia="Arial" w:hAnsi="Arial"/>
                <w:color w:val="0A0E12"/>
                <w:sz w:val="20"/>
                <w:szCs w:val="20"/>
              </w:rPr>
              <w:t xml:space="preserve">Stakeholders Consulted</w:t>
            </w:r>
          </w:p>
        </w:tc>
        <w:tc>
          <w:tcPr>
            <w:shd w:color="F5F2ED" w:val="solid"/>
          </w:tcPr>
          <w:p>
            <w:pPr>
              <w:spacing w:after="60" w:before="60"/>
              <w:ind w:left="80"/>
            </w:pPr>
            <w:r>
              <w:rPr>
                <w:rFonts w:ascii="Arial" w:cs="Arial" w:eastAsia="Arial" w:hAnsi="Arial"/>
                <w:color w:val="0A0E12"/>
                <w:sz w:val="20"/>
                <w:szCs w:val="20"/>
              </w:rPr>
              <w:t xml:space="preserve">Future CTO</w:t>
            </w:r>
          </w:p>
        </w:tc>
      </w:tr>
      <w:tr>
        <w:tc>
          <w:p>
            <w:pPr>
              <w:spacing w:after="60" w:before="60"/>
              <w:ind w:left="80"/>
            </w:pPr>
            <w:r>
              <w:rPr>
                <w:rFonts w:ascii="Arial" w:cs="Arial" w:eastAsia="Arial" w:hAnsi="Arial"/>
                <w:color w:val="0A0E12"/>
                <w:sz w:val="20"/>
                <w:szCs w:val="20"/>
              </w:rPr>
              <w:t xml:space="preserve">Review Date</w:t>
            </w:r>
          </w:p>
        </w:tc>
        <w:tc>
          <w:p>
            <w:pPr>
              <w:spacing w:after="60" w:before="60"/>
              <w:ind w:left="80"/>
            </w:pPr>
            <w:r>
              <w:rPr>
                <w:rFonts w:ascii="Arial" w:cs="Arial" w:eastAsia="Arial" w:hAnsi="Arial"/>
                <w:color w:val="0A0E12"/>
                <w:sz w:val="20"/>
                <w:szCs w:val="20"/>
              </w:rPr>
              <w:t xml:space="preserve">Apr 2026</w:t>
            </w:r>
          </w:p>
        </w:tc>
      </w:tr>
    </w:tbl>
    <w:p>
      <w:pPr>
        <w:spacing w:after="60" w:before="160"/>
      </w:pPr>
      <w:r>
        <w:rPr>
          <w:rFonts w:ascii="Arial" w:cs="Arial" w:eastAsia="Arial" w:hAnsi="Arial"/>
          <w:b/>
          <w:bCs/>
          <w:color w:val="2D6E8A"/>
          <w:sz w:val="22"/>
          <w:szCs w:val="22"/>
        </w:rPr>
        <w:t xml:space="preserve">Context</w:t>
      </w:r>
    </w:p>
    <w:p>
      <w:pPr>
        <w:spacing w:after="80" w:before="60"/>
      </w:pPr>
      <w:r>
        <w:rPr>
          <w:rFonts w:ascii="Arial" w:cs="Arial" w:eastAsia="Arial" w:hAnsi="Arial"/>
          <w:color w:val="0A0E12"/>
          <w:sz w:val="22"/>
          <w:szCs w:val="22"/>
        </w:rPr>
        <w:t xml:space="preserve">Fly GACA requires an LLM for RAG-based answer generation. The model must be accessible within KSA (me-central2), support Arabic natively, and integrate cleanly with Firebase and Firestore. Data residency for inference calls is a concern under PDPL.</w:t>
      </w:r>
    </w:p>
    <w:p>
      <w:pPr>
        <w:spacing w:after="60" w:before="160"/>
      </w:pPr>
      <w:r>
        <w:rPr>
          <w:rFonts w:ascii="Arial" w:cs="Arial" w:eastAsia="Arial" w:hAnsi="Arial"/>
          <w:b/>
          <w:bCs/>
          <w:color w:val="2D6E8A"/>
          <w:sz w:val="22"/>
          <w:szCs w:val="22"/>
        </w:rPr>
        <w:t xml:space="preserve">Options Considered</w:t>
      </w:r>
    </w:p>
    <w:p>
      <w:pPr>
        <w:pStyle w:val="ListParagraph"/>
        <w:numPr>
          <w:ilvl w:val="0"/>
          <w:numId w:val="1"/>
        </w:numPr>
        <w:spacing w:after="40" w:before="40"/>
      </w:pPr>
      <w:r>
        <w:rPr>
          <w:rFonts w:ascii="Arial" w:cs="Arial" w:eastAsia="Arial" w:hAnsi="Arial"/>
          <w:color w:val="0A0E12"/>
          <w:sz w:val="22"/>
          <w:szCs w:val="22"/>
        </w:rPr>
        <w:t xml:space="preserve">OpenAI GPT-4 — Best general capability, excellent Arabic. Con: No KSA data residency; inference routes through US servers; PDPL risk.</w:t>
      </w:r>
    </w:p>
    <w:p>
      <w:pPr>
        <w:pStyle w:val="ListParagraph"/>
        <w:numPr>
          <w:ilvl w:val="0"/>
          <w:numId w:val="1"/>
        </w:numPr>
        <w:spacing w:after="40" w:before="40"/>
      </w:pPr>
      <w:r>
        <w:rPr>
          <w:rFonts w:ascii="Arial" w:cs="Arial" w:eastAsia="Arial" w:hAnsi="Arial"/>
          <w:color w:val="0A0E12"/>
          <w:sz w:val="22"/>
          <w:szCs w:val="22"/>
        </w:rPr>
        <w:t xml:space="preserve">Anthropic Claude — Strong reasoning, good document Q&amp;A. Con: Same data residency concern; no GCP-native integration at time of decision.</w:t>
      </w:r>
    </w:p>
    <w:p>
      <w:pPr>
        <w:pStyle w:val="ListParagraph"/>
        <w:numPr>
          <w:ilvl w:val="0"/>
          <w:numId w:val="1"/>
        </w:numPr>
        <w:spacing w:after="40" w:before="40"/>
      </w:pPr>
      <w:r>
        <w:rPr>
          <w:rFonts w:ascii="Arial" w:cs="Arial" w:eastAsia="Arial" w:hAnsi="Arial"/>
          <w:color w:val="0A0E12"/>
          <w:sz w:val="22"/>
          <w:szCs w:val="22"/>
        </w:rPr>
        <w:t xml:space="preserve">Google Gemini via Vertex AI (me-central2) — Good Arabic, native GCP integration, inference available in me-central2. Con: Slightly behind GPT-4 on some benchmarks.</w:t>
      </w:r>
    </w:p>
    <w:p>
      <w:pPr>
        <w:pStyle w:val="ListParagraph"/>
        <w:numPr>
          <w:ilvl w:val="0"/>
          <w:numId w:val="1"/>
        </w:numPr>
        <w:spacing w:after="40" w:before="40"/>
      </w:pPr>
      <w:r>
        <w:rPr>
          <w:rFonts w:ascii="Arial" w:cs="Arial" w:eastAsia="Arial" w:hAnsi="Arial"/>
          <w:color w:val="0A0E12"/>
          <w:sz w:val="22"/>
          <w:szCs w:val="22"/>
        </w:rPr>
        <w:t xml:space="preserve">Self-hosted open-source (Mistral, LLaMA) — Full data control. Con: GPU infra, MLOps overhead; not viable at current stage.</w:t>
      </w:r>
    </w:p>
    <w:p>
      <w:pPr>
        <w:spacing w:after="60" w:before="160"/>
      </w:pPr>
      <w:r>
        <w:rPr>
          <w:rFonts w:ascii="Arial" w:cs="Arial" w:eastAsia="Arial" w:hAnsi="Arial"/>
          <w:b/>
          <w:bCs/>
          <w:color w:val="2D6E8A"/>
          <w:sz w:val="22"/>
          <w:szCs w:val="22"/>
        </w:rPr>
        <w:t xml:space="preserve">Rationale</w:t>
      </w:r>
    </w:p>
    <w:p>
      <w:pPr>
        <w:spacing w:after="80" w:before="60"/>
      </w:pPr>
      <w:r>
        <w:rPr>
          <w:rFonts w:ascii="Arial" w:cs="Arial" w:eastAsia="Arial" w:hAnsi="Arial"/>
          <w:color w:val="0A0E12"/>
          <w:sz w:val="22"/>
          <w:szCs w:val="22"/>
        </w:rPr>
        <w:t xml:space="preserve">Data residency within KSA is the deciding factor. Gemini's Arabic capability is sufficient for GACA regulatory content. GCP-native integration with Firebase reduces architectural complexity significantly. Model quality gap is acceptable and closes as Google improves Gemini.</w:t>
      </w:r>
    </w:p>
    <w:p>
      <w:pPr>
        <w:spacing w:after="80"/>
      </w:pPr>
      <w:r>
        <w:rPr>
          <w:sz w:val="22"/>
          <w:szCs w:val="22"/>
        </w:rPr>
        <w:t xml:space="preserve"/>
      </w:r>
    </w:p>
    <w:p>
      <w:pPr>
        <w:spacing w:after="80" w:before="240"/>
      </w:pPr>
      <w:r>
        <w:rPr>
          <w:rFonts w:ascii="Arial" w:cs="Arial" w:eastAsia="Arial" w:hAnsi="Arial"/>
          <w:b/>
          <w:bCs/>
          <w:color w:val="0A0E12"/>
          <w:sz w:val="24"/>
          <w:szCs w:val="24"/>
        </w:rPr>
        <w:t xml:space="preserve">DEC-003  —  Why Moyasar not Stripe for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Detail</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May 2025</w:t>
            </w:r>
          </w:p>
        </w:tc>
      </w:tr>
      <w:tr>
        <w:tc>
          <w:p>
            <w:pPr>
              <w:spacing w:after="60" w:before="60"/>
              <w:ind w:left="80"/>
            </w:pPr>
            <w:r>
              <w:rPr>
                <w:rFonts w:ascii="Arial" w:cs="Arial" w:eastAsia="Arial" w:hAnsi="Arial"/>
                <w:color w:val="0A0E12"/>
                <w:sz w:val="20"/>
                <w:szCs w:val="20"/>
              </w:rPr>
              <w:t xml:space="preserve">Decision</w:t>
            </w:r>
          </w:p>
        </w:tc>
        <w:tc>
          <w:p>
            <w:pPr>
              <w:spacing w:after="60" w:before="60"/>
              <w:ind w:left="80"/>
            </w:pPr>
            <w:r>
              <w:rPr>
                <w:rFonts w:ascii="Arial" w:cs="Arial" w:eastAsia="Arial" w:hAnsi="Arial"/>
                <w:color w:val="0A0E12"/>
                <w:sz w:val="20"/>
                <w:szCs w:val="20"/>
              </w:rPr>
              <w:t xml:space="preserve">Moyasar as primary payment gateway.</w:t>
            </w:r>
          </w:p>
        </w:tc>
      </w:tr>
      <w:tr>
        <w:tc>
          <w:tcPr>
            <w:shd w:color="F5F2ED" w:val="solid"/>
          </w:tcPr>
          <w:p>
            <w:pPr>
              <w:spacing w:after="60" w:before="60"/>
              <w:ind w:left="80"/>
            </w:pPr>
            <w:r>
              <w:rPr>
                <w:rFonts w:ascii="Arial" w:cs="Arial" w:eastAsia="Arial" w:hAnsi="Arial"/>
                <w:color w:val="0A0E12"/>
                <w:sz w:val="20"/>
                <w:szCs w:val="20"/>
              </w:rPr>
              <w:t xml:space="preserve">Reversibility</w:t>
            </w:r>
          </w:p>
        </w:tc>
        <w:tc>
          <w:tcPr>
            <w:shd w:color="F5F2ED" w:val="solid"/>
          </w:tcPr>
          <w:p>
            <w:pPr>
              <w:spacing w:after="60" w:before="60"/>
              <w:ind w:left="80"/>
            </w:pPr>
            <w:r>
              <w:rPr>
                <w:rFonts w:ascii="Arial" w:cs="Arial" w:eastAsia="Arial" w:hAnsi="Arial"/>
                <w:color w:val="0A0E12"/>
                <w:sz w:val="20"/>
                <w:szCs w:val="20"/>
              </w:rPr>
              <w:t xml:space="preserve">Two-way door — migration requires 2–3 weeks of integration work and customer payment method re-entry. Revisit annually.</w:t>
            </w:r>
          </w:p>
        </w:tc>
      </w:tr>
      <w:tr>
        <w:tc>
          <w:p>
            <w:pPr>
              <w:spacing w:after="60" w:before="60"/>
              <w:ind w:left="80"/>
            </w:pPr>
            <w:r>
              <w:rPr>
                <w:rFonts w:ascii="Arial" w:cs="Arial" w:eastAsia="Arial" w:hAnsi="Arial"/>
                <w:color w:val="0A0E12"/>
                <w:sz w:val="20"/>
                <w:szCs w:val="20"/>
              </w:rPr>
              <w:t xml:space="preserve">Owner</w:t>
            </w:r>
          </w:p>
        </w:tc>
        <w:tc>
          <w:p>
            <w:pPr>
              <w:spacing w:after="60" w:before="60"/>
              <w:ind w:left="80"/>
            </w:pPr>
            <w:r>
              <w:rPr>
                <w:rFonts w:ascii="Arial" w:cs="Arial" w:eastAsia="Arial" w:hAnsi="Arial"/>
                <w:color w:val="0A0E12"/>
                <w:sz w:val="20"/>
                <w:szCs w:val="20"/>
              </w:rPr>
              <w:t xml:space="preserve">Founder</w:t>
            </w:r>
          </w:p>
        </w:tc>
      </w:tr>
      <w:tr>
        <w:tc>
          <w:tcPr>
            <w:shd w:color="F5F2ED" w:val="solid"/>
          </w:tcPr>
          <w:p>
            <w:pPr>
              <w:spacing w:after="60" w:before="60"/>
              <w:ind w:left="80"/>
            </w:pPr>
            <w:r>
              <w:rPr>
                <w:rFonts w:ascii="Arial" w:cs="Arial" w:eastAsia="Arial" w:hAnsi="Arial"/>
                <w:color w:val="0A0E12"/>
                <w:sz w:val="20"/>
                <w:szCs w:val="20"/>
              </w:rPr>
              <w:t xml:space="preserve">Stakeholders Consulted</w:t>
            </w:r>
          </w:p>
        </w:tc>
        <w:tc>
          <w:tcPr>
            <w:shd w:color="F5F2ED" w:val="solid"/>
          </w:tcPr>
          <w:p>
            <w:pPr>
              <w:spacing w:after="60" w:before="60"/>
              <w:ind w:left="80"/>
            </w:pPr>
            <w:r>
              <w:rPr>
                <w:rFonts w:ascii="Arial" w:cs="Arial" w:eastAsia="Arial" w:hAnsi="Arial"/>
                <w:color w:val="0A0E12"/>
                <w:sz w:val="20"/>
                <w:szCs w:val="20"/>
              </w:rPr>
              <w:t xml:space="preserve">Legal counsel, accounting</w:t>
            </w:r>
          </w:p>
        </w:tc>
      </w:tr>
      <w:tr>
        <w:tc>
          <w:p>
            <w:pPr>
              <w:spacing w:after="60" w:before="60"/>
              <w:ind w:left="80"/>
            </w:pPr>
            <w:r>
              <w:rPr>
                <w:rFonts w:ascii="Arial" w:cs="Arial" w:eastAsia="Arial" w:hAnsi="Arial"/>
                <w:color w:val="0A0E12"/>
                <w:sz w:val="20"/>
                <w:szCs w:val="20"/>
              </w:rPr>
              <w:t xml:space="preserve">Review Date</w:t>
            </w:r>
          </w:p>
        </w:tc>
        <w:tc>
          <w:p>
            <w:pPr>
              <w:spacing w:after="60" w:before="60"/>
              <w:ind w:left="80"/>
            </w:pPr>
            <w:r>
              <w:rPr>
                <w:rFonts w:ascii="Arial" w:cs="Arial" w:eastAsia="Arial" w:hAnsi="Arial"/>
                <w:color w:val="0A0E12"/>
                <w:sz w:val="20"/>
                <w:szCs w:val="20"/>
              </w:rPr>
              <w:t xml:space="preserve">May 2027</w:t>
            </w:r>
          </w:p>
        </w:tc>
      </w:tr>
    </w:tbl>
    <w:p>
      <w:pPr>
        <w:spacing w:after="60" w:before="160"/>
      </w:pPr>
      <w:r>
        <w:rPr>
          <w:rFonts w:ascii="Arial" w:cs="Arial" w:eastAsia="Arial" w:hAnsi="Arial"/>
          <w:b/>
          <w:bCs/>
          <w:color w:val="2D6E8A"/>
          <w:sz w:val="22"/>
          <w:szCs w:val="22"/>
        </w:rPr>
        <w:t xml:space="preserve">Context</w:t>
      </w:r>
    </w:p>
    <w:p>
      <w:pPr>
        <w:spacing w:after="80" w:before="60"/>
      </w:pPr>
      <w:r>
        <w:rPr>
          <w:rFonts w:ascii="Arial" w:cs="Arial" w:eastAsia="Arial" w:hAnsi="Arial"/>
          <w:color w:val="0A0E12"/>
          <w:sz w:val="22"/>
          <w:szCs w:val="22"/>
        </w:rPr>
        <w:t xml:space="preserve">Fly GACA needs a payment processor for academy cohort license invoices and individual Pro subscriptions. Saudi Arabia requires ZATCA-compliant e-invoices (Fatoora Phase 2). Cross-border card processing for SAR-denominated B2B contracts is regulated.</w:t>
      </w:r>
    </w:p>
    <w:p>
      <w:pPr>
        <w:spacing w:after="60" w:before="160"/>
      </w:pPr>
      <w:r>
        <w:rPr>
          <w:rFonts w:ascii="Arial" w:cs="Arial" w:eastAsia="Arial" w:hAnsi="Arial"/>
          <w:b/>
          <w:bCs/>
          <w:color w:val="2D6E8A"/>
          <w:sz w:val="22"/>
          <w:szCs w:val="22"/>
        </w:rPr>
        <w:t xml:space="preserve">Options Considered</w:t>
      </w:r>
    </w:p>
    <w:p>
      <w:pPr>
        <w:pStyle w:val="ListParagraph"/>
        <w:numPr>
          <w:ilvl w:val="0"/>
          <w:numId w:val="1"/>
        </w:numPr>
        <w:spacing w:after="40" w:before="40"/>
      </w:pPr>
      <w:r>
        <w:rPr>
          <w:rFonts w:ascii="Arial" w:cs="Arial" w:eastAsia="Arial" w:hAnsi="Arial"/>
          <w:color w:val="0A0E12"/>
          <w:sz w:val="22"/>
          <w:szCs w:val="22"/>
        </w:rPr>
        <w:t xml:space="preserve">Stripe — Global standard, excellent DX, Radar fraud tools. Con: Not a licensed Saudi payment facilitator; Fatoora compliance unclear; higher cross-border fees.</w:t>
      </w:r>
    </w:p>
    <w:p>
      <w:pPr>
        <w:pStyle w:val="ListParagraph"/>
        <w:numPr>
          <w:ilvl w:val="0"/>
          <w:numId w:val="1"/>
        </w:numPr>
        <w:spacing w:after="40" w:before="40"/>
      </w:pPr>
      <w:r>
        <w:rPr>
          <w:rFonts w:ascii="Arial" w:cs="Arial" w:eastAsia="Arial" w:hAnsi="Arial"/>
          <w:color w:val="0A0E12"/>
          <w:sz w:val="22"/>
          <w:szCs w:val="22"/>
        </w:rPr>
        <w:t xml:space="preserve">HyperPay — Saudi-licensed, Fatoora-compatible. Con: Less developer-friendly API, weaker documentation.</w:t>
      </w:r>
    </w:p>
    <w:p>
      <w:pPr>
        <w:pStyle w:val="ListParagraph"/>
        <w:numPr>
          <w:ilvl w:val="0"/>
          <w:numId w:val="1"/>
        </w:numPr>
        <w:spacing w:after="40" w:before="40"/>
      </w:pPr>
      <w:r>
        <w:rPr>
          <w:rFonts w:ascii="Arial" w:cs="Arial" w:eastAsia="Arial" w:hAnsi="Arial"/>
          <w:color w:val="0A0E12"/>
          <w:sz w:val="22"/>
          <w:szCs w:val="22"/>
        </w:rPr>
        <w:t xml:space="preserve">Moyasar — Saudi-licensed, Fatoora-compatible, modern REST API, supports mada / Visa / Mastercard / Apple Pay in KSA. Con: Smaller ecosystem than Stripe.</w:t>
      </w:r>
    </w:p>
    <w:p>
      <w:pPr>
        <w:pStyle w:val="ListParagraph"/>
        <w:numPr>
          <w:ilvl w:val="0"/>
          <w:numId w:val="1"/>
        </w:numPr>
        <w:spacing w:after="40" w:before="40"/>
      </w:pPr>
      <w:r>
        <w:rPr>
          <w:rFonts w:ascii="Arial" w:cs="Arial" w:eastAsia="Arial" w:hAnsi="Arial"/>
          <w:color w:val="0A0E12"/>
          <w:sz w:val="22"/>
          <w:szCs w:val="22"/>
        </w:rPr>
        <w:t xml:space="preserve">PayTabs — Saudi-licensed. Con: API quality and documentation below Moyasar at evaluation time.</w:t>
      </w:r>
    </w:p>
    <w:p>
      <w:pPr>
        <w:spacing w:after="60" w:before="160"/>
      </w:pPr>
      <w:r>
        <w:rPr>
          <w:rFonts w:ascii="Arial" w:cs="Arial" w:eastAsia="Arial" w:hAnsi="Arial"/>
          <w:b/>
          <w:bCs/>
          <w:color w:val="2D6E8A"/>
          <w:sz w:val="22"/>
          <w:szCs w:val="22"/>
        </w:rPr>
        <w:t xml:space="preserve">Rationale</w:t>
      </w:r>
    </w:p>
    <w:p>
      <w:pPr>
        <w:spacing w:after="80" w:before="60"/>
      </w:pPr>
      <w:r>
        <w:rPr>
          <w:rFonts w:ascii="Arial" w:cs="Arial" w:eastAsia="Arial" w:hAnsi="Arial"/>
          <w:color w:val="0A0E12"/>
          <w:sz w:val="22"/>
          <w:szCs w:val="22"/>
        </w:rPr>
        <w:t xml:space="preserve">Saudi licensing and Fatoora compliance are non-negotiable. Moyasar had the best developer API of Saudi-compliant options. mada support is essential for local B2C cadet subscriptions.</w:t>
      </w:r>
    </w:p>
    <w:p>
      <w:pPr>
        <w:spacing w:after="80"/>
      </w:pPr>
      <w:r>
        <w:rPr>
          <w:sz w:val="22"/>
          <w:szCs w:val="22"/>
        </w:rPr>
        <w:t xml:space="preserve"/>
      </w:r>
    </w:p>
    <w:p>
      <w:pPr>
        <w:spacing w:after="80" w:before="240"/>
      </w:pPr>
      <w:r>
        <w:rPr>
          <w:rFonts w:ascii="Arial" w:cs="Arial" w:eastAsia="Arial" w:hAnsi="Arial"/>
          <w:b/>
          <w:bCs/>
          <w:color w:val="0A0E12"/>
          <w:sz w:val="24"/>
          <w:szCs w:val="24"/>
        </w:rPr>
        <w:t xml:space="preserve">DEC-004  —  Why Apache 2.0 not a proprietary license for the Fly GACA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Detail</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Jun 2025</w:t>
            </w:r>
          </w:p>
        </w:tc>
      </w:tr>
      <w:tr>
        <w:tc>
          <w:p>
            <w:pPr>
              <w:spacing w:after="60" w:before="60"/>
              <w:ind w:left="80"/>
            </w:pPr>
            <w:r>
              <w:rPr>
                <w:rFonts w:ascii="Arial" w:cs="Arial" w:eastAsia="Arial" w:hAnsi="Arial"/>
                <w:color w:val="0A0E12"/>
                <w:sz w:val="20"/>
                <w:szCs w:val="20"/>
              </w:rPr>
              <w:t xml:space="preserve">Decision</w:t>
            </w:r>
          </w:p>
        </w:tc>
        <w:tc>
          <w:p>
            <w:pPr>
              <w:spacing w:after="60" w:before="60"/>
              <w:ind w:left="80"/>
            </w:pPr>
            <w:r>
              <w:rPr>
                <w:rFonts w:ascii="Arial" w:cs="Arial" w:eastAsia="Arial" w:hAnsi="Arial"/>
                <w:color w:val="0A0E12"/>
                <w:sz w:val="20"/>
                <w:szCs w:val="20"/>
              </w:rPr>
              <w:t xml:space="preserve">Apache 2.0 for open-sourced infrastructure components. Proprietary license retained for the Captain Adel prompt layer and GACA content processing pipeline.</w:t>
            </w:r>
          </w:p>
        </w:tc>
      </w:tr>
      <w:tr>
        <w:tc>
          <w:tcPr>
            <w:shd w:color="F5F2ED" w:val="solid"/>
          </w:tcPr>
          <w:p>
            <w:pPr>
              <w:spacing w:after="60" w:before="60"/>
              <w:ind w:left="80"/>
            </w:pPr>
            <w:r>
              <w:rPr>
                <w:rFonts w:ascii="Arial" w:cs="Arial" w:eastAsia="Arial" w:hAnsi="Arial"/>
                <w:color w:val="0A0E12"/>
                <w:sz w:val="20"/>
                <w:szCs w:val="20"/>
              </w:rPr>
              <w:t xml:space="preserve">Reversibility</w:t>
            </w:r>
          </w:p>
        </w:tc>
        <w:tc>
          <w:tcPr>
            <w:shd w:color="F5F2ED" w:val="solid"/>
          </w:tcPr>
          <w:p>
            <w:pPr>
              <w:spacing w:after="60" w:before="60"/>
              <w:ind w:left="80"/>
            </w:pPr>
            <w:r>
              <w:rPr>
                <w:rFonts w:ascii="Arial" w:cs="Arial" w:eastAsia="Arial" w:hAnsi="Arial"/>
                <w:color w:val="0A0E12"/>
                <w:sz w:val="20"/>
                <w:szCs w:val="20"/>
              </w:rPr>
              <w:t xml:space="preserve">One-way door — once published under Apache 2.0, the licence cannot be revoked for published versions. Proprietary elements must never be committed to the open repository.</w:t>
            </w:r>
          </w:p>
        </w:tc>
      </w:tr>
      <w:tr>
        <w:tc>
          <w:p>
            <w:pPr>
              <w:spacing w:after="60" w:before="60"/>
              <w:ind w:left="80"/>
            </w:pPr>
            <w:r>
              <w:rPr>
                <w:rFonts w:ascii="Arial" w:cs="Arial" w:eastAsia="Arial" w:hAnsi="Arial"/>
                <w:color w:val="0A0E12"/>
                <w:sz w:val="20"/>
                <w:szCs w:val="20"/>
              </w:rPr>
              <w:t xml:space="preserve">Owner</w:t>
            </w:r>
          </w:p>
        </w:tc>
        <w:tc>
          <w:p>
            <w:pPr>
              <w:spacing w:after="60" w:before="60"/>
              <w:ind w:left="80"/>
            </w:pPr>
            <w:r>
              <w:rPr>
                <w:rFonts w:ascii="Arial" w:cs="Arial" w:eastAsia="Arial" w:hAnsi="Arial"/>
                <w:color w:val="0A0E12"/>
                <w:sz w:val="20"/>
                <w:szCs w:val="20"/>
              </w:rPr>
              <w:t xml:space="preserve">Founder</w:t>
            </w:r>
          </w:p>
        </w:tc>
      </w:tr>
      <w:tr>
        <w:tc>
          <w:tcPr>
            <w:shd w:color="F5F2ED" w:val="solid"/>
          </w:tcPr>
          <w:p>
            <w:pPr>
              <w:spacing w:after="60" w:before="60"/>
              <w:ind w:left="80"/>
            </w:pPr>
            <w:r>
              <w:rPr>
                <w:rFonts w:ascii="Arial" w:cs="Arial" w:eastAsia="Arial" w:hAnsi="Arial"/>
                <w:color w:val="0A0E12"/>
                <w:sz w:val="20"/>
                <w:szCs w:val="20"/>
              </w:rPr>
              <w:t xml:space="preserve">Stakeholders Consulted</w:t>
            </w:r>
          </w:p>
        </w:tc>
        <w:tc>
          <w:tcPr>
            <w:shd w:color="F5F2ED" w:val="solid"/>
          </w:tcPr>
          <w:p>
            <w:pPr>
              <w:spacing w:after="60" w:before="60"/>
              <w:ind w:left="80"/>
            </w:pPr>
            <w:r>
              <w:rPr>
                <w:rFonts w:ascii="Arial" w:cs="Arial" w:eastAsia="Arial" w:hAnsi="Arial"/>
                <w:color w:val="0A0E12"/>
                <w:sz w:val="20"/>
                <w:szCs w:val="20"/>
              </w:rPr>
              <w:t xml:space="preserve">Legal counsel</w:t>
            </w:r>
          </w:p>
        </w:tc>
      </w:tr>
      <w:tr>
        <w:tc>
          <w:p>
            <w:pPr>
              <w:spacing w:after="60" w:before="60"/>
              <w:ind w:left="80"/>
            </w:pPr>
            <w:r>
              <w:rPr>
                <w:rFonts w:ascii="Arial" w:cs="Arial" w:eastAsia="Arial" w:hAnsi="Arial"/>
                <w:color w:val="0A0E12"/>
                <w:sz w:val="20"/>
                <w:szCs w:val="20"/>
              </w:rPr>
              <w:t xml:space="preserve">Review Date</w:t>
            </w:r>
          </w:p>
        </w:tc>
        <w:tc>
          <w:p>
            <w:pPr>
              <w:spacing w:after="60" w:before="60"/>
              <w:ind w:left="80"/>
            </w:pPr>
            <w:r>
              <w:rPr>
                <w:rFonts w:ascii="Arial" w:cs="Arial" w:eastAsia="Arial" w:hAnsi="Arial"/>
                <w:color w:val="0A0E12"/>
                <w:sz w:val="20"/>
                <w:szCs w:val="20"/>
              </w:rPr>
              <w:t xml:space="preserve">Jun 2027</w:t>
            </w:r>
          </w:p>
        </w:tc>
      </w:tr>
    </w:tbl>
    <w:p>
      <w:pPr>
        <w:spacing w:after="60" w:before="160"/>
      </w:pPr>
      <w:r>
        <w:rPr>
          <w:rFonts w:ascii="Arial" w:cs="Arial" w:eastAsia="Arial" w:hAnsi="Arial"/>
          <w:b/>
          <w:bCs/>
          <w:color w:val="2D6E8A"/>
          <w:sz w:val="22"/>
          <w:szCs w:val="22"/>
        </w:rPr>
        <w:t xml:space="preserve">Context</w:t>
      </w:r>
    </w:p>
    <w:p>
      <w:pPr>
        <w:spacing w:after="80" w:before="60"/>
      </w:pPr>
      <w:r>
        <w:rPr>
          <w:rFonts w:ascii="Arial" w:cs="Arial" w:eastAsia="Arial" w:hAnsi="Arial"/>
          <w:color w:val="0A0E12"/>
          <w:sz w:val="22"/>
          <w:szCs w:val="22"/>
        </w:rPr>
        <w:t xml:space="preserve">Fly GACA must decide on a code licensing strategy. Options range from fully proprietary (trade secret) to open-source. The codebase includes the RAG pipeline, Firebase integration, and the Captain Adel prompt engineering layer.</w:t>
      </w:r>
    </w:p>
    <w:p>
      <w:pPr>
        <w:spacing w:after="60" w:before="160"/>
      </w:pPr>
      <w:r>
        <w:rPr>
          <w:rFonts w:ascii="Arial" w:cs="Arial" w:eastAsia="Arial" w:hAnsi="Arial"/>
          <w:b/>
          <w:bCs/>
          <w:color w:val="2D6E8A"/>
          <w:sz w:val="22"/>
          <w:szCs w:val="22"/>
        </w:rPr>
        <w:t xml:space="preserve">Options Considered</w:t>
      </w:r>
    </w:p>
    <w:p>
      <w:pPr>
        <w:pStyle w:val="ListParagraph"/>
        <w:numPr>
          <w:ilvl w:val="0"/>
          <w:numId w:val="1"/>
        </w:numPr>
        <w:spacing w:after="40" w:before="40"/>
      </w:pPr>
      <w:r>
        <w:rPr>
          <w:rFonts w:ascii="Arial" w:cs="Arial" w:eastAsia="Arial" w:hAnsi="Arial"/>
          <w:color w:val="0A0E12"/>
          <w:sz w:val="22"/>
          <w:szCs w:val="22"/>
        </w:rPr>
        <w:t xml:space="preserve">Fully proprietary — Maximum IP protection. Con: No community contribution, no open-source signal for recruiting, no GitHub presence for investors.</w:t>
      </w:r>
    </w:p>
    <w:p>
      <w:pPr>
        <w:pStyle w:val="ListParagraph"/>
        <w:numPr>
          <w:ilvl w:val="0"/>
          <w:numId w:val="1"/>
        </w:numPr>
        <w:spacing w:after="40" w:before="40"/>
      </w:pPr>
      <w:r>
        <w:rPr>
          <w:rFonts w:ascii="Arial" w:cs="Arial" w:eastAsia="Arial" w:hAnsi="Arial"/>
          <w:color w:val="0A0E12"/>
          <w:sz w:val="22"/>
          <w:szCs w:val="22"/>
        </w:rPr>
        <w:t xml:space="preserve">GPL v3 (copyleft) — Strong open-source signal. Con: Derivatives must also be GPL — incompatible with commercial SaaS licensing.</w:t>
      </w:r>
    </w:p>
    <w:p>
      <w:pPr>
        <w:pStyle w:val="ListParagraph"/>
        <w:numPr>
          <w:ilvl w:val="0"/>
          <w:numId w:val="1"/>
        </w:numPr>
        <w:spacing w:after="40" w:before="40"/>
      </w:pPr>
      <w:r>
        <w:rPr>
          <w:rFonts w:ascii="Arial" w:cs="Arial" w:eastAsia="Arial" w:hAnsi="Arial"/>
          <w:color w:val="0A0E12"/>
          <w:sz w:val="22"/>
          <w:szCs w:val="22"/>
        </w:rPr>
        <w:t xml:space="preserve">MIT — Permissive, widely understood. Con: Allows competitors to take code with no attribution.</w:t>
      </w:r>
    </w:p>
    <w:p>
      <w:pPr>
        <w:pStyle w:val="ListParagraph"/>
        <w:numPr>
          <w:ilvl w:val="0"/>
          <w:numId w:val="1"/>
        </w:numPr>
        <w:spacing w:after="40" w:before="40"/>
      </w:pPr>
      <w:r>
        <w:rPr>
          <w:rFonts w:ascii="Arial" w:cs="Arial" w:eastAsia="Arial" w:hAnsi="Arial"/>
          <w:color w:val="0A0E12"/>
          <w:sz w:val="22"/>
          <w:szCs w:val="22"/>
        </w:rPr>
        <w:t xml:space="preserve">Apache 2.0 — Permissive with patent protection clause, attribution required. Pro: Commercial use allowed; patent protection; enterprise credibility. Captain Adel prompt layer and GACA pipeline remain proprietary.</w:t>
      </w:r>
    </w:p>
    <w:p>
      <w:pPr>
        <w:spacing w:after="60" w:before="160"/>
      </w:pPr>
      <w:r>
        <w:rPr>
          <w:rFonts w:ascii="Arial" w:cs="Arial" w:eastAsia="Arial" w:hAnsi="Arial"/>
          <w:b/>
          <w:bCs/>
          <w:color w:val="2D6E8A"/>
          <w:sz w:val="22"/>
          <w:szCs w:val="22"/>
        </w:rPr>
        <w:t xml:space="preserve">Rationale</w:t>
      </w:r>
    </w:p>
    <w:p>
      <w:pPr>
        <w:spacing w:after="80" w:before="60"/>
      </w:pPr>
      <w:r>
        <w:rPr>
          <w:rFonts w:ascii="Arial" w:cs="Arial" w:eastAsia="Arial" w:hAnsi="Arial"/>
          <w:color w:val="0A0E12"/>
          <w:sz w:val="22"/>
          <w:szCs w:val="22"/>
        </w:rPr>
        <w:t xml:space="preserve">Apache 2.0 balances openness (developer recruiting, investor credibility) with patent protection. Core differentiation — prompt engineering and RAG pipeline trained on GACA documents — remains proprietary.</w:t>
      </w:r>
    </w:p>
    <w:p>
      <w:pPr>
        <w:spacing w:after="80"/>
      </w:pPr>
      <w:r>
        <w:rPr>
          <w:sz w:val="22"/>
          <w:szCs w:val="22"/>
        </w:rPr>
        <w:t xml:space="preserve"/>
      </w:r>
    </w:p>
    <w:p>
      <w:pPr>
        <w:spacing w:after="80" w:before="240"/>
      </w:pPr>
      <w:r>
        <w:rPr>
          <w:rFonts w:ascii="Arial" w:cs="Arial" w:eastAsia="Arial" w:hAnsi="Arial"/>
          <w:b/>
          <w:bCs/>
          <w:color w:val="0A0E12"/>
          <w:sz w:val="24"/>
          <w:szCs w:val="24"/>
        </w:rPr>
        <w:t xml:space="preserve">DEC-005  —  Why 60-day pilot not 30-day for academy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Detail</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Jul 2025</w:t>
            </w:r>
          </w:p>
        </w:tc>
      </w:tr>
      <w:tr>
        <w:tc>
          <w:p>
            <w:pPr>
              <w:spacing w:after="60" w:before="60"/>
              <w:ind w:left="80"/>
            </w:pPr>
            <w:r>
              <w:rPr>
                <w:rFonts w:ascii="Arial" w:cs="Arial" w:eastAsia="Arial" w:hAnsi="Arial"/>
                <w:color w:val="0A0E12"/>
                <w:sz w:val="20"/>
                <w:szCs w:val="20"/>
              </w:rPr>
              <w:t xml:space="preserve">Decision</w:t>
            </w:r>
          </w:p>
        </w:tc>
        <w:tc>
          <w:p>
            <w:pPr>
              <w:spacing w:after="60" w:before="60"/>
              <w:ind w:left="80"/>
            </w:pPr>
            <w:r>
              <w:rPr>
                <w:rFonts w:ascii="Arial" w:cs="Arial" w:eastAsia="Arial" w:hAnsi="Arial"/>
                <w:color w:val="0A0E12"/>
                <w:sz w:val="20"/>
                <w:szCs w:val="20"/>
              </w:rPr>
              <w:t xml:space="preserve">60-day pilot as standard for academy onboarding.</w:t>
            </w:r>
          </w:p>
        </w:tc>
      </w:tr>
      <w:tr>
        <w:tc>
          <w:tcPr>
            <w:shd w:color="F5F2ED" w:val="solid"/>
          </w:tcPr>
          <w:p>
            <w:pPr>
              <w:spacing w:after="60" w:before="60"/>
              <w:ind w:left="80"/>
            </w:pPr>
            <w:r>
              <w:rPr>
                <w:rFonts w:ascii="Arial" w:cs="Arial" w:eastAsia="Arial" w:hAnsi="Arial"/>
                <w:color w:val="0A0E12"/>
                <w:sz w:val="20"/>
                <w:szCs w:val="20"/>
              </w:rPr>
              <w:t xml:space="preserve">Reversibility</w:t>
            </w:r>
          </w:p>
        </w:tc>
        <w:tc>
          <w:tcPr>
            <w:shd w:color="F5F2ED" w:val="solid"/>
          </w:tcPr>
          <w:p>
            <w:pPr>
              <w:spacing w:after="60" w:before="60"/>
              <w:ind w:left="80"/>
            </w:pPr>
            <w:r>
              <w:rPr>
                <w:rFonts w:ascii="Arial" w:cs="Arial" w:eastAsia="Arial" w:hAnsi="Arial"/>
                <w:color w:val="0A0E12"/>
                <w:sz w:val="20"/>
                <w:szCs w:val="20"/>
              </w:rPr>
              <w:t xml:space="preserve">Two-way door — pilot length can be shortened for specific accounts with a procurement deadline. Standard remains 60 days until conversion data suggests otherwise.</w:t>
            </w:r>
          </w:p>
        </w:tc>
      </w:tr>
      <w:tr>
        <w:tc>
          <w:p>
            <w:pPr>
              <w:spacing w:after="60" w:before="60"/>
              <w:ind w:left="80"/>
            </w:pPr>
            <w:r>
              <w:rPr>
                <w:rFonts w:ascii="Arial" w:cs="Arial" w:eastAsia="Arial" w:hAnsi="Arial"/>
                <w:color w:val="0A0E12"/>
                <w:sz w:val="20"/>
                <w:szCs w:val="20"/>
              </w:rPr>
              <w:t xml:space="preserve">Owner</w:t>
            </w:r>
          </w:p>
        </w:tc>
        <w:tc>
          <w:p>
            <w:pPr>
              <w:spacing w:after="60" w:before="60"/>
              <w:ind w:left="80"/>
            </w:pPr>
            <w:r>
              <w:rPr>
                <w:rFonts w:ascii="Arial" w:cs="Arial" w:eastAsia="Arial" w:hAnsi="Arial"/>
                <w:color w:val="0A0E12"/>
                <w:sz w:val="20"/>
                <w:szCs w:val="20"/>
              </w:rPr>
              <w:t xml:space="preserve">Founder</w:t>
            </w:r>
          </w:p>
        </w:tc>
      </w:tr>
      <w:tr>
        <w:tc>
          <w:tcPr>
            <w:shd w:color="F5F2ED" w:val="solid"/>
          </w:tcPr>
          <w:p>
            <w:pPr>
              <w:spacing w:after="60" w:before="60"/>
              <w:ind w:left="80"/>
            </w:pPr>
            <w:r>
              <w:rPr>
                <w:rFonts w:ascii="Arial" w:cs="Arial" w:eastAsia="Arial" w:hAnsi="Arial"/>
                <w:color w:val="0A0E12"/>
                <w:sz w:val="20"/>
                <w:szCs w:val="20"/>
              </w:rPr>
              <w:t xml:space="preserve">Stakeholders Consulted</w:t>
            </w:r>
          </w:p>
        </w:tc>
        <w:tc>
          <w:tcPr>
            <w:shd w:color="F5F2ED" w:val="solid"/>
          </w:tcPr>
          <w:p>
            <w:pPr>
              <w:spacing w:after="60" w:before="60"/>
              <w:ind w:left="80"/>
            </w:pPr>
            <w:r>
              <w:rPr>
                <w:rFonts w:ascii="Arial" w:cs="Arial" w:eastAsia="Arial" w:hAnsi="Arial"/>
                <w:color w:val="0A0E12"/>
                <w:sz w:val="20"/>
                <w:szCs w:val="20"/>
              </w:rPr>
              <w:t xml:space="preserve">Sales lead (future hire)</w:t>
            </w:r>
          </w:p>
        </w:tc>
      </w:tr>
      <w:tr>
        <w:tc>
          <w:p>
            <w:pPr>
              <w:spacing w:after="60" w:before="60"/>
              <w:ind w:left="80"/>
            </w:pPr>
            <w:r>
              <w:rPr>
                <w:rFonts w:ascii="Arial" w:cs="Arial" w:eastAsia="Arial" w:hAnsi="Arial"/>
                <w:color w:val="0A0E12"/>
                <w:sz w:val="20"/>
                <w:szCs w:val="20"/>
              </w:rPr>
              <w:t xml:space="preserve">Review Date</w:t>
            </w:r>
          </w:p>
        </w:tc>
        <w:tc>
          <w:p>
            <w:pPr>
              <w:spacing w:after="60" w:before="60"/>
              <w:ind w:left="80"/>
            </w:pPr>
            <w:r>
              <w:rPr>
                <w:rFonts w:ascii="Arial" w:cs="Arial" w:eastAsia="Arial" w:hAnsi="Arial"/>
                <w:color w:val="0A0E12"/>
                <w:sz w:val="20"/>
                <w:szCs w:val="20"/>
              </w:rPr>
              <w:t xml:space="preserve">Dec 2026</w:t>
            </w:r>
          </w:p>
        </w:tc>
      </w:tr>
    </w:tbl>
    <w:p>
      <w:pPr>
        <w:spacing w:after="60" w:before="160"/>
      </w:pPr>
      <w:r>
        <w:rPr>
          <w:rFonts w:ascii="Arial" w:cs="Arial" w:eastAsia="Arial" w:hAnsi="Arial"/>
          <w:b/>
          <w:bCs/>
          <w:color w:val="2D6E8A"/>
          <w:sz w:val="22"/>
          <w:szCs w:val="22"/>
        </w:rPr>
        <w:t xml:space="preserve">Context</w:t>
      </w:r>
    </w:p>
    <w:p>
      <w:pPr>
        <w:spacing w:after="80" w:before="60"/>
      </w:pPr>
      <w:r>
        <w:rPr>
          <w:rFonts w:ascii="Arial" w:cs="Arial" w:eastAsia="Arial" w:hAnsi="Arial"/>
          <w:color w:val="0A0E12"/>
          <w:sz w:val="22"/>
          <w:szCs w:val="22"/>
        </w:rPr>
        <w:t xml:space="preserve">Academy pilot programs are the primary conversion mechanism from prospect to paying customer. Pilot length affects sales cycle velocity (shorter is better) but also conversion quality. Initial hypothesis was 30 days.</w:t>
      </w:r>
    </w:p>
    <w:p>
      <w:pPr>
        <w:spacing w:after="60" w:before="160"/>
      </w:pPr>
      <w:r>
        <w:rPr>
          <w:rFonts w:ascii="Arial" w:cs="Arial" w:eastAsia="Arial" w:hAnsi="Arial"/>
          <w:b/>
          <w:bCs/>
          <w:color w:val="2D6E8A"/>
          <w:sz w:val="22"/>
          <w:szCs w:val="22"/>
        </w:rPr>
        <w:t xml:space="preserve">Options Considered</w:t>
      </w:r>
    </w:p>
    <w:p>
      <w:pPr>
        <w:pStyle w:val="ListParagraph"/>
        <w:numPr>
          <w:ilvl w:val="0"/>
          <w:numId w:val="1"/>
        </w:numPr>
        <w:spacing w:after="40" w:before="40"/>
      </w:pPr>
      <w:r>
        <w:rPr>
          <w:rFonts w:ascii="Arial" w:cs="Arial" w:eastAsia="Arial" w:hAnsi="Arial"/>
          <w:color w:val="0A0E12"/>
          <w:sz w:val="22"/>
          <w:szCs w:val="22"/>
        </w:rPr>
        <w:t xml:space="preserve">30-day pilot — Faster sales cycle, faster ARR. Con: Instructors and cadets may not complete a full exam cycle; NPS data immature; low conversion risk.</w:t>
      </w:r>
    </w:p>
    <w:p>
      <w:pPr>
        <w:pStyle w:val="ListParagraph"/>
        <w:numPr>
          <w:ilvl w:val="0"/>
          <w:numId w:val="1"/>
        </w:numPr>
        <w:spacing w:after="40" w:before="40"/>
      </w:pPr>
      <w:r>
        <w:rPr>
          <w:rFonts w:ascii="Arial" w:cs="Arial" w:eastAsia="Arial" w:hAnsi="Arial"/>
          <w:color w:val="0A0E12"/>
          <w:sz w:val="22"/>
          <w:szCs w:val="22"/>
        </w:rPr>
        <w:t xml:space="preserve">45-day pilot — Middle ground. Con: Arbitrary; does not align with typical academy exam cycle (8–10 weeks).</w:t>
      </w:r>
    </w:p>
    <w:p>
      <w:pPr>
        <w:pStyle w:val="ListParagraph"/>
        <w:numPr>
          <w:ilvl w:val="0"/>
          <w:numId w:val="1"/>
        </w:numPr>
        <w:spacing w:after="40" w:before="40"/>
      </w:pPr>
      <w:r>
        <w:rPr>
          <w:rFonts w:ascii="Arial" w:cs="Arial" w:eastAsia="Arial" w:hAnsi="Arial"/>
          <w:color w:val="0A0E12"/>
          <w:sz w:val="22"/>
          <w:szCs w:val="22"/>
        </w:rPr>
        <w:t xml:space="preserve">60-day pilot — Covers one full exam prep cycle; instructor NPS matures; cadet engagement stabilises. Con: Slower sales cycle.</w:t>
      </w:r>
    </w:p>
    <w:p>
      <w:pPr>
        <w:spacing w:after="60" w:before="160"/>
      </w:pPr>
      <w:r>
        <w:rPr>
          <w:rFonts w:ascii="Arial" w:cs="Arial" w:eastAsia="Arial" w:hAnsi="Arial"/>
          <w:b/>
          <w:bCs/>
          <w:color w:val="2D6E8A"/>
          <w:sz w:val="22"/>
          <w:szCs w:val="22"/>
        </w:rPr>
        <w:t xml:space="preserve">Rationale</w:t>
      </w:r>
    </w:p>
    <w:p>
      <w:pPr>
        <w:spacing w:after="80" w:before="60"/>
      </w:pPr>
      <w:r>
        <w:rPr>
          <w:rFonts w:ascii="Arial" w:cs="Arial" w:eastAsia="Arial" w:hAnsi="Arial"/>
          <w:color w:val="0A0E12"/>
          <w:sz w:val="22"/>
          <w:szCs w:val="22"/>
        </w:rPr>
        <w:t xml:space="preserve">A 30-day pilot is not long enough for cadets to experience the value of Captain Adel across a full study cycle. Instructors need 4–6 weeks to form a genuine opinion. 60 days aligns with academy exam schedules and produces reliable NPS data — which supports Series A investor conversations.</w:t>
      </w:r>
    </w:p>
    <w:p>
      <w:pPr>
        <w:spacing w:after="80"/>
      </w:pPr>
      <w:r>
        <w:rPr>
          <w:sz w:val="22"/>
          <w:szCs w:val="22"/>
        </w:rPr>
        <w:t xml:space="preserve"/>
      </w:r>
    </w:p>
    <w:p>
      <w:pPr>
        <w:pBdr>
          <w:bottom w:val="single" w:color="2D6E8A" w:sz="6"/>
        </w:pBdr>
        <w:spacing w:after="120" w:before="360"/>
      </w:pPr>
      <w:r>
        <w:rPr>
          <w:rFonts w:ascii="Arial" w:cs="Arial" w:eastAsia="Arial" w:hAnsi="Arial"/>
          <w:b/>
          <w:bCs/>
          <w:color w:val="2D6E8A"/>
          <w:sz w:val="28"/>
          <w:szCs w:val="28"/>
        </w:rPr>
        <w:t xml:space="preserve">Template — New Decision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Fill In</w:t>
            </w:r>
          </w:p>
        </w:tc>
      </w:tr>
      <w:tr>
        <w:tc>
          <w:tcPr>
            <w:shd w:color="F5F2ED" w:val="solid"/>
          </w:tcPr>
          <w:p>
            <w:pPr>
              <w:spacing w:after="60" w:before="60"/>
              <w:ind w:left="80"/>
            </w:pPr>
            <w:r>
              <w:rPr>
                <w:rFonts w:ascii="Arial" w:cs="Arial" w:eastAsia="Arial" w:hAnsi="Arial"/>
                <w:color w:val="0A0E12"/>
                <w:sz w:val="20"/>
                <w:szCs w:val="20"/>
              </w:rPr>
              <w:t xml:space="preserve">Date</w:t>
            </w:r>
          </w:p>
        </w:tc>
        <w:tc>
          <w:tcPr>
            <w:shd w:color="F5F2ED" w:val="solid"/>
          </w:tcPr>
          <w:p>
            <w:pPr>
              <w:spacing w:after="60" w:before="60"/>
              <w:ind w:left="80"/>
            </w:pPr>
            <w:r>
              <w:rPr>
                <w:rFonts w:ascii="Arial" w:cs="Arial" w:eastAsia="Arial" w:hAnsi="Arial"/>
                <w:color w:val="0A0E12"/>
                <w:sz w:val="20"/>
                <w:szCs w:val="20"/>
              </w:rPr>
              <w:t xml:space="preserve">[DD MMM YYYY]</w:t>
            </w:r>
          </w:p>
        </w:tc>
      </w:tr>
      <w:tr>
        <w:tc>
          <w:p>
            <w:pPr>
              <w:spacing w:after="60" w:before="60"/>
              <w:ind w:left="80"/>
            </w:pPr>
            <w:r>
              <w:rPr>
                <w:rFonts w:ascii="Arial" w:cs="Arial" w:eastAsia="Arial" w:hAnsi="Arial"/>
                <w:color w:val="0A0E12"/>
                <w:sz w:val="20"/>
                <w:szCs w:val="20"/>
              </w:rPr>
              <w:t xml:space="preserve">Decision Title</w:t>
            </w:r>
          </w:p>
        </w:tc>
        <w:tc>
          <w:p>
            <w:pPr>
              <w:spacing w:after="60" w:before="60"/>
              <w:ind w:left="80"/>
            </w:pPr>
            <w:r>
              <w:rPr>
                <w:rFonts w:ascii="Arial" w:cs="Arial" w:eastAsia="Arial" w:hAnsi="Arial"/>
                <w:color w:val="0A0E12"/>
                <w:sz w:val="20"/>
                <w:szCs w:val="20"/>
              </w:rPr>
              <w:t xml:space="preserve">[Short descriptive title]</w:t>
            </w:r>
          </w:p>
        </w:tc>
      </w:tr>
      <w:tr>
        <w:tc>
          <w:tcPr>
            <w:shd w:color="F5F2ED" w:val="solid"/>
          </w:tcPr>
          <w:p>
            <w:pPr>
              <w:spacing w:after="60" w:before="60"/>
              <w:ind w:left="80"/>
            </w:pPr>
            <w:r>
              <w:rPr>
                <w:rFonts w:ascii="Arial" w:cs="Arial" w:eastAsia="Arial" w:hAnsi="Arial"/>
                <w:color w:val="0A0E12"/>
                <w:sz w:val="20"/>
                <w:szCs w:val="20"/>
              </w:rPr>
              <w:t xml:space="preserve">Owner</w:t>
            </w:r>
          </w:p>
        </w:tc>
        <w:tc>
          <w:tcPr>
            <w:shd w:color="F5F2ED" w:val="solid"/>
          </w:tcPr>
          <w:p>
            <w:pPr>
              <w:spacing w:after="60" w:before="60"/>
              <w:ind w:left="80"/>
            </w:pPr>
            <w:r>
              <w:rPr>
                <w:rFonts w:ascii="Arial" w:cs="Arial" w:eastAsia="Arial" w:hAnsi="Arial"/>
                <w:color w:val="0A0E12"/>
                <w:sz w:val="20"/>
                <w:szCs w:val="20"/>
              </w:rPr>
              <w:t xml:space="preserve">[Name]</w:t>
            </w:r>
          </w:p>
        </w:tc>
      </w:tr>
      <w:tr>
        <w:tc>
          <w:p>
            <w:pPr>
              <w:spacing w:after="60" w:before="60"/>
              <w:ind w:left="80"/>
            </w:pPr>
            <w:r>
              <w:rPr>
                <w:rFonts w:ascii="Arial" w:cs="Arial" w:eastAsia="Arial" w:hAnsi="Arial"/>
                <w:color w:val="0A0E12"/>
                <w:sz w:val="20"/>
                <w:szCs w:val="20"/>
              </w:rPr>
              <w:t xml:space="preserve">Stakeholders Consulted</w:t>
            </w:r>
          </w:p>
        </w:tc>
        <w:tc>
          <w:p>
            <w:pPr>
              <w:spacing w:after="60" w:before="60"/>
              <w:ind w:left="80"/>
            </w:pPr>
            <w:r>
              <w:rPr>
                <w:rFonts w:ascii="Arial" w:cs="Arial" w:eastAsia="Arial" w:hAnsi="Arial"/>
                <w:color w:val="0A0E12"/>
                <w:sz w:val="20"/>
                <w:szCs w:val="20"/>
              </w:rPr>
              <w:t xml:space="preserve">[Names/roles]</w:t>
            </w:r>
          </w:p>
        </w:tc>
      </w:tr>
      <w:tr>
        <w:tc>
          <w:tcPr>
            <w:shd w:color="F5F2ED" w:val="solid"/>
          </w:tcPr>
          <w:p>
            <w:pPr>
              <w:spacing w:after="60" w:before="60"/>
              <w:ind w:left="80"/>
            </w:pPr>
            <w:r>
              <w:rPr>
                <w:rFonts w:ascii="Arial" w:cs="Arial" w:eastAsia="Arial" w:hAnsi="Arial"/>
                <w:color w:val="0A0E12"/>
                <w:sz w:val="20"/>
                <w:szCs w:val="20"/>
              </w:rPr>
              <w:t xml:space="preserve">Review Date</w:t>
            </w:r>
          </w:p>
        </w:tc>
        <w:tc>
          <w:tcPr>
            <w:shd w:color="F5F2ED" w:val="solid"/>
          </w:tcPr>
          <w:p>
            <w:pPr>
              <w:spacing w:after="60" w:before="60"/>
              <w:ind w:left="80"/>
            </w:pPr>
            <w:r>
              <w:rPr>
                <w:rFonts w:ascii="Arial" w:cs="Arial" w:eastAsia="Arial" w:hAnsi="Arial"/>
                <w:color w:val="0A0E12"/>
                <w:sz w:val="20"/>
                <w:szCs w:val="20"/>
              </w:rPr>
              <w:t xml:space="preserve">[DD MMM YYYY]</w:t>
            </w:r>
          </w:p>
        </w:tc>
      </w:tr>
      <w:tr>
        <w:tc>
          <w:p>
            <w:pPr>
              <w:spacing w:after="60" w:before="60"/>
              <w:ind w:left="80"/>
            </w:pPr>
            <w:r>
              <w:rPr>
                <w:rFonts w:ascii="Arial" w:cs="Arial" w:eastAsia="Arial" w:hAnsi="Arial"/>
                <w:color w:val="0A0E12"/>
                <w:sz w:val="20"/>
                <w:szCs w:val="20"/>
              </w:rPr>
              <w:t xml:space="preserve">Reversibility</w:t>
            </w:r>
          </w:p>
        </w:tc>
        <w:tc>
          <w:p>
            <w:pPr>
              <w:spacing w:after="60" w:before="60"/>
              <w:ind w:left="80"/>
            </w:pPr>
            <w:r>
              <w:rPr>
                <w:rFonts w:ascii="Arial" w:cs="Arial" w:eastAsia="Arial" w:hAnsi="Arial"/>
                <w:color w:val="0A0E12"/>
                <w:sz w:val="20"/>
                <w:szCs w:val="20"/>
              </w:rPr>
              <w:t xml:space="preserve">[One-way door / Two-way door]</w:t>
            </w:r>
          </w:p>
        </w:tc>
      </w:tr>
      <w:tr>
        <w:tc>
          <w:tcPr>
            <w:shd w:color="F5F2ED" w:val="solid"/>
          </w:tcPr>
          <w:p>
            <w:pPr>
              <w:spacing w:after="60" w:before="60"/>
              <w:ind w:left="80"/>
            </w:pPr>
            <w:r>
              <w:rPr>
                <w:rFonts w:ascii="Arial" w:cs="Arial" w:eastAsia="Arial" w:hAnsi="Arial"/>
                <w:color w:val="0A0E12"/>
                <w:sz w:val="20"/>
                <w:szCs w:val="20"/>
              </w:rPr>
              <w:t xml:space="preserve">Decision</w:t>
            </w:r>
          </w:p>
        </w:tc>
        <w:tc>
          <w:tcPr>
            <w:shd w:color="F5F2ED" w:val="solid"/>
          </w:tcPr>
          <w:p>
            <w:pPr>
              <w:spacing w:after="60" w:before="60"/>
              <w:ind w:left="80"/>
            </w:pPr>
            <w:r>
              <w:rPr>
                <w:rFonts w:ascii="Arial" w:cs="Arial" w:eastAsia="Arial" w:hAnsi="Arial"/>
                <w:color w:val="0A0E12"/>
                <w:sz w:val="20"/>
                <w:szCs w:val="20"/>
              </w:rPr>
              <w:t xml:space="preserve">[What was chosen — one sentence]</w:t>
            </w:r>
          </w:p>
        </w:tc>
      </w:tr>
    </w:tbl>
    <w:p>
      <w:pPr>
        <w:spacing w:after="60" w:before="160"/>
      </w:pPr>
      <w:r>
        <w:rPr>
          <w:rFonts w:ascii="Arial" w:cs="Arial" w:eastAsia="Arial" w:hAnsi="Arial"/>
          <w:b/>
          <w:bCs/>
          <w:color w:val="2D6E8A"/>
          <w:sz w:val="22"/>
          <w:szCs w:val="22"/>
        </w:rPr>
        <w:t xml:space="preserve">Context</w:t>
      </w:r>
    </w:p>
    <w:p>
      <w:pPr>
        <w:spacing w:after="80" w:before="60"/>
      </w:pPr>
      <w:r>
        <w:rPr>
          <w:rFonts w:ascii="Arial" w:cs="Arial" w:eastAsia="Arial" w:hAnsi="Arial"/>
          <w:color w:val="0A0E12"/>
          <w:sz w:val="22"/>
          <w:szCs w:val="22"/>
        </w:rPr>
        <w:t xml:space="preserve">[1 paragraph explaining why this decision was necessary]</w:t>
      </w:r>
    </w:p>
    <w:p>
      <w:pPr>
        <w:spacing w:after="60" w:before="160"/>
      </w:pPr>
      <w:r>
        <w:rPr>
          <w:rFonts w:ascii="Arial" w:cs="Arial" w:eastAsia="Arial" w:hAnsi="Arial"/>
          <w:b/>
          <w:bCs/>
          <w:color w:val="2D6E8A"/>
          <w:sz w:val="22"/>
          <w:szCs w:val="22"/>
        </w:rPr>
        <w:t xml:space="preserve">Options Considered</w:t>
      </w:r>
    </w:p>
    <w:p>
      <w:pPr>
        <w:pStyle w:val="ListParagraph"/>
        <w:numPr>
          <w:ilvl w:val="0"/>
          <w:numId w:val="1"/>
        </w:numPr>
        <w:spacing w:after="40" w:before="40"/>
      </w:pPr>
      <w:r>
        <w:rPr>
          <w:rFonts w:ascii="Arial" w:cs="Arial" w:eastAsia="Arial" w:hAnsi="Arial"/>
          <w:color w:val="0A0E12"/>
          <w:sz w:val="22"/>
          <w:szCs w:val="22"/>
        </w:rPr>
        <w:t xml:space="preserve">[Option A — pros / cons]</w:t>
      </w:r>
    </w:p>
    <w:p>
      <w:pPr>
        <w:pStyle w:val="ListParagraph"/>
        <w:numPr>
          <w:ilvl w:val="0"/>
          <w:numId w:val="1"/>
        </w:numPr>
        <w:spacing w:after="40" w:before="40"/>
      </w:pPr>
      <w:r>
        <w:rPr>
          <w:rFonts w:ascii="Arial" w:cs="Arial" w:eastAsia="Arial" w:hAnsi="Arial"/>
          <w:color w:val="0A0E12"/>
          <w:sz w:val="22"/>
          <w:szCs w:val="22"/>
        </w:rPr>
        <w:t xml:space="preserve">[Option B — pros / cons]</w:t>
      </w:r>
    </w:p>
    <w:p>
      <w:pPr>
        <w:pStyle w:val="ListParagraph"/>
        <w:numPr>
          <w:ilvl w:val="0"/>
          <w:numId w:val="1"/>
        </w:numPr>
        <w:spacing w:after="40" w:before="40"/>
      </w:pPr>
      <w:r>
        <w:rPr>
          <w:rFonts w:ascii="Arial" w:cs="Arial" w:eastAsia="Arial" w:hAnsi="Arial"/>
          <w:color w:val="0A0E12"/>
          <w:sz w:val="22"/>
          <w:szCs w:val="22"/>
        </w:rPr>
        <w:t xml:space="preserve">[Option C — pros / cons]</w:t>
      </w:r>
    </w:p>
    <w:p>
      <w:pPr>
        <w:spacing w:after="60" w:before="160"/>
      </w:pPr>
      <w:r>
        <w:rPr>
          <w:rFonts w:ascii="Arial" w:cs="Arial" w:eastAsia="Arial" w:hAnsi="Arial"/>
          <w:b/>
          <w:bCs/>
          <w:color w:val="2D6E8A"/>
          <w:sz w:val="22"/>
          <w:szCs w:val="22"/>
        </w:rPr>
        <w:t xml:space="preserve">Rationale</w:t>
      </w:r>
    </w:p>
    <w:p>
      <w:pPr>
        <w:spacing w:after="80" w:before="60"/>
      </w:pPr>
      <w:r>
        <w:rPr>
          <w:rFonts w:ascii="Arial" w:cs="Arial" w:eastAsia="Arial" w:hAnsi="Arial"/>
          <w:color w:val="0A0E12"/>
          <w:sz w:val="22"/>
          <w:szCs w:val="22"/>
        </w:rPr>
        <w:t xml:space="preserve">[Why this option? What would need to be true for a different choice to win?]</w:t>
      </w:r>
    </w:p>
    <w:p>
      <w:pPr>
        <w:spacing w:after="160"/>
      </w:pPr>
      <w:r>
        <w:rPr>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A0E12"/>
        <w:sz w:val="16"/>
        <w:szCs w:val="16"/>
      </w:rPr>
      <w:t xml:space="preserve">Fly GACA  ·  Strategic  ·  Confidential     Page </w:t>
    </w:r>
    <w:r>
      <w:rPr>
        <w:rFonts w:ascii="Arial" w:cs="Arial" w:eastAsia="Arial" w:hAnsi="Arial"/>
        <w:color w:val="0A0E12"/>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Log Template</dc:title>
  <dc:creator>Fly GACA</dc:creator>
  <cp:lastModifiedBy>Un-named</cp:lastModifiedBy>
  <cp:revision>1</cp:revision>
  <dcterms:created xsi:type="dcterms:W3CDTF">2026-05-05T06:48:00.408Z</dcterms:created>
  <dcterms:modified xsi:type="dcterms:W3CDTF">2026-05-05T06:48:00.408Z</dcterms:modified>
</cp:coreProperties>
</file>

<file path=docProps/custom.xml><?xml version="1.0" encoding="utf-8"?>
<Properties xmlns="http://schemas.openxmlformats.org/officeDocument/2006/custom-properties" xmlns:vt="http://schemas.openxmlformats.org/officeDocument/2006/docPropsVTypes"/>
</file>