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One-Way Non-Disclosure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One-Way Non-Disclosure Agreement ("Agreement") is entered into as of [EFFECTIVE_DATE] by and between:</w:t>
      </w:r>
    </w:p>
    <w:p>
      <w:pPr>
        <w:spacing w:after="80" w:before="80"/>
      </w:pPr>
      <w:r>
        <w:t xml:space="preserve"/>
      </w:r>
    </w:p>
    <w:p>
      <w:pPr>
        <w:spacing w:after="60" w:before="60"/>
      </w:pPr>
      <w:r>
        <w:rPr>
          <w:rFonts w:ascii="Arial" w:cs="Arial" w:eastAsia="Arial" w:hAnsi="Arial"/>
          <w:b/>
          <w:bCs/>
          <w:sz w:val="22"/>
          <w:szCs w:val="22"/>
        </w:rPr>
        <w:t xml:space="preserve">Disclosing Party (Fly GACA):</w:t>
      </w:r>
    </w:p>
    <w:p>
      <w:pPr>
        <w:pStyle w:val="ListParagraph"/>
        <w:numPr>
          <w:ilvl w:val="0"/>
          <w:numId w:val="2"/>
        </w:numPr>
        <w:spacing w:after="40" w:before="40"/>
      </w:pPr>
      <w:r>
        <w:rPr>
          <w:rFonts w:ascii="Arial" w:cs="Arial" w:eastAsia="Arial" w:hAnsi="Arial"/>
          <w:sz w:val="22"/>
          <w:szCs w:val="22"/>
        </w:rPr>
        <w:t xml:space="preserve">Legal Name: Fly GACA Saudi Arabia (LLC)</w:t>
      </w:r>
    </w:p>
    <w:p>
      <w:pPr>
        <w:pStyle w:val="ListParagraph"/>
        <w:numPr>
          <w:ilvl w:val="0"/>
          <w:numId w:val="2"/>
        </w:numPr>
        <w:spacing w:after="40" w:before="40"/>
      </w:pPr>
      <w:r>
        <w:rPr>
          <w:rFonts w:ascii="Arial" w:cs="Arial" w:eastAsia="Arial" w:hAnsi="Arial"/>
          <w:sz w:val="22"/>
          <w:szCs w:val="22"/>
        </w:rPr>
        <w:t xml:space="preserve">CR No.: [CR_NUMBER]</w:t>
      </w:r>
    </w:p>
    <w:p>
      <w:pPr>
        <w:pStyle w:val="ListParagraph"/>
        <w:numPr>
          <w:ilvl w:val="0"/>
          <w:numId w:val="2"/>
        </w:numPr>
        <w:spacing w:after="40" w:before="40"/>
      </w:pPr>
      <w:r>
        <w:rPr>
          <w:rFonts w:ascii="Arial" w:cs="Arial" w:eastAsia="Arial" w:hAnsi="Arial"/>
          <w:sz w:val="22"/>
          <w:szCs w:val="22"/>
        </w:rPr>
        <w:t xml:space="preserve">Registered Address: [COMPANY_ADDRESS], Kingdom of Saudi Arabia</w:t>
      </w:r>
    </w:p>
    <w:p>
      <w:pPr>
        <w:pStyle w:val="ListParagraph"/>
        <w:numPr>
          <w:ilvl w:val="0"/>
          <w:numId w:val="2"/>
        </w:numPr>
        <w:spacing w:after="40" w:before="40"/>
      </w:pPr>
      <w:r>
        <w:rPr>
          <w:rFonts w:ascii="Arial" w:cs="Arial" w:eastAsia="Arial" w:hAnsi="Arial"/>
          <w:sz w:val="22"/>
          <w:szCs w:val="22"/>
        </w:rPr>
        <w:t xml:space="preserve">Represented by: Adel Yahya A. Madkhali, Chief Executive Officer</w:t>
      </w:r>
    </w:p>
    <w:p>
      <w:pPr>
        <w:pStyle w:val="ListParagraph"/>
        <w:numPr>
          <w:ilvl w:val="0"/>
          <w:numId w:val="2"/>
        </w:numPr>
        <w:spacing w:after="40" w:before="40"/>
      </w:pPr>
      <w:r>
        <w:rPr>
          <w:rFonts w:ascii="Arial" w:cs="Arial" w:eastAsia="Arial" w:hAnsi="Arial"/>
          <w:sz w:val="22"/>
          <w:szCs w:val="22"/>
        </w:rPr>
        <w:t xml:space="preserve">Email: i@flygaca.com</w:t>
      </w:r>
    </w:p>
    <w:p>
      <w:pPr>
        <w:spacing w:after="80" w:before="80"/>
      </w:pPr>
      <w:r>
        <w:t xml:space="preserve"/>
      </w:r>
    </w:p>
    <w:p>
      <w:pPr>
        <w:spacing w:after="60" w:before="60"/>
      </w:pPr>
      <w:r>
        <w:rPr>
          <w:rFonts w:ascii="Arial" w:cs="Arial" w:eastAsia="Arial" w:hAnsi="Arial"/>
          <w:b/>
          <w:bCs/>
          <w:sz w:val="22"/>
          <w:szCs w:val="22"/>
        </w:rPr>
        <w:t xml:space="preserve">Receiving Party:</w:t>
      </w:r>
    </w:p>
    <w:p>
      <w:pPr>
        <w:pStyle w:val="ListParagraph"/>
        <w:numPr>
          <w:ilvl w:val="0"/>
          <w:numId w:val="2"/>
        </w:numPr>
        <w:spacing w:after="40" w:before="40"/>
      </w:pPr>
      <w:r>
        <w:rPr>
          <w:rFonts w:ascii="Arial" w:cs="Arial" w:eastAsia="Arial" w:hAnsi="Arial"/>
          <w:sz w:val="22"/>
          <w:szCs w:val="22"/>
        </w:rPr>
        <w:t xml:space="preserve">Legal Name: [RECEIVING_PARTY_FULL_LEGAL_NAME]</w:t>
      </w:r>
    </w:p>
    <w:p>
      <w:pPr>
        <w:pStyle w:val="ListParagraph"/>
        <w:numPr>
          <w:ilvl w:val="0"/>
          <w:numId w:val="2"/>
        </w:numPr>
        <w:spacing w:after="40" w:before="40"/>
      </w:pPr>
      <w:r>
        <w:rPr>
          <w:rFonts w:ascii="Arial" w:cs="Arial" w:eastAsia="Arial" w:hAnsi="Arial"/>
          <w:sz w:val="22"/>
          <w:szCs w:val="22"/>
        </w:rPr>
        <w:t xml:space="preserve">Registration / ID No.: [RECEIVING_PARTY_REG_NO]</w:t>
      </w:r>
    </w:p>
    <w:p>
      <w:pPr>
        <w:pStyle w:val="ListParagraph"/>
        <w:numPr>
          <w:ilvl w:val="0"/>
          <w:numId w:val="2"/>
        </w:numPr>
        <w:spacing w:after="40" w:before="40"/>
      </w:pPr>
      <w:r>
        <w:rPr>
          <w:rFonts w:ascii="Arial" w:cs="Arial" w:eastAsia="Arial" w:hAnsi="Arial"/>
          <w:sz w:val="22"/>
          <w:szCs w:val="22"/>
        </w:rPr>
        <w:t xml:space="preserve">Registered Address: [RECEIVING_PARTY_ADDRESS]</w:t>
      </w:r>
    </w:p>
    <w:p>
      <w:pPr>
        <w:pStyle w:val="ListParagraph"/>
        <w:numPr>
          <w:ilvl w:val="0"/>
          <w:numId w:val="2"/>
        </w:numPr>
        <w:spacing w:after="40" w:before="40"/>
      </w:pPr>
      <w:r>
        <w:rPr>
          <w:rFonts w:ascii="Arial" w:cs="Arial" w:eastAsia="Arial" w:hAnsi="Arial"/>
          <w:sz w:val="22"/>
          <w:szCs w:val="22"/>
        </w:rPr>
        <w:t xml:space="preserve">Represented by: [RECEIVING_PARTY_SIGNATORY_NAME], [RECEIVING_PARTY_SIGNATORY_TITLE]</w:t>
      </w:r>
    </w:p>
    <w:p>
      <w:pPr>
        <w:pStyle w:val="ListParagraph"/>
        <w:numPr>
          <w:ilvl w:val="0"/>
          <w:numId w:val="2"/>
        </w:numPr>
        <w:spacing w:after="40" w:before="40"/>
      </w:pPr>
      <w:r>
        <w:rPr>
          <w:rFonts w:ascii="Arial" w:cs="Arial" w:eastAsia="Arial" w:hAnsi="Arial"/>
          <w:sz w:val="22"/>
          <w:szCs w:val="22"/>
        </w:rPr>
        <w:t xml:space="preserve">Email: [RECEIVING_PARTY_EMAIL]</w:t>
      </w:r>
    </w:p>
    <w:p>
      <w:pPr>
        <w:spacing w:after="80" w:before="80"/>
      </w:pPr>
      <w:r>
        <w:t xml:space="preserve"/>
      </w:r>
    </w:p>
    <w:p>
      <w:pPr>
        <w:spacing w:after="60" w:before="60"/>
      </w:pPr>
      <w:r>
        <w:rPr>
          <w:rFonts w:ascii="Arial" w:cs="Arial" w:eastAsia="Arial" w:hAnsi="Arial"/>
          <w:sz w:val="22"/>
          <w:szCs w:val="22"/>
        </w:rPr>
        <w:t xml:space="preserve">Purpose of Disclosure: Fly GACA is disclosing Confidential Information to the Receiving Party solely to evaluate a potential [VENDOR / CONTRACTOR / SERVICE PROVIDER / PARTNERSHIP] relationship (the "Purpose").</w:t>
      </w:r>
    </w:p>
    <w:p>
      <w:pPr>
        <w:spacing w:after="60" w:before="60"/>
      </w:pPr>
      <w:r>
        <w:rPr>
          <w:rFonts w:ascii="Arial" w:cs="Arial" w:eastAsia="Arial" w:hAnsi="Arial"/>
          <w:sz w:val="22"/>
          <w:szCs w:val="22"/>
        </w:rPr>
        <w:t xml:space="preserve">IMPORTANT: Confidentiality obligations under this Agreement run only one way — from the Receiving Party with respect to Fly GACA Confidential Information. Fly GACA assumes no confidentiality obligations under this Agreement.</w:t>
      </w:r>
    </w:p>
    <w:p>
      <w:r>
        <w:br w:type="page"/>
      </w:r>
    </w:p>
    <w:p>
      <w:pPr>
        <w:pStyle w:val="Heading1"/>
        <w:spacing w:after="120" w:before="300"/>
      </w:pPr>
      <w:r>
        <w:rPr>
          <w:rFonts w:ascii="Arial" w:cs="Arial" w:eastAsia="Arial" w:hAnsi="Arial"/>
          <w:b/>
          <w:bCs/>
          <w:color w:val="2D6E8A"/>
          <w:sz w:val="28"/>
          <w:szCs w:val="28"/>
        </w:rPr>
        <w:t xml:space="preserve">2. Definition of Confidential Information</w:t>
      </w:r>
    </w:p>
    <w:p>
      <w:pPr>
        <w:spacing w:after="60" w:before="60"/>
      </w:pPr>
      <w:r>
        <w:rPr>
          <w:rFonts w:ascii="Arial" w:cs="Arial" w:eastAsia="Arial" w:hAnsi="Arial"/>
          <w:sz w:val="22"/>
          <w:szCs w:val="22"/>
        </w:rPr>
        <w:t xml:space="preserve">"Confidential Information" means any information or data disclosed by Fly GACA to the Receiving Party, whether oral, written, electronic, or visual, that is designated as confidential or would reasonably be understood to be confidential. Includes without limitation:</w:t>
      </w:r>
    </w:p>
    <w:p>
      <w:pPr>
        <w:pStyle w:val="ListParagraph"/>
        <w:numPr>
          <w:ilvl w:val="0"/>
          <w:numId w:val="2"/>
        </w:numPr>
        <w:spacing w:after="40" w:before="40"/>
      </w:pPr>
      <w:r>
        <w:rPr>
          <w:rFonts w:ascii="Arial" w:cs="Arial" w:eastAsia="Arial" w:hAnsi="Arial"/>
          <w:sz w:val="22"/>
          <w:szCs w:val="22"/>
        </w:rPr>
        <w:t xml:space="preserve">Business plans, financial projections, investor materials, and cap table</w:t>
      </w:r>
    </w:p>
    <w:p>
      <w:pPr>
        <w:pStyle w:val="ListParagraph"/>
        <w:numPr>
          <w:ilvl w:val="0"/>
          <w:numId w:val="2"/>
        </w:numPr>
        <w:spacing w:after="40" w:before="40"/>
      </w:pPr>
      <w:r>
        <w:rPr>
          <w:rFonts w:ascii="Arial" w:cs="Arial" w:eastAsia="Arial" w:hAnsi="Arial"/>
          <w:sz w:val="22"/>
          <w:szCs w:val="22"/>
        </w:rPr>
        <w:t xml:space="preserve">Source code, AI architecture, GACAR library ingestion methodology, and Captain Adel persona design</w:t>
      </w:r>
    </w:p>
    <w:p>
      <w:pPr>
        <w:pStyle w:val="ListParagraph"/>
        <w:numPr>
          <w:ilvl w:val="0"/>
          <w:numId w:val="2"/>
        </w:numPr>
        <w:spacing w:after="40" w:before="40"/>
      </w:pPr>
      <w:r>
        <w:rPr>
          <w:rFonts w:ascii="Arial" w:cs="Arial" w:eastAsia="Arial" w:hAnsi="Arial"/>
          <w:sz w:val="22"/>
          <w:szCs w:val="22"/>
        </w:rPr>
        <w:t xml:space="preserve">Customer lists, pricing, marketing strategies, and product roadmaps</w:t>
      </w:r>
    </w:p>
    <w:p>
      <w:pPr>
        <w:pStyle w:val="ListParagraph"/>
        <w:numPr>
          <w:ilvl w:val="0"/>
          <w:numId w:val="2"/>
        </w:numPr>
        <w:spacing w:after="40" w:before="40"/>
      </w:pPr>
      <w:r>
        <w:rPr>
          <w:rFonts w:ascii="Arial" w:cs="Arial" w:eastAsia="Arial" w:hAnsi="Arial"/>
          <w:sz w:val="22"/>
          <w:szCs w:val="22"/>
        </w:rPr>
        <w:t xml:space="preserve">Partnership terms, strategic plans, and technology architecture documents</w:t>
      </w:r>
    </w:p>
    <w:p>
      <w:pPr>
        <w:pStyle w:val="ListParagraph"/>
        <w:numPr>
          <w:ilvl w:val="0"/>
          <w:numId w:val="2"/>
        </w:numPr>
        <w:spacing w:after="40" w:before="40"/>
      </w:pPr>
      <w:r>
        <w:rPr>
          <w:rFonts w:ascii="Arial" w:cs="Arial" w:eastAsia="Arial" w:hAnsi="Arial"/>
          <w:sz w:val="22"/>
          <w:szCs w:val="22"/>
        </w:rPr>
        <w:t xml:space="preserve">Personal data governed by Saudi PDPL (Royal Decree M/19)</w:t>
      </w:r>
    </w:p>
    <w:p>
      <w:r>
        <w:br w:type="page"/>
      </w:r>
    </w:p>
    <w:p>
      <w:pPr>
        <w:pStyle w:val="Heading1"/>
        <w:spacing w:after="120" w:before="300"/>
      </w:pPr>
      <w:r>
        <w:rPr>
          <w:rFonts w:ascii="Arial" w:cs="Arial" w:eastAsia="Arial" w:hAnsi="Arial"/>
          <w:b/>
          <w:bCs/>
          <w:color w:val="2D6E8A"/>
          <w:sz w:val="28"/>
          <w:szCs w:val="28"/>
        </w:rPr>
        <w:t xml:space="preserve">3. Exceptions</w:t>
      </w:r>
    </w:p>
    <w:p>
      <w:pPr>
        <w:spacing w:after="60" w:before="60"/>
      </w:pPr>
      <w:r>
        <w:rPr>
          <w:rFonts w:ascii="Arial" w:cs="Arial" w:eastAsia="Arial" w:hAnsi="Arial"/>
          <w:sz w:val="22"/>
          <w:szCs w:val="22"/>
        </w:rPr>
        <w:t xml:space="preserve">Obligations do not apply to information the Receiving Party demonstrates:</w:t>
      </w:r>
    </w:p>
    <w:p>
      <w:pPr>
        <w:pStyle w:val="ListParagraph"/>
        <w:numPr>
          <w:ilvl w:val="0"/>
          <w:numId w:val="2"/>
        </w:numPr>
        <w:spacing w:after="40" w:before="40"/>
      </w:pPr>
      <w:r>
        <w:rPr>
          <w:rFonts w:ascii="Arial" w:cs="Arial" w:eastAsia="Arial" w:hAnsi="Arial"/>
          <w:sz w:val="22"/>
          <w:szCs w:val="22"/>
        </w:rPr>
        <w:t xml:space="preserve">Was or becomes publicly known through no breach by the Receiving Party</w:t>
      </w:r>
    </w:p>
    <w:p>
      <w:pPr>
        <w:pStyle w:val="ListParagraph"/>
        <w:numPr>
          <w:ilvl w:val="0"/>
          <w:numId w:val="2"/>
        </w:numPr>
        <w:spacing w:after="40" w:before="40"/>
      </w:pPr>
      <w:r>
        <w:rPr>
          <w:rFonts w:ascii="Arial" w:cs="Arial" w:eastAsia="Arial" w:hAnsi="Arial"/>
          <w:sz w:val="22"/>
          <w:szCs w:val="22"/>
        </w:rPr>
        <w:t xml:space="preserve">Was rightfully known to the Receiving Party without restriction before the Effective Date</w:t>
      </w:r>
    </w:p>
    <w:p>
      <w:pPr>
        <w:pStyle w:val="ListParagraph"/>
        <w:numPr>
          <w:ilvl w:val="0"/>
          <w:numId w:val="2"/>
        </w:numPr>
        <w:spacing w:after="40" w:before="40"/>
      </w:pPr>
      <w:r>
        <w:rPr>
          <w:rFonts w:ascii="Arial" w:cs="Arial" w:eastAsia="Arial" w:hAnsi="Arial"/>
          <w:sz w:val="22"/>
          <w:szCs w:val="22"/>
        </w:rPr>
        <w:t xml:space="preserve">Is independently developed by the Receiving Party without use of Fly GACA Confidential Information</w:t>
      </w:r>
    </w:p>
    <w:p>
      <w:pPr>
        <w:pStyle w:val="ListParagraph"/>
        <w:numPr>
          <w:ilvl w:val="0"/>
          <w:numId w:val="2"/>
        </w:numPr>
        <w:spacing w:after="40" w:before="40"/>
      </w:pPr>
      <w:r>
        <w:rPr>
          <w:rFonts w:ascii="Arial" w:cs="Arial" w:eastAsia="Arial" w:hAnsi="Arial"/>
          <w:sz w:val="22"/>
          <w:szCs w:val="22"/>
        </w:rPr>
        <w:t xml:space="preserve">Is lawfully received from a third party without restriction on disclosure</w:t>
      </w:r>
    </w:p>
    <w:p>
      <w:pPr>
        <w:pStyle w:val="ListParagraph"/>
        <w:numPr>
          <w:ilvl w:val="0"/>
          <w:numId w:val="2"/>
        </w:numPr>
        <w:spacing w:after="40" w:before="40"/>
      </w:pPr>
      <w:r>
        <w:rPr>
          <w:rFonts w:ascii="Arial" w:cs="Arial" w:eastAsia="Arial" w:hAnsi="Arial"/>
          <w:sz w:val="22"/>
          <w:szCs w:val="22"/>
        </w:rPr>
        <w:t xml:space="preserve">Is required by law or court order, provided the Receiving Party gives prompt written notice and cooperates in seeking a protective order</w:t>
      </w:r>
    </w:p>
    <w:p>
      <w:r>
        <w:br w:type="page"/>
      </w:r>
    </w:p>
    <w:p>
      <w:pPr>
        <w:pStyle w:val="Heading1"/>
        <w:spacing w:after="120" w:before="300"/>
      </w:pPr>
      <w:r>
        <w:rPr>
          <w:rFonts w:ascii="Arial" w:cs="Arial" w:eastAsia="Arial" w:hAnsi="Arial"/>
          <w:b/>
          <w:bCs/>
          <w:color w:val="2D6E8A"/>
          <w:sz w:val="28"/>
          <w:szCs w:val="28"/>
        </w:rPr>
        <w:t xml:space="preserve">4. Obligations of the Receiving Party</w:t>
      </w:r>
    </w:p>
    <w:p>
      <w:pPr>
        <w:pStyle w:val="Heading2"/>
        <w:spacing w:after="80" w:before="200"/>
      </w:pPr>
      <w:r>
        <w:rPr>
          <w:rFonts w:ascii="Arial" w:cs="Arial" w:eastAsia="Arial" w:hAnsi="Arial"/>
          <w:b/>
          <w:bCs/>
          <w:color w:val="0A0E12"/>
          <w:sz w:val="24"/>
          <w:szCs w:val="24"/>
        </w:rPr>
        <w:t xml:space="preserve">4.1 Non-Disclosure</w:t>
      </w:r>
    </w:p>
    <w:p>
      <w:pPr>
        <w:spacing w:after="60" w:before="60"/>
      </w:pPr>
      <w:r>
        <w:rPr>
          <w:rFonts w:ascii="Arial" w:cs="Arial" w:eastAsia="Arial" w:hAnsi="Arial"/>
          <w:sz w:val="22"/>
          <w:szCs w:val="22"/>
        </w:rPr>
        <w:t xml:space="preserve">The Receiving Party shall hold all Confidential Information in strict confidence and shall not disclose it to any third party without Fly GACA prior written consent.</w:t>
      </w:r>
    </w:p>
    <w:p>
      <w:pPr>
        <w:pStyle w:val="Heading2"/>
        <w:spacing w:after="80" w:before="200"/>
      </w:pPr>
      <w:r>
        <w:rPr>
          <w:rFonts w:ascii="Arial" w:cs="Arial" w:eastAsia="Arial" w:hAnsi="Arial"/>
          <w:b/>
          <w:bCs/>
          <w:color w:val="0A0E12"/>
          <w:sz w:val="24"/>
          <w:szCs w:val="24"/>
        </w:rPr>
        <w:t xml:space="preserve">4.2 Use Limitation</w:t>
      </w:r>
    </w:p>
    <w:p>
      <w:pPr>
        <w:spacing w:after="60" w:before="60"/>
      </w:pPr>
      <w:r>
        <w:rPr>
          <w:rFonts w:ascii="Arial" w:cs="Arial" w:eastAsia="Arial" w:hAnsi="Arial"/>
          <w:sz w:val="22"/>
          <w:szCs w:val="22"/>
        </w:rPr>
        <w:t xml:space="preserve">The Receiving Party shall use the Confidential Information solely for the Purpose. The Receiving Party shall not use Confidential Information to: compete with Fly GACA; build competing products; or solicit Fly GACA customers or partners.</w:t>
      </w:r>
    </w:p>
    <w:p>
      <w:pPr>
        <w:pStyle w:val="Heading2"/>
        <w:spacing w:after="80" w:before="200"/>
      </w:pPr>
      <w:r>
        <w:rPr>
          <w:rFonts w:ascii="Arial" w:cs="Arial" w:eastAsia="Arial" w:hAnsi="Arial"/>
          <w:b/>
          <w:bCs/>
          <w:color w:val="0A0E12"/>
          <w:sz w:val="24"/>
          <w:szCs w:val="24"/>
        </w:rPr>
        <w:t xml:space="preserve">4.3 Protection Standard</w:t>
      </w:r>
    </w:p>
    <w:p>
      <w:pPr>
        <w:spacing w:after="60" w:before="60"/>
      </w:pPr>
      <w:r>
        <w:rPr>
          <w:rFonts w:ascii="Arial" w:cs="Arial" w:eastAsia="Arial" w:hAnsi="Arial"/>
          <w:sz w:val="22"/>
          <w:szCs w:val="22"/>
        </w:rPr>
        <w:t xml:space="preserve">The Receiving Party shall protect Confidential Information using at least the same care applied to its own most sensitive proprietary information, no less than reasonable care.</w:t>
      </w:r>
    </w:p>
    <w:p>
      <w:pPr>
        <w:pStyle w:val="Heading2"/>
        <w:spacing w:after="80" w:before="200"/>
      </w:pPr>
      <w:r>
        <w:rPr>
          <w:rFonts w:ascii="Arial" w:cs="Arial" w:eastAsia="Arial" w:hAnsi="Arial"/>
          <w:b/>
          <w:bCs/>
          <w:color w:val="0A0E12"/>
          <w:sz w:val="24"/>
          <w:szCs w:val="24"/>
        </w:rPr>
        <w:t xml:space="preserve">4.4 Permitted Disclosures</w:t>
      </w:r>
    </w:p>
    <w:p>
      <w:pPr>
        <w:spacing w:after="60" w:before="60"/>
      </w:pPr>
      <w:r>
        <w:rPr>
          <w:rFonts w:ascii="Arial" w:cs="Arial" w:eastAsia="Arial" w:hAnsi="Arial"/>
          <w:sz w:val="22"/>
          <w:szCs w:val="22"/>
        </w:rPr>
        <w:t xml:space="preserve">Disclosure permitted only to employees and professional advisers who: (a) have a need to know for the Purpose; (b) are informed of the confidential nature; and (c) are bound by equivalent confidentiality obligations.</w:t>
      </w:r>
    </w:p>
    <w:p>
      <w:pPr>
        <w:pStyle w:val="Heading2"/>
        <w:spacing w:after="80" w:before="200"/>
      </w:pPr>
      <w:r>
        <w:rPr>
          <w:rFonts w:ascii="Arial" w:cs="Arial" w:eastAsia="Arial" w:hAnsi="Arial"/>
          <w:b/>
          <w:bCs/>
          <w:color w:val="0A0E12"/>
          <w:sz w:val="24"/>
          <w:szCs w:val="24"/>
        </w:rPr>
        <w:t xml:space="preserve">4.5 Notice of Breach</w:t>
      </w:r>
    </w:p>
    <w:p>
      <w:pPr>
        <w:spacing w:after="60" w:before="60"/>
      </w:pPr>
      <w:r>
        <w:rPr>
          <w:rFonts w:ascii="Arial" w:cs="Arial" w:eastAsia="Arial" w:hAnsi="Arial"/>
          <w:sz w:val="22"/>
          <w:szCs w:val="22"/>
        </w:rPr>
        <w:t xml:space="preserve">The Receiving Party shall promptly notify Fly GACA upon discovering any actual or suspected unauthorized disclosure of Confidential Information.</w:t>
      </w:r>
    </w:p>
    <w:p>
      <w:r>
        <w:br w:type="page"/>
      </w:r>
    </w:p>
    <w:p>
      <w:pPr>
        <w:pStyle w:val="Heading1"/>
        <w:spacing w:after="120" w:before="300"/>
      </w:pPr>
      <w:r>
        <w:rPr>
          <w:rFonts w:ascii="Arial" w:cs="Arial" w:eastAsia="Arial" w:hAnsi="Arial"/>
          <w:b/>
          <w:bCs/>
          <w:color w:val="2D6E8A"/>
          <w:sz w:val="28"/>
          <w:szCs w:val="28"/>
        </w:rPr>
        <w:t xml:space="preserve">5. Term</w:t>
      </w:r>
    </w:p>
    <w:p>
      <w:pPr>
        <w:pStyle w:val="ListParagraph"/>
        <w:numPr>
          <w:ilvl w:val="0"/>
          <w:numId w:val="2"/>
        </w:numPr>
        <w:spacing w:after="40" w:before="40"/>
      </w:pPr>
      <w:r>
        <w:rPr>
          <w:rFonts w:ascii="Arial" w:cs="Arial" w:eastAsia="Arial" w:hAnsi="Arial"/>
          <w:sz w:val="22"/>
          <w:szCs w:val="22"/>
        </w:rPr>
        <w:t xml:space="preserve">General Confidential Information: three (3) years from the Effective Date</w:t>
      </w:r>
    </w:p>
    <w:p>
      <w:pPr>
        <w:pStyle w:val="ListParagraph"/>
        <w:numPr>
          <w:ilvl w:val="0"/>
          <w:numId w:val="2"/>
        </w:numPr>
        <w:spacing w:after="40" w:before="40"/>
      </w:pPr>
      <w:r>
        <w:rPr>
          <w:rFonts w:ascii="Arial" w:cs="Arial" w:eastAsia="Arial" w:hAnsi="Arial"/>
          <w:sz w:val="22"/>
          <w:szCs w:val="22"/>
        </w:rPr>
        <w:t xml:space="preserve">Trade secrets (technical architecture, AI design, GACAR indexing): five (5) years from the Effective Date</w:t>
      </w:r>
    </w:p>
    <w:p>
      <w:pPr>
        <w:pStyle w:val="ListParagraph"/>
        <w:numPr>
          <w:ilvl w:val="0"/>
          <w:numId w:val="2"/>
        </w:numPr>
        <w:spacing w:after="40" w:before="40"/>
      </w:pPr>
      <w:r>
        <w:rPr>
          <w:rFonts w:ascii="Arial" w:cs="Arial" w:eastAsia="Arial" w:hAnsi="Arial"/>
          <w:sz w:val="22"/>
          <w:szCs w:val="22"/>
        </w:rPr>
        <w:t xml:space="preserve">Personal data under Saudi PDPL: indefinitely until destroyed or returned as required by PDPL</w:t>
      </w:r>
    </w:p>
    <w:p>
      <w:pPr>
        <w:spacing w:after="60" w:before="60"/>
      </w:pPr>
      <w:r>
        <w:rPr>
          <w:rFonts w:ascii="Arial" w:cs="Arial" w:eastAsia="Arial" w:hAnsi="Arial"/>
          <w:sz w:val="22"/>
          <w:szCs w:val="22"/>
        </w:rPr>
        <w:t xml:space="preserve">Either Party may terminate upon thirty (30) days written notice; obligations for previously disclosed information survive for the periods above.</w:t>
      </w:r>
    </w:p>
    <w:p>
      <w:r>
        <w:br w:type="page"/>
      </w:r>
    </w:p>
    <w:p>
      <w:pPr>
        <w:pStyle w:val="Heading1"/>
        <w:spacing w:after="120" w:before="300"/>
      </w:pPr>
      <w:r>
        <w:rPr>
          <w:rFonts w:ascii="Arial" w:cs="Arial" w:eastAsia="Arial" w:hAnsi="Arial"/>
          <w:b/>
          <w:bCs/>
          <w:color w:val="2D6E8A"/>
          <w:sz w:val="28"/>
          <w:szCs w:val="28"/>
        </w:rPr>
        <w:t xml:space="preserve">6. No Solicitation of Personnel (12 Months)</w:t>
      </w:r>
    </w:p>
    <w:p>
      <w:pPr>
        <w:spacing w:after="60" w:before="60"/>
      </w:pPr>
      <w:r>
        <w:rPr>
          <w:rFonts w:ascii="Arial" w:cs="Arial" w:eastAsia="Arial" w:hAnsi="Arial"/>
          <w:sz w:val="22"/>
          <w:szCs w:val="22"/>
        </w:rPr>
        <w:t xml:space="preserve">During the term and for twelve (12) months after expiration or termination, the Receiving Party shall not directly or indirectly solicit, recruit, or hire any employee, officer, or contractor of Fly GACA introduced in connection with the Purpose.</w:t>
      </w:r>
    </w:p>
    <w:p>
      <w:r>
        <w:br w:type="page"/>
      </w:r>
    </w:p>
    <w:p>
      <w:pPr>
        <w:pStyle w:val="Heading1"/>
        <w:spacing w:after="120" w:before="300"/>
      </w:pPr>
      <w:r>
        <w:rPr>
          <w:rFonts w:ascii="Arial" w:cs="Arial" w:eastAsia="Arial" w:hAnsi="Arial"/>
          <w:b/>
          <w:bCs/>
          <w:color w:val="2D6E8A"/>
          <w:sz w:val="28"/>
          <w:szCs w:val="28"/>
        </w:rPr>
        <w:t xml:space="preserve">7. No License; No Obligation to Transact</w:t>
      </w:r>
    </w:p>
    <w:p>
      <w:pPr>
        <w:spacing w:after="60" w:before="60"/>
      </w:pPr>
      <w:r>
        <w:rPr>
          <w:rFonts w:ascii="Arial" w:cs="Arial" w:eastAsia="Arial" w:hAnsi="Arial"/>
          <w:sz w:val="22"/>
          <w:szCs w:val="22"/>
        </w:rPr>
        <w:t xml:space="preserve">This Agreement grants no license or IP rights of any kind. Fly GACA is not obligated to enter into any transaction or further agreement. All Confidential Information is provided "as is" without warranty.</w:t>
      </w:r>
    </w:p>
    <w:p>
      <w:r>
        <w:br w:type="page"/>
      </w:r>
    </w:p>
    <w:p>
      <w:pPr>
        <w:pStyle w:val="Heading1"/>
        <w:spacing w:after="120" w:before="300"/>
      </w:pPr>
      <w:r>
        <w:rPr>
          <w:rFonts w:ascii="Arial" w:cs="Arial" w:eastAsia="Arial" w:hAnsi="Arial"/>
          <w:b/>
          <w:bCs/>
          <w:color w:val="2D6E8A"/>
          <w:sz w:val="28"/>
          <w:szCs w:val="28"/>
        </w:rPr>
        <w:t xml:space="preserve">8. Return and Destruction</w:t>
      </w:r>
    </w:p>
    <w:p>
      <w:pPr>
        <w:spacing w:after="60" w:before="60"/>
      </w:pPr>
      <w:r>
        <w:rPr>
          <w:rFonts w:ascii="Arial" w:cs="Arial" w:eastAsia="Arial" w:hAnsi="Arial"/>
          <w:sz w:val="22"/>
          <w:szCs w:val="22"/>
        </w:rPr>
        <w:t xml:space="preserve">Upon Fly GACA request or Agreement termination: Receiving Party shall return or destroy all tangible and digital materials containing Confidential Information; delete all copies including cloud storage; and certify completion in writing within ten (10) business days. One archival copy may be retained by legal counsel for compliance.</w:t>
      </w:r>
    </w:p>
    <w:p>
      <w:r>
        <w:br w:type="page"/>
      </w:r>
    </w:p>
    <w:p>
      <w:pPr>
        <w:pStyle w:val="Heading1"/>
        <w:spacing w:after="120" w:before="300"/>
      </w:pPr>
      <w:r>
        <w:rPr>
          <w:rFonts w:ascii="Arial" w:cs="Arial" w:eastAsia="Arial" w:hAnsi="Arial"/>
          <w:b/>
          <w:bCs/>
          <w:color w:val="2D6E8A"/>
          <w:sz w:val="28"/>
          <w:szCs w:val="28"/>
        </w:rPr>
        <w:t xml:space="preserve">9. Equitable Remedies</w:t>
      </w:r>
    </w:p>
    <w:p>
      <w:pPr>
        <w:spacing w:after="60" w:before="60"/>
      </w:pPr>
      <w:r>
        <w:rPr>
          <w:rFonts w:ascii="Arial" w:cs="Arial" w:eastAsia="Arial" w:hAnsi="Arial"/>
          <w:sz w:val="22"/>
          <w:szCs w:val="22"/>
        </w:rPr>
        <w:t xml:space="preserve">The Receiving Party acknowledges that any breach may cause irreparable harm to Fly GACA inadequately compensated by monetary damages. Fly GACA may seek injunctive or equitable relief from any competent Saudi court without posting bond, in addition to all other available remedies.</w:t>
      </w:r>
    </w:p>
    <w:p>
      <w:r>
        <w:br w:type="page"/>
      </w:r>
    </w:p>
    <w:p>
      <w:pPr>
        <w:pStyle w:val="Heading1"/>
        <w:spacing w:after="120" w:before="300"/>
      </w:pPr>
      <w:r>
        <w:rPr>
          <w:rFonts w:ascii="Arial" w:cs="Arial" w:eastAsia="Arial" w:hAnsi="Arial"/>
          <w:b/>
          <w:bCs/>
          <w:color w:val="2D6E8A"/>
          <w:sz w:val="28"/>
          <w:szCs w:val="28"/>
        </w:rPr>
        <w:t xml:space="preserve">10. Governing Law and Dispute Resolution</w:t>
      </w:r>
    </w:p>
    <w:p>
      <w:pPr>
        <w:spacing w:after="60" w:before="60"/>
      </w:pPr>
      <w:r>
        <w:rPr>
          <w:rFonts w:ascii="Arial" w:cs="Arial" w:eastAsia="Arial" w:hAnsi="Arial"/>
          <w:sz w:val="22"/>
          <w:szCs w:val="22"/>
        </w:rPr>
        <w:t xml:space="preserve">Governed by Saudi law. Disputes resolved by: (1) good faith negotiation within 15 days; (2) non-binding SCCA mediation; (3) final binding SCCA arbitration, seat Riyadh, sole arbitrator, Arabic/English.</w:t>
      </w:r>
    </w:p>
    <w:p>
      <w:r>
        <w:br w:type="page"/>
      </w:r>
    </w:p>
    <w:p>
      <w:pPr>
        <w:pStyle w:val="Heading1"/>
        <w:spacing w:after="120" w:before="300"/>
      </w:pPr>
      <w:r>
        <w:rPr>
          <w:rFonts w:ascii="Arial" w:cs="Arial" w:eastAsia="Arial" w:hAnsi="Arial"/>
          <w:b/>
          <w:bCs/>
          <w:color w:val="2D6E8A"/>
          <w:sz w:val="28"/>
          <w:szCs w:val="28"/>
        </w:rPr>
        <w:t xml:space="preserve">11. General Provisions</w:t>
      </w:r>
    </w:p>
    <w:p>
      <w:pPr>
        <w:pStyle w:val="ListParagraph"/>
        <w:numPr>
          <w:ilvl w:val="0"/>
          <w:numId w:val="2"/>
        </w:numPr>
        <w:spacing w:after="40" w:before="40"/>
      </w:pPr>
      <w:r>
        <w:rPr>
          <w:rFonts w:ascii="Arial" w:cs="Arial" w:eastAsia="Arial" w:hAnsi="Arial"/>
          <w:sz w:val="22"/>
          <w:szCs w:val="22"/>
        </w:rPr>
        <w:t xml:space="preserve">Entire Agreement: constitutes the complete agreement on subject matter</w:t>
      </w:r>
    </w:p>
    <w:p>
      <w:pPr>
        <w:pStyle w:val="ListParagraph"/>
        <w:numPr>
          <w:ilvl w:val="0"/>
          <w:numId w:val="2"/>
        </w:numPr>
        <w:spacing w:after="40" w:before="40"/>
      </w:pPr>
      <w:r>
        <w:rPr>
          <w:rFonts w:ascii="Arial" w:cs="Arial" w:eastAsia="Arial" w:hAnsi="Arial"/>
          <w:sz w:val="22"/>
          <w:szCs w:val="22"/>
        </w:rPr>
        <w:t xml:space="preserve">Amendments: must be in writing signed by authorized representatives</w:t>
      </w:r>
    </w:p>
    <w:p>
      <w:pPr>
        <w:pStyle w:val="ListParagraph"/>
        <w:numPr>
          <w:ilvl w:val="0"/>
          <w:numId w:val="2"/>
        </w:numPr>
        <w:spacing w:after="40" w:before="40"/>
      </w:pPr>
      <w:r>
        <w:rPr>
          <w:rFonts w:ascii="Arial" w:cs="Arial" w:eastAsia="Arial" w:hAnsi="Arial"/>
          <w:sz w:val="22"/>
          <w:szCs w:val="22"/>
        </w:rPr>
        <w:t xml:space="preserve">Assignment: Receiving Party may not assign this Agreement without Fly GACA prior written consent</w:t>
      </w:r>
    </w:p>
    <w:p>
      <w:pPr>
        <w:pStyle w:val="ListParagraph"/>
        <w:numPr>
          <w:ilvl w:val="0"/>
          <w:numId w:val="2"/>
        </w:numPr>
        <w:spacing w:after="40" w:before="40"/>
      </w:pPr>
      <w:r>
        <w:rPr>
          <w:rFonts w:ascii="Arial" w:cs="Arial" w:eastAsia="Arial" w:hAnsi="Arial"/>
          <w:sz w:val="22"/>
          <w:szCs w:val="22"/>
        </w:rPr>
        <w:t xml:space="preserve">Severability: unenforceable provisions modified to minimum enforceable scope</w:t>
      </w:r>
    </w:p>
    <w:p>
      <w:pPr>
        <w:pStyle w:val="ListParagraph"/>
        <w:numPr>
          <w:ilvl w:val="0"/>
          <w:numId w:val="2"/>
        </w:numPr>
        <w:spacing w:after="40" w:before="40"/>
      </w:pPr>
      <w:r>
        <w:rPr>
          <w:rFonts w:ascii="Arial" w:cs="Arial" w:eastAsia="Arial" w:hAnsi="Arial"/>
          <w:sz w:val="22"/>
          <w:szCs w:val="22"/>
        </w:rPr>
        <w:t xml:space="preserve">Counterparts: may be executed in counterparts including electronic execution</w:t>
      </w:r>
    </w:p>
    <w:p>
      <w:pPr>
        <w:pStyle w:val="ListParagraph"/>
        <w:numPr>
          <w:ilvl w:val="0"/>
          <w:numId w:val="2"/>
        </w:numPr>
        <w:spacing w:after="40" w:before="40"/>
      </w:pPr>
      <w:r>
        <w:rPr>
          <w:rFonts w:ascii="Arial" w:cs="Arial" w:eastAsia="Arial" w:hAnsi="Arial"/>
          <w:sz w:val="22"/>
          <w:szCs w:val="22"/>
        </w:rPr>
        <w:t xml:space="preserve">Language: English primary; Arabic version may be prepared for KSA regulatory purposes</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FLY GACA SAUDI ARABIA (LLC) — Disclosing Party
Adel Yahya A. Madkhali, CEO</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[RECEIVING_PARTY_FULL_LEGAL_NAME] — Receiving Party
[SIGNATORY_NAME], [SIGNATORY_TITLE]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r>
        <w:br w:type="page"/>
      </w:r>
    </w:p>
    <w:p>
      <w:pPr>
        <w:pStyle w:val="Heading1"/>
        <w:spacing w:after="120" w:before="300"/>
      </w:pPr>
      <w:r>
        <w:rPr>
          <w:rFonts w:ascii="Arial" w:cs="Arial" w:eastAsia="Arial" w:hAnsi="Arial"/>
          <w:b/>
          <w:bCs/>
          <w:color w:val="2D6E8A"/>
          <w:sz w:val="28"/>
          <w:szCs w:val="28"/>
        </w:rPr>
        <w:t xml:space="preserve">Appendix A — Vendor / Contractor Disclosure Guide</w:t>
      </w:r>
    </w:p>
    <w:p>
      <w:pPr>
        <w:spacing w:after="60" w:before="60"/>
      </w:pPr>
      <w:r>
        <w:rPr>
          <w:rFonts w:ascii="Arial" w:cs="Arial" w:eastAsia="Arial" w:hAnsi="Arial"/>
          <w:sz w:val="22"/>
          <w:szCs w:val="22"/>
        </w:rPr>
        <w:t xml:space="preserve">Fly GACA applies a minimum-necessary disclosure principle. The following table guides the scope of Confidential Information appropriate for each vendor category:</w:t>
      </w:r>
    </w:p>
    <w:p>
      <w:pPr>
        <w:spacing w:after="80" w:before="80"/>
      </w:pPr>
      <w:r>
        <w:t xml:space="preserve"/>
      </w:r>
    </w:p>
    <w:p>
      <w:pPr>
        <w:spacing w:after="60" w:before="60"/>
      </w:pPr>
      <w:r>
        <w:rPr>
          <w:rFonts w:ascii="Arial" w:cs="Arial" w:eastAsia="Arial" w:hAnsi="Arial"/>
          <w:sz w:val="22"/>
          <w:szCs w:val="22"/>
        </w:rPr>
        <w:t xml:space="preserve">Software Development Contractors: May receive source code (read-limited), API documentation, product roadmap, and technical architecture. May NOT receive investor materials, cap table, or financial model.</w:t>
      </w:r>
    </w:p>
    <w:p>
      <w:pPr>
        <w:spacing w:after="60" w:before="60"/>
      </w:pPr>
      <w:r>
        <w:rPr>
          <w:rFonts w:ascii="Arial" w:cs="Arial" w:eastAsia="Arial" w:hAnsi="Arial"/>
          <w:sz w:val="22"/>
          <w:szCs w:val="22"/>
        </w:rPr>
        <w:t xml:space="preserve">Marketing and Content Agencies: May receive brand guidelines, marketing strategy, campaign briefs, and user research summaries. May NOT receive source code, AI model design, or investor materials.</w:t>
      </w:r>
    </w:p>
    <w:p>
      <w:pPr>
        <w:spacing w:after="60" w:before="60"/>
      </w:pPr>
      <w:r>
        <w:rPr>
          <w:rFonts w:ascii="Arial" w:cs="Arial" w:eastAsia="Arial" w:hAnsi="Arial"/>
          <w:sz w:val="22"/>
          <w:szCs w:val="22"/>
        </w:rPr>
        <w:t xml:space="preserve">Legal and Compliance Advisers: May receive all Confidential Information necessary for their mandate, subject to their own professional duties. Must execute this NDA in addition to professional obligations.</w:t>
      </w:r>
    </w:p>
    <w:p>
      <w:pPr>
        <w:spacing w:after="60" w:before="60"/>
      </w:pPr>
      <w:r>
        <w:rPr>
          <w:rFonts w:ascii="Arial" w:cs="Arial" w:eastAsia="Arial" w:hAnsi="Arial"/>
          <w:sz w:val="22"/>
          <w:szCs w:val="22"/>
        </w:rPr>
        <w:t xml:space="preserve">Prospective Academy Partners (Initial Evaluation): May receive product demo, pricing sheet, and platform overview. Full technical and financial disclosure requires upgrade to Mutual NDA.</w:t>
      </w:r>
    </w:p>
    <w:p>
      <w:pPr>
        <w:spacing w:after="60" w:before="60"/>
      </w:pPr>
      <w:r>
        <w:rPr>
          <w:rFonts w:ascii="Arial" w:cs="Arial" w:eastAsia="Arial" w:hAnsi="Arial"/>
          <w:sz w:val="22"/>
          <w:szCs w:val="22"/>
        </w:rPr>
        <w:t xml:space="preserve">Infrastructure and Cloud Vendors: May receive deployment architecture and performance requirements. May NOT receive proprietary AI models or GACAR library raw data without specific authorization.</w:t>
      </w:r>
    </w:p>
    <w:p>
      <w:r>
        <w:br w:type="page"/>
      </w:r>
    </w:p>
    <w:p>
      <w:pPr>
        <w:pStyle w:val="Heading1"/>
        <w:spacing w:after="120" w:before="300"/>
      </w:pPr>
      <w:r>
        <w:rPr>
          <w:rFonts w:ascii="Arial" w:cs="Arial" w:eastAsia="Arial" w:hAnsi="Arial"/>
          <w:b/>
          <w:bCs/>
          <w:color w:val="2D6E8A"/>
          <w:sz w:val="28"/>
          <w:szCs w:val="28"/>
        </w:rPr>
        <w:t xml:space="preserve">Appendix B — Saudi PDPL Compliance Note</w:t>
      </w:r>
    </w:p>
    <w:p>
      <w:pPr>
        <w:spacing w:after="60" w:before="60"/>
      </w:pPr>
      <w:r>
        <w:rPr>
          <w:rFonts w:ascii="Arial" w:cs="Arial" w:eastAsia="Arial" w:hAnsi="Arial"/>
          <w:sz w:val="22"/>
          <w:szCs w:val="22"/>
        </w:rPr>
        <w:t xml:space="preserve">This Agreement may involve personal data governed by Saudi PDPL (Royal Decree M/19). The following provisions supplement the confidentiality obligations with respect to personal data:</w:t>
      </w:r>
    </w:p>
    <w:p>
      <w:pPr>
        <w:pStyle w:val="ListParagraph"/>
        <w:numPr>
          <w:ilvl w:val="0"/>
          <w:numId w:val="2"/>
        </w:numPr>
        <w:spacing w:after="40" w:before="40"/>
      </w:pPr>
      <w:r>
        <w:rPr>
          <w:rFonts w:ascii="Arial" w:cs="Arial" w:eastAsia="Arial" w:hAnsi="Arial"/>
          <w:sz w:val="22"/>
          <w:szCs w:val="22"/>
        </w:rPr>
        <w:t xml:space="preserve">Personal data may only be processed for the Purpose and not for any secondary purpose</w:t>
      </w:r>
    </w:p>
    <w:p>
      <w:pPr>
        <w:pStyle w:val="ListParagraph"/>
        <w:numPr>
          <w:ilvl w:val="0"/>
          <w:numId w:val="2"/>
        </w:numPr>
        <w:spacing w:after="40" w:before="40"/>
      </w:pPr>
      <w:r>
        <w:rPr>
          <w:rFonts w:ascii="Arial" w:cs="Arial" w:eastAsia="Arial" w:hAnsi="Arial"/>
          <w:sz w:val="22"/>
          <w:szCs w:val="22"/>
        </w:rPr>
        <w:t xml:space="preserve">Any transfer of personal data outside Saudi Arabia requires SDAIA approval or recognized safeguard</w:t>
      </w:r>
    </w:p>
    <w:p>
      <w:pPr>
        <w:pStyle w:val="ListParagraph"/>
        <w:numPr>
          <w:ilvl w:val="0"/>
          <w:numId w:val="2"/>
        </w:numPr>
        <w:spacing w:after="40" w:before="40"/>
      </w:pPr>
      <w:r>
        <w:rPr>
          <w:rFonts w:ascii="Arial" w:cs="Arial" w:eastAsia="Arial" w:hAnsi="Arial"/>
          <w:sz w:val="22"/>
          <w:szCs w:val="22"/>
        </w:rPr>
        <w:t xml:space="preserve">The Receiving Party shall implement appropriate technical and organizational security measures</w:t>
      </w:r>
    </w:p>
    <w:p>
      <w:pPr>
        <w:pStyle w:val="ListParagraph"/>
        <w:numPr>
          <w:ilvl w:val="0"/>
          <w:numId w:val="2"/>
        </w:numPr>
        <w:spacing w:after="40" w:before="40"/>
      </w:pPr>
      <w:r>
        <w:rPr>
          <w:rFonts w:ascii="Arial" w:cs="Arial" w:eastAsia="Arial" w:hAnsi="Arial"/>
          <w:sz w:val="22"/>
          <w:szCs w:val="22"/>
        </w:rPr>
        <w:t xml:space="preserve">In the event of a personal data breach, notify Fly GACA within seventy-two (72) hours and SDAIA if required</w:t>
      </w:r>
    </w:p>
    <w:p>
      <w:pPr>
        <w:pStyle w:val="ListParagraph"/>
        <w:numPr>
          <w:ilvl w:val="0"/>
          <w:numId w:val="2"/>
        </w:numPr>
        <w:spacing w:after="40" w:before="40"/>
      </w:pPr>
      <w:r>
        <w:rPr>
          <w:rFonts w:ascii="Arial" w:cs="Arial" w:eastAsia="Arial" w:hAnsi="Arial"/>
          <w:sz w:val="22"/>
          <w:szCs w:val="22"/>
        </w:rPr>
        <w:t xml:space="preserve">Upon termination, delete or return all personal data and certify in writing within five (5) business days</w:t>
      </w:r>
    </w:p>
    <w:p>
      <w:pPr>
        <w:pStyle w:val="ListParagraph"/>
        <w:numPr>
          <w:ilvl w:val="0"/>
          <w:numId w:val="2"/>
        </w:numPr>
        <w:spacing w:after="40" w:before="40"/>
      </w:pPr>
      <w:r>
        <w:rPr>
          <w:rFonts w:ascii="Arial" w:cs="Arial" w:eastAsia="Arial" w:hAnsi="Arial"/>
          <w:sz w:val="22"/>
          <w:szCs w:val="22"/>
        </w:rPr>
        <w:t xml:space="preserve">Cooperate in responding to data subject rights requests under PDPL within statutory timeframes</w:t>
      </w:r>
    </w:p>
    <w:p>
      <w:r>
        <w:br w:type="page"/>
      </w:r>
    </w:p>
    <w:p>
      <w:pPr>
        <w:pStyle w:val="Heading1"/>
        <w:spacing w:after="120" w:before="300"/>
      </w:pPr>
      <w:r>
        <w:rPr>
          <w:rFonts w:ascii="Arial" w:cs="Arial" w:eastAsia="Arial" w:hAnsi="Arial"/>
          <w:b/>
          <w:bCs/>
          <w:color w:val="2D6E8A"/>
          <w:sz w:val="28"/>
          <w:szCs w:val="28"/>
        </w:rPr>
        <w:t xml:space="preserve">Appendix C — One-Way NDA Execution Checklist</w:t>
      </w:r>
    </w:p>
    <w:p>
      <w:pPr>
        <w:pStyle w:val="ListParagraph"/>
        <w:numPr>
          <w:ilvl w:val="0"/>
          <w:numId w:val="2"/>
        </w:numPr>
        <w:spacing w:after="40" w:before="40"/>
      </w:pPr>
      <w:r>
        <w:rPr>
          <w:rFonts w:ascii="Arial" w:cs="Arial" w:eastAsia="Arial" w:hAnsi="Arial"/>
          <w:sz w:val="22"/>
          <w:szCs w:val="22"/>
        </w:rPr>
        <w:t xml:space="preserve">Confirm Receiving Party legal name, registration number, and signatory authority</w:t>
      </w:r>
    </w:p>
    <w:p>
      <w:pPr>
        <w:pStyle w:val="ListParagraph"/>
        <w:numPr>
          <w:ilvl w:val="0"/>
          <w:numId w:val="2"/>
        </w:numPr>
        <w:spacing w:after="40" w:before="40"/>
      </w:pPr>
      <w:r>
        <w:rPr>
          <w:rFonts w:ascii="Arial" w:cs="Arial" w:eastAsia="Arial" w:hAnsi="Arial"/>
          <w:sz w:val="22"/>
          <w:szCs w:val="22"/>
        </w:rPr>
        <w:t xml:space="preserve">Describe the Purpose accurately and specifically in Section 1 before signing</w:t>
      </w:r>
    </w:p>
    <w:p>
      <w:pPr>
        <w:pStyle w:val="ListParagraph"/>
        <w:numPr>
          <w:ilvl w:val="0"/>
          <w:numId w:val="2"/>
        </w:numPr>
        <w:spacing w:after="40" w:before="40"/>
      </w:pPr>
      <w:r>
        <w:rPr>
          <w:rFonts w:ascii="Arial" w:cs="Arial" w:eastAsia="Arial" w:hAnsi="Arial"/>
          <w:sz w:val="22"/>
          <w:szCs w:val="22"/>
        </w:rPr>
        <w:t xml:space="preserve">Limit initial disclosure to the minimum information necessary for the Purpose</w:t>
      </w:r>
    </w:p>
    <w:p>
      <w:pPr>
        <w:pStyle w:val="ListParagraph"/>
        <w:numPr>
          <w:ilvl w:val="0"/>
          <w:numId w:val="2"/>
        </w:numPr>
        <w:spacing w:after="40" w:before="40"/>
      </w:pPr>
      <w:r>
        <w:rPr>
          <w:rFonts w:ascii="Arial" w:cs="Arial" w:eastAsia="Arial" w:hAnsi="Arial"/>
          <w:sz w:val="22"/>
          <w:szCs w:val="22"/>
        </w:rPr>
        <w:t xml:space="preserve">Apply the disclosure guide in Appendix A to select appropriate materials</w:t>
      </w:r>
    </w:p>
    <w:p>
      <w:pPr>
        <w:pStyle w:val="ListParagraph"/>
        <w:numPr>
          <w:ilvl w:val="0"/>
          <w:numId w:val="2"/>
        </w:numPr>
        <w:spacing w:after="40" w:before="40"/>
      </w:pPr>
      <w:r>
        <w:rPr>
          <w:rFonts w:ascii="Arial" w:cs="Arial" w:eastAsia="Arial" w:hAnsi="Arial"/>
          <w:sz w:val="22"/>
          <w:szCs w:val="22"/>
        </w:rPr>
        <w:t xml:space="preserve">Retain an executed copy (PDF or wet-ink) in Fly GACA contract register</w:t>
      </w:r>
    </w:p>
    <w:p>
      <w:pPr>
        <w:pStyle w:val="ListParagraph"/>
        <w:numPr>
          <w:ilvl w:val="0"/>
          <w:numId w:val="2"/>
        </w:numPr>
        <w:spacing w:after="40" w:before="40"/>
      </w:pPr>
      <w:r>
        <w:rPr>
          <w:rFonts w:ascii="Arial" w:cs="Arial" w:eastAsia="Arial" w:hAnsi="Arial"/>
          <w:sz w:val="22"/>
          <w:szCs w:val="22"/>
        </w:rPr>
        <w:t xml:space="preserve">Set calendar reminder at 3-year mark to assess renewal or termination notice</w:t>
      </w:r>
    </w:p>
    <w:p>
      <w:pPr>
        <w:pStyle w:val="ListParagraph"/>
        <w:numPr>
          <w:ilvl w:val="0"/>
          <w:numId w:val="2"/>
        </w:numPr>
        <w:spacing w:after="40" w:before="40"/>
      </w:pPr>
      <w:r>
        <w:rPr>
          <w:rFonts w:ascii="Arial" w:cs="Arial" w:eastAsia="Arial" w:hAnsi="Arial"/>
          <w:sz w:val="22"/>
          <w:szCs w:val="22"/>
        </w:rPr>
        <w:t xml:space="preserve">If Receiving Party is a Saudi entity: confirm MISA registration and CR validity before disclosing</w:t>
      </w:r>
    </w:p>
    <w:p>
      <w:pPr>
        <w:pStyle w:val="ListParagraph"/>
        <w:numPr>
          <w:ilvl w:val="0"/>
          <w:numId w:val="2"/>
        </w:numPr>
        <w:spacing w:after="40" w:before="40"/>
      </w:pPr>
      <w:r>
        <w:rPr>
          <w:rFonts w:ascii="Arial" w:cs="Arial" w:eastAsia="Arial" w:hAnsi="Arial"/>
          <w:sz w:val="22"/>
          <w:szCs w:val="22"/>
        </w:rPr>
        <w:t xml:space="preserve">Log the agreement in Fly GACA vendor management system with expiry tracking</w:t>
      </w:r>
    </w:p>
    <w:p>
      <w:r>
        <w:br w:type="page"/>
      </w:r>
    </w:p>
    <w:p>
      <w:pPr>
        <w:pStyle w:val="Heading1"/>
        <w:spacing w:after="120" w:before="300"/>
      </w:pPr>
      <w:r>
        <w:rPr>
          <w:rFonts w:ascii="Arial" w:cs="Arial" w:eastAsia="Arial" w:hAnsi="Arial"/>
          <w:b/>
          <w:bCs/>
          <w:color w:val="2D6E8A"/>
          <w:sz w:val="28"/>
          <w:szCs w:val="28"/>
        </w:rPr>
        <w:t xml:space="preserve">Appendix D — Vendor Information Risk Tiers</w:t>
      </w:r>
    </w:p>
    <w:p>
      <w:pPr>
        <w:spacing w:after="60" w:before="60"/>
      </w:pPr>
      <w:r>
        <w:rPr>
          <w:rFonts w:ascii="Arial" w:cs="Arial" w:eastAsia="Arial" w:hAnsi="Arial"/>
          <w:sz w:val="22"/>
          <w:szCs w:val="22"/>
        </w:rPr>
        <w:t xml:space="preserve">Fly GACA applies a minimum-necessary disclosure principle. The following tiers guide disclosure scope under this One-Way 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tblGrid>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Information Type</w:t>
            </w:r>
          </w:p>
        </w:tc>
      </w:tr>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 1 — Public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Marketing materials, public product documentation, general company description</w:t>
            </w:r>
          </w:p>
        </w:tc>
      </w:tr>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 2 — Restricted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Pricing, roadmap, brand guidelines, campaign strategy, user research summaries</w:t>
            </w:r>
          </w:p>
        </w:tc>
      </w:tr>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 3 — Highly Confidential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code, AI architecture, GACAR indexing, investor materials, cap table, financial model</w:t>
            </w:r>
          </w:p>
        </w:tc>
      </w:tr>
    </w:tbl>
    <w:p>
      <w:pPr>
        <w:spacing w:after="80" w:before="80"/>
      </w:pPr>
      <w:r>
        <w:t xml:space="preserve"/>
      </w:r>
    </w:p>
    <w:p>
      <w:pPr>
        <w:spacing w:after="60" w:before="60"/>
      </w:pPr>
      <w:r>
        <w:rPr>
          <w:rFonts w:ascii="Arial" w:cs="Arial" w:eastAsia="Arial" w:hAnsi="Arial"/>
          <w:sz w:val="22"/>
          <w:szCs w:val="22"/>
        </w:rPr>
        <w:t xml:space="preserve">Vendors accessing Tier 3 information must additionally: (a) complete Fly GACA vendor security questionnaire; (b) provide evidence of ISO 27001 certification or equivalent; and (c) sign a Data Processing Agreement (DPA) if processing personal data.</w:t>
      </w:r>
    </w:p>
    <w:p>
      <w:r>
        <w:br w:type="page"/>
      </w:r>
    </w:p>
    <w:p>
      <w:pPr>
        <w:pStyle w:val="Heading1"/>
        <w:spacing w:after="120" w:before="300"/>
      </w:pPr>
      <w:r>
        <w:rPr>
          <w:rFonts w:ascii="Arial" w:cs="Arial" w:eastAsia="Arial" w:hAnsi="Arial"/>
          <w:b/>
          <w:bCs/>
          <w:color w:val="2D6E8A"/>
          <w:sz w:val="28"/>
          <w:szCs w:val="28"/>
        </w:rPr>
        <w:t xml:space="preserve">Appendix E — Contractual Safeguards Stack</w:t>
      </w:r>
    </w:p>
    <w:p>
      <w:pPr>
        <w:spacing w:after="60" w:before="60"/>
      </w:pPr>
      <w:r>
        <w:rPr>
          <w:rFonts w:ascii="Arial" w:cs="Arial" w:eastAsia="Arial" w:hAnsi="Arial"/>
          <w:sz w:val="22"/>
          <w:szCs w:val="22"/>
        </w:rPr>
        <w:t xml:space="preserve">This One-Way NDA provides the confidentiality layer of the vendor relationship. Additional contracts are typically required for complete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Protection Objective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Instrument</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Confidentiality of Fly GACA IP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This One-Way NDA</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Assignment of vendor-created IP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Assignment Agreement (mandatory for all development vendors)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PDPL / data protection compliance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Processing Agreement (DPA) — required if vendor processes personal data</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Non-poaching of Fly GACA employees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This One-Way NDA, Section 6 (12-month restriction)</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Non-competition post-engagement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Contractor Agreement / Employment Contract</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Delivery and service level obligations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Statement of Work (SOW) or Service Agreement</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Payment terms and milestones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Purchase Order or Master Service Agreement</w:t>
            </w:r>
          </w:p>
        </w:tc>
      </w:tr>
    </w:tbl>
    <w:p>
      <w:r>
        <w:br w:type="page"/>
      </w:r>
    </w:p>
    <w:p>
      <w:pPr>
        <w:pStyle w:val="Heading1"/>
        <w:spacing w:after="120" w:before="300"/>
      </w:pPr>
      <w:r>
        <w:rPr>
          <w:rFonts w:ascii="Arial" w:cs="Arial" w:eastAsia="Arial" w:hAnsi="Arial"/>
          <w:b/>
          <w:bCs/>
          <w:color w:val="2D6E8A"/>
          <w:sz w:val="28"/>
          <w:szCs w:val="28"/>
        </w:rPr>
        <w:t xml:space="preserve">Appendix F — One-Way NDA Metrics Tracking</w:t>
      </w:r>
    </w:p>
    <w:p>
      <w:pPr>
        <w:spacing w:after="60" w:before="60"/>
      </w:pPr>
      <w:r>
        <w:rPr>
          <w:rFonts w:ascii="Arial" w:cs="Arial" w:eastAsia="Arial" w:hAnsi="Arial"/>
          <w:sz w:val="22"/>
          <w:szCs w:val="22"/>
        </w:rPr>
        <w:t xml:space="preserve">Fly GACA shall maintain a vendor NDA register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Entry</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NDA Reference 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[NDA-OW-2026-XXX]</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Vendor / Receiving Party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[VENDOR_FULL_LEGAL_NAME]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Engagement Purpose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Information Tier Authorized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[TIER 2 / TIER 3]</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General Info Expiry (3 years)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+ 3 YEARS]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Trade Secret Expiry (5 years)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+ 5 YEARS]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Materials Shared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OF DOCUMENTS]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Return/Destruction Confirmed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 NO / DATE]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 EXPIRED / TERMINATED]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2026-05-05T01:46:48.732Z</dcterms:created>
  <dcterms:modified xsi:type="dcterms:W3CDTF">2026-05-05T01:46:48.732Z</dcterms:modified>
</cp:coreProperties>
</file>

<file path=docProps/custom.xml><?xml version="1.0" encoding="utf-8"?>
<Properties xmlns="http://schemas.openxmlformats.org/officeDocument/2006/custom-properties" xmlns:vt="http://schemas.openxmlformats.org/officeDocument/2006/docPropsVTypes"/>
</file>