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8A04A" w:sz="12"/>
              <w:right w:val="none"/>
            </w:tcBorders>
            <w:shd w:fill="2D6E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FLY GACA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4A"/>
                <w:sz w:val="28"/>
                <w:szCs w:val="28"/>
              </w:rPr>
              <w:t xml:space="preserve">Finance &amp; Accounting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Chart of Accounts (Saudi-Specific)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Finance &amp; Accounting  ·  v1.0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i@flygaca.com  ·  +966 51 096 6969  ·  flygaca.com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8A04A" w:sz="4"/>
              <w:left w:val="single" w:color="2D6E8A" w:sz="12"/>
              <w:bottom w:val="single" w:color="C8A04A" w:sz="4"/>
              <w:right w:val="none" w:color="FFFFFF" w:sz="0"/>
            </w:tcBorders>
            <w:shd w:fill="B5DDC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12"/>
                <w:sz w:val="20"/>
                <w:szCs w:val="20"/>
              </w:rPr>
              <w:t xml:space="preserve">Why This Matters  </w:t>
            </w: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 well-structured chart of accounts is the backbone of financial transparency. Aligned to ZATCA reporting requirements and IFRS for SMEs, this CoA enables Fly GACA to produce investor-grade financials, support VAT filings, and scale without re-architecting.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Overview &amp; Standards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applies IFRS for SMEs as its primary accounting framework, consistent with SOCPA guidance and ZATCA e-invoicing requirements. 4-digit numbering scheme; two reserved digits for sub-accounts. Accounting year-end: 31 December (Gregorian). Base currency: SAR. USD exposure tracked for COGS (Gemini API, Firebase). VAT: 15% standard rate. WHT tracked per Saudi Income Tax Law.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Note on Saudi GAAP vs IFRS: Saudi GAAP (historical) was used pre-2017. SOCPA mandated IFRS adoption for most entities by 2018-2020. Fly GACA adopts IFRS for SMEs — required for VC-backed Saudi startups seeking audit readiness and foreign investment. Key differences: no asset revaluation model; simplified financial instruments; no mandatory segment reporting. Full IFRS may be adopted pre-IPO.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Assets (1000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ZATCA Note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ASSETS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Cash &amp; Cash Equivalents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All bank accounts and petty cash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 Rajhi Operating Account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Primary SAR current account — day-to-day operations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SNB Savings Account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Secondary savings / liquidity buffer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Petty Cash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Office petty cash fund — maximum 2,000 SAR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Accounts Receivable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Outstanding customer invoices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 — Pro Subscriptions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Individual and team subscriber receivables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 — Academy Contracts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Aviation academy B2B receivables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Prepaid 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Prepaid SaaS, rent, insurance — amortize over benefit period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Property &amp; Equipment (Net)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Fixed assets at cost less accumulated depreciation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Computers &amp; Hardware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3-year straight-line depreciation; threshold 2,500 SAR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Furniture &amp; Fixtures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5-year straight-line depreciation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Intangible Assets (Net)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Internally generated IP and purchased licenses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Software Licenses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Annual SaaS or perpetual; amortize per term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IP &amp; Trademarks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5-year amortization or legal life, whichever shorter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Liabilities (2000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ZATCA Note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LIABILITIES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Accounts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Vendor invoices received, not yet paid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Accrued 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Expenses incurred, not yet invoiced by vendor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Accrued Payroll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earned not yet paid at period end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Deferred Revenue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Subscription payments received in advance; recognize monthly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General Organization for Social Insurance — contributions due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Withholding Tax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WHT on foreign vendor payments (5-15% per GAZT schedule)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VAT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Net output VAT less recoverable input VAT — filed with ZATCA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2500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Loans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Bank or third-party loan facilities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2600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Convertible Note Payable (SAFE)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3M SAR bridge raise; record at face value until conversion event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Equity (3000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EQUITY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Equity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Captain Adel initial and subsequent capital contributions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ESOP Reserve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Employee stock option pool — authorized but not yet issued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Retained Earnings / (Deficit)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Cumulative net income / (loss) since inception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Revenue (4000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VAT Treatment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REVENUE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 Subscriptions — Monthly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SaaS MRR; VAT 15% collected via Moyasar; recognize in period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4110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 Subscriptions — Annual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Recognize monthly over 12-month period; excess to 2300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Academy Contracts — B2B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Training platform licenses; VAT 15%; WHT if foreign academy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White-Label Licensing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Platform white-label fees; recognize per IFRS 15 milestones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Other Income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Government grants (IAS 20), referrals, miscellaneous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Expenses (5000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COGS — Gemini API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Google AI API usage costs; USD-billed; WHT may apply per treaty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5110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COGS — Firebase Hosting (me-central2)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Cloud hosting, Firestore, Storage; USD-billed; revalue monthly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5120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COGS — Moyasar Transaction Fees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2.7% + 1 SAR per transaction; deduct from gross revenue settlements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Engineering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Target 28,000-32,000 SAR/month per engineer (GOSI-subject)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Founder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salary per board resolution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Customer Success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CS team compensation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Marketing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Marketing team compensation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— Employer Contribution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12% Saudi nationals / 2% expatriates on gross basic salary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Marketing &amp; GTM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Digital advertising, events, content, partnerships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5500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Office Rent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Monthly lease; ZATCA-compliant invoice required for VAT recovery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5600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Software &amp; SaaS Tools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Non-COGS subscriptions (Zoho, Slack, productivity tools)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5700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Legal &amp; Professional Fees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Retained counsel, audit, accounting firm, SOCPA-accredited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5800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Travel &amp; Entertainment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 Expense &amp; Travel Policy; ZATCA invoice for VAT recovery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5900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Other Operating 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Miscellaneous; must include description and approval reference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Finance  ·  Confidential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2026-05-05T03:34:26.377Z</dcterms:created>
  <dcterms:modified xsi:type="dcterms:W3CDTF">2026-05-05T03:34:26.377Z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