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none"/>
              <w:left w:val="none"/>
              <w:bottom w:val="single" w:color="C8A04A" w:sz="12"/>
              <w:right w:val="none"/>
            </w:tcBorders>
            <w:shd w:fill="2D6E8A" w:val="clear"/>
            <w:tcMar>
              <w:top w:type="dxa" w:w="280"/>
              <w:left w:type="dxa" w:w="400"/>
              <w:bottom w:type="dxa" w:w="280"/>
              <w:right w:type="dxa" w:w="400"/>
            </w:tcMar>
          </w:tcPr>
          <w:p>
            <w:pPr>
              <w:jc w:val="center"/>
            </w:pPr>
            <w:r>
              <w:rPr>
                <w:rFonts w:ascii="Arial" w:cs="Arial" w:eastAsia="Arial" w:hAnsi="Arial"/>
                <w:b/>
                <w:bCs/>
                <w:color w:val="FFFFFF"/>
                <w:sz w:val="52"/>
                <w:szCs w:val="52"/>
              </w:rPr>
              <w:t xml:space="preserve">FLY GACA</w:t>
            </w:r>
          </w:p>
          <w:p>
            <w:pPr>
              <w:jc w:val="center"/>
            </w:pPr>
            <w:r>
              <w:rPr>
                <w:rFonts w:ascii="Arial" w:cs="Arial" w:eastAsia="Arial" w:hAnsi="Arial"/>
                <w:b/>
                <w:bCs/>
                <w:color w:val="C8A04A"/>
                <w:sz w:val="28"/>
                <w:szCs w:val="28"/>
              </w:rPr>
              <w:t xml:space="preserve">Finance &amp; Accounting</w:t>
            </w:r>
          </w:p>
        </w:tc>
      </w:tr>
    </w:tbl>
    <w:p>
      <w:pPr>
        <w:spacing w:after="0" w:before="120"/>
      </w:pPr>
      <w:r>
        <w:t xml:space="preserve"/>
      </w:r>
    </w:p>
    <w:p>
      <w:pPr>
        <w:spacing w:after="200" w:before="200"/>
        <w:jc w:val="center"/>
      </w:pPr>
      <w:r>
        <w:rPr>
          <w:rFonts w:ascii="Arial" w:cs="Arial" w:eastAsia="Arial" w:hAnsi="Arial"/>
          <w:b/>
          <w:bCs/>
          <w:color w:val="2D6E8A"/>
          <w:sz w:val="48"/>
          <w:szCs w:val="48"/>
        </w:rPr>
        <w:t xml:space="preserve">Petty Cash Policy</w:t>
      </w:r>
    </w:p>
    <w:p>
      <w:pPr>
        <w:spacing w:after="80" w:before="80"/>
        <w:jc w:val="center"/>
      </w:pPr>
      <w:r>
        <w:rPr>
          <w:rFonts w:ascii="Arial" w:cs="Arial" w:eastAsia="Arial" w:hAnsi="Arial"/>
          <w:color w:val="555555"/>
          <w:sz w:val="20"/>
          <w:szCs w:val="20"/>
        </w:rPr>
        <w:t xml:space="preserve">Fly GACA  ·  Finance &amp; Accounting  ·  v1.0  ·  May 2026</w:t>
      </w:r>
    </w:p>
    <w:p>
      <w:pPr>
        <w:spacing w:after="40" w:before="40"/>
        <w:jc w:val="center"/>
      </w:pPr>
      <w:r>
        <w:rPr>
          <w:rFonts w:ascii="Arial" w:cs="Arial" w:eastAsia="Arial" w:hAnsi="Arial"/>
          <w:color w:val="555555"/>
          <w:sz w:val="20"/>
          <w:szCs w:val="20"/>
        </w:rPr>
        <w:t xml:space="preserve">Captain Adel Yahya A. Madkhali, Founder</w:t>
      </w:r>
    </w:p>
    <w:p>
      <w:pPr>
        <w:spacing w:after="80" w:before="40"/>
        <w:jc w:val="center"/>
      </w:pPr>
      <w:r>
        <w:rPr>
          <w:rFonts w:ascii="Arial" w:cs="Arial" w:eastAsia="Arial" w:hAnsi="Arial"/>
          <w:color w:val="555555"/>
          <w:sz w:val="18"/>
          <w:szCs w:val="18"/>
        </w:rPr>
        <w:t xml:space="preserve">i@flygaca.com  ·  +966 51 096 6969  ·  flygaca.com</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C8A04A" w:sz="4"/>
              <w:left w:val="single" w:color="2D6E8A" w:sz="12"/>
              <w:bottom w:val="single" w:color="C8A04A" w:sz="4"/>
              <w:right w:val="none" w:color="FFFFFF" w:sz="0"/>
            </w:tcBorders>
            <w:shd w:fill="B5DDC2" w:val="clear"/>
            <w:tcMar>
              <w:top w:type="dxa" w:w="120"/>
              <w:left w:type="dxa" w:w="180"/>
              <w:bottom w:type="dxa" w:w="120"/>
              <w:right w:type="dxa" w:w="180"/>
            </w:tcMar>
          </w:tcPr>
          <w:p>
            <w:pPr>
              <w:spacing w:after="0" w:before="0"/>
            </w:pPr>
            <w:r>
              <w:rPr>
                <w:rFonts w:ascii="Arial" w:cs="Arial" w:eastAsia="Arial" w:hAnsi="Arial"/>
                <w:b/>
                <w:bCs/>
                <w:color w:val="0A0E12"/>
                <w:sz w:val="20"/>
                <w:szCs w:val="20"/>
              </w:rPr>
              <w:t xml:space="preserve">Why This Matters  </w:t>
            </w:r>
            <w:r>
              <w:rPr>
                <w:rFonts w:ascii="Arial" w:cs="Arial" w:eastAsia="Arial" w:hAnsi="Arial"/>
                <w:color w:val="0A0E12"/>
                <w:sz w:val="20"/>
                <w:szCs w:val="20"/>
              </w:rPr>
              <w:t xml:space="preserve">A small, controlled petty cash fund eliminates the need for corporate cards for minor office needs. Strict controls prevent misuse and ensure every SAR is accounted for — a key signal of financial discipline to auditors and investors.</w:t>
            </w:r>
          </w:p>
        </w:tc>
      </w:tr>
    </w:tbl>
    <w:p>
      <w:pPr>
        <w:spacing w:after="0" w:before="120"/>
      </w:pPr>
      <w:r>
        <w:t xml:space="preserve"/>
      </w:r>
    </w:p>
    <w:p>
      <w:pPr>
        <w:spacing w:after="120" w:before="240"/>
      </w:pPr>
      <w:r>
        <w:rPr>
          <w:rFonts w:ascii="Arial" w:cs="Arial" w:eastAsia="Arial" w:hAnsi="Arial"/>
          <w:b/>
          <w:bCs/>
          <w:color w:val="2D6E8A"/>
          <w:sz w:val="28"/>
          <w:szCs w:val="28"/>
        </w:rPr>
        <w:t xml:space="preserve">1. Purpose &amp; Scope</w:t>
      </w:r>
    </w:p>
    <w:p>
      <w:pPr>
        <w:spacing w:after="60" w:before="60"/>
      </w:pPr>
      <w:r>
        <w:rPr>
          <w:rFonts w:ascii="Arial" w:cs="Arial" w:eastAsia="Arial" w:hAnsi="Arial"/>
          <w:color w:val="0A0E12"/>
          <w:sz w:val="22"/>
          <w:szCs w:val="22"/>
        </w:rPr>
        <w:t xml:space="preserve">This policy establishes the management, use, and control of the petty cash fund maintained at the Fly GACA office. The fund is intended exclusively for small, immediate business expenses where corporate card or purchase order processing is impractical.</w:t>
      </w:r>
    </w:p>
    <w:p>
      <w:pPr>
        <w:spacing w:after="120" w:before="240"/>
      </w:pPr>
      <w:r>
        <w:rPr>
          <w:rFonts w:ascii="Arial" w:cs="Arial" w:eastAsia="Arial" w:hAnsi="Arial"/>
          <w:b/>
          <w:bCs/>
          <w:color w:val="2D6E8A"/>
          <w:sz w:val="28"/>
          <w:szCs w:val="28"/>
        </w:rPr>
        <w:t xml:space="preserve">2. Fund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Parameter</w:t>
            </w:r>
          </w:p>
        </w:tc>
        <w:tc>
          <w:tcPr>
            <w:tcW w:type="dxa" w:w="42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Value / Detail</w:t>
            </w:r>
          </w:p>
        </w:tc>
      </w:tr>
      <w:tr>
        <w:tc>
          <w:tcPr>
            <w:tcW w:type="dxa" w:w="2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Maximum Fund Balance</w:t>
            </w:r>
          </w:p>
        </w:tc>
        <w:tc>
          <w:tcPr>
            <w:tcW w:type="dxa" w:w="4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2,000 SAR</w:t>
            </w:r>
          </w:p>
        </w:tc>
      </w:tr>
      <w:tr>
        <w:tc>
          <w:tcPr>
            <w:tcW w:type="dxa" w:w="2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Custodian</w:t>
            </w:r>
          </w:p>
        </w:tc>
        <w:tc>
          <w:tcPr>
            <w:tcW w:type="dxa" w:w="4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Office Manager (COO until Office Manager is hired)</w:t>
            </w:r>
          </w:p>
        </w:tc>
      </w:tr>
      <w:tr>
        <w:tc>
          <w:tcPr>
            <w:tcW w:type="dxa" w:w="2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Backup Custodian</w:t>
            </w:r>
          </w:p>
        </w:tc>
        <w:tc>
          <w:tcPr>
            <w:tcW w:type="dxa" w:w="4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Founder (Captain Adel Yahya A. Madkhali)</w:t>
            </w:r>
          </w:p>
        </w:tc>
      </w:tr>
      <w:tr>
        <w:tc>
          <w:tcPr>
            <w:tcW w:type="dxa" w:w="2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Storage</w:t>
            </w:r>
          </w:p>
        </w:tc>
        <w:tc>
          <w:tcPr>
            <w:tcW w:type="dxa" w:w="4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Locked metal cash box; key held by custodian only; stored in office secure area</w:t>
            </w:r>
          </w:p>
        </w:tc>
      </w:tr>
      <w:tr>
        <w:tc>
          <w:tcPr>
            <w:tcW w:type="dxa" w:w="2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Replenishment Trigger</w:t>
            </w:r>
          </w:p>
        </w:tc>
        <w:tc>
          <w:tcPr>
            <w:tcW w:type="dxa" w:w="4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When balance falls below 500 SAR</w:t>
            </w:r>
          </w:p>
        </w:tc>
      </w:tr>
      <w:tr>
        <w:tc>
          <w:tcPr>
            <w:tcW w:type="dxa" w:w="2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Replenishment Approval</w:t>
            </w:r>
          </w:p>
        </w:tc>
        <w:tc>
          <w:tcPr>
            <w:tcW w:type="dxa" w:w="4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Founder approval required; reimbursement to 2,000 SAR</w:t>
            </w:r>
          </w:p>
        </w:tc>
      </w:tr>
      <w:tr>
        <w:tc>
          <w:tcPr>
            <w:tcW w:type="dxa" w:w="2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Review Frequency</w:t>
            </w:r>
          </w:p>
        </w:tc>
        <w:tc>
          <w:tcPr>
            <w:tcW w:type="dxa" w:w="4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Monthly reconciliation; quarterly surprise count by external accountant</w:t>
            </w:r>
          </w:p>
        </w:tc>
      </w:tr>
    </w:tbl>
    <w:p>
      <w:pPr>
        <w:spacing w:after="120" w:before="240"/>
      </w:pPr>
      <w:r>
        <w:rPr>
          <w:rFonts w:ascii="Arial" w:cs="Arial" w:eastAsia="Arial" w:hAnsi="Arial"/>
          <w:b/>
          <w:bCs/>
          <w:color w:val="2D6E8A"/>
          <w:sz w:val="28"/>
          <w:szCs w:val="28"/>
        </w:rPr>
        <w:t xml:space="preserve">3. Allowed Uses</w:t>
      </w:r>
    </w:p>
    <w:p>
      <w:pPr>
        <w:spacing w:after="60" w:before="60"/>
      </w:pPr>
      <w:r>
        <w:rPr>
          <w:rFonts w:ascii="Arial" w:cs="Arial" w:eastAsia="Arial" w:hAnsi="Arial"/>
          <w:color w:val="0A0E12"/>
          <w:sz w:val="22"/>
          <w:szCs w:val="22"/>
        </w:rPr>
        <w:t xml:space="preserve">Petty cash may be used exclusively for:</w:t>
      </w:r>
    </w:p>
    <w:p>
      <w:pPr>
        <w:pStyle w:val="ListParagraph"/>
        <w:numPr>
          <w:ilvl w:val="0"/>
          <w:numId w:val="1"/>
        </w:numPr>
        <w:spacing w:after="40" w:before="40"/>
      </w:pPr>
      <w:r>
        <w:rPr>
          <w:rFonts w:ascii="Arial" w:cs="Arial" w:eastAsia="Arial" w:hAnsi="Arial"/>
          <w:color w:val="0A0E12"/>
          <w:sz w:val="22"/>
          <w:szCs w:val="22"/>
        </w:rPr>
        <w:t xml:space="preserve">Small office supplies (stationery, ink cartridges, minor consumables) — up to 200 SAR per purchase</w:t>
      </w:r>
    </w:p>
    <w:p>
      <w:pPr>
        <w:pStyle w:val="ListParagraph"/>
        <w:numPr>
          <w:ilvl w:val="0"/>
          <w:numId w:val="1"/>
        </w:numPr>
        <w:spacing w:after="40" w:before="40"/>
      </w:pPr>
      <w:r>
        <w:rPr>
          <w:rFonts w:ascii="Arial" w:cs="Arial" w:eastAsia="Arial" w:hAnsi="Arial"/>
          <w:color w:val="0A0E12"/>
          <w:sz w:val="22"/>
          <w:szCs w:val="22"/>
        </w:rPr>
        <w:t xml:space="preserve">Taxi or ride-hailing (Uber/Careem) for business travel — up to 200 SAR per trip</w:t>
      </w:r>
    </w:p>
    <w:p>
      <w:pPr>
        <w:pStyle w:val="ListParagraph"/>
        <w:numPr>
          <w:ilvl w:val="0"/>
          <w:numId w:val="1"/>
        </w:numPr>
        <w:spacing w:after="40" w:before="40"/>
      </w:pPr>
      <w:r>
        <w:rPr>
          <w:rFonts w:ascii="Arial" w:cs="Arial" w:eastAsia="Arial" w:hAnsi="Arial"/>
          <w:color w:val="0A0E12"/>
          <w:sz w:val="22"/>
          <w:szCs w:val="22"/>
        </w:rPr>
        <w:t xml:space="preserve">Postage, courier, and minor shipping costs — up to 150 SAR per shipment</w:t>
      </w:r>
    </w:p>
    <w:p>
      <w:pPr>
        <w:pStyle w:val="ListParagraph"/>
        <w:numPr>
          <w:ilvl w:val="0"/>
          <w:numId w:val="1"/>
        </w:numPr>
        <w:spacing w:after="40" w:before="40"/>
      </w:pPr>
      <w:r>
        <w:rPr>
          <w:rFonts w:ascii="Arial" w:cs="Arial" w:eastAsia="Arial" w:hAnsi="Arial"/>
          <w:color w:val="0A0E12"/>
          <w:sz w:val="22"/>
          <w:szCs w:val="22"/>
        </w:rPr>
        <w:t xml:space="preserve">Emergency working-session refreshments for the team — up to 300 SAR total per event (requires Founder pre-approval)</w:t>
      </w:r>
    </w:p>
    <w:p>
      <w:pPr>
        <w:pStyle w:val="ListParagraph"/>
        <w:numPr>
          <w:ilvl w:val="0"/>
          <w:numId w:val="1"/>
        </w:numPr>
        <w:spacing w:after="40" w:before="40"/>
      </w:pPr>
      <w:r>
        <w:rPr>
          <w:rFonts w:ascii="Arial" w:cs="Arial" w:eastAsia="Arial" w:hAnsi="Arial"/>
          <w:color w:val="0A0E12"/>
          <w:sz w:val="22"/>
          <w:szCs w:val="22"/>
        </w:rPr>
        <w:t xml:space="preserve">Minor maintenance or repair items — up to 150 SAR</w:t>
      </w:r>
    </w:p>
    <w:p>
      <w:pPr>
        <w:spacing w:after="120" w:before="240"/>
      </w:pPr>
      <w:r>
        <w:rPr>
          <w:rFonts w:ascii="Arial" w:cs="Arial" w:eastAsia="Arial" w:hAnsi="Arial"/>
          <w:b/>
          <w:bCs/>
          <w:color w:val="2D6E8A"/>
          <w:sz w:val="28"/>
          <w:szCs w:val="28"/>
        </w:rPr>
        <w:t xml:space="preserve">4. Prohibited Uses</w:t>
      </w:r>
    </w:p>
    <w:p>
      <w:pPr>
        <w:spacing w:after="60" w:before="60"/>
      </w:pPr>
      <w:r>
        <w:rPr>
          <w:rFonts w:ascii="Arial" w:cs="Arial" w:eastAsia="Arial" w:hAnsi="Arial"/>
          <w:color w:val="0A0E12"/>
          <w:sz w:val="22"/>
          <w:szCs w:val="22"/>
        </w:rPr>
        <w:t xml:space="preserve">The following are strictly prohibited from petty cash regardless of amount:</w:t>
      </w:r>
    </w:p>
    <w:p>
      <w:pPr>
        <w:pStyle w:val="ListParagraph"/>
        <w:numPr>
          <w:ilvl w:val="0"/>
          <w:numId w:val="1"/>
        </w:numPr>
        <w:spacing w:after="40" w:before="40"/>
      </w:pPr>
      <w:r>
        <w:rPr>
          <w:rFonts w:ascii="Arial" w:cs="Arial" w:eastAsia="Arial" w:hAnsi="Arial"/>
          <w:color w:val="0A0E12"/>
          <w:sz w:val="22"/>
          <w:szCs w:val="22"/>
        </w:rPr>
        <w:t xml:space="preserve">Salary, wage, or bonus payments of any kind</w:t>
      </w:r>
    </w:p>
    <w:p>
      <w:pPr>
        <w:pStyle w:val="ListParagraph"/>
        <w:numPr>
          <w:ilvl w:val="0"/>
          <w:numId w:val="1"/>
        </w:numPr>
        <w:spacing w:after="40" w:before="40"/>
      </w:pPr>
      <w:r>
        <w:rPr>
          <w:rFonts w:ascii="Arial" w:cs="Arial" w:eastAsia="Arial" w:hAnsi="Arial"/>
          <w:color w:val="0A0E12"/>
          <w:sz w:val="22"/>
          <w:szCs w:val="22"/>
        </w:rPr>
        <w:t xml:space="preserve">Personal loans, salary advances, or any personal expenses</w:t>
      </w:r>
    </w:p>
    <w:p>
      <w:pPr>
        <w:pStyle w:val="ListParagraph"/>
        <w:numPr>
          <w:ilvl w:val="0"/>
          <w:numId w:val="1"/>
        </w:numPr>
        <w:spacing w:after="40" w:before="40"/>
      </w:pPr>
      <w:r>
        <w:rPr>
          <w:rFonts w:ascii="Arial" w:cs="Arial" w:eastAsia="Arial" w:hAnsi="Arial"/>
          <w:color w:val="0A0E12"/>
          <w:sz w:val="22"/>
          <w:szCs w:val="22"/>
        </w:rPr>
        <w:t xml:space="preserve">Vendor payments that should flow through the AP or corporate card process</w:t>
      </w:r>
    </w:p>
    <w:p>
      <w:pPr>
        <w:pStyle w:val="ListParagraph"/>
        <w:numPr>
          <w:ilvl w:val="0"/>
          <w:numId w:val="1"/>
        </w:numPr>
        <w:spacing w:after="40" w:before="40"/>
      </w:pPr>
      <w:r>
        <w:rPr>
          <w:rFonts w:ascii="Arial" w:cs="Arial" w:eastAsia="Arial" w:hAnsi="Arial"/>
          <w:color w:val="0A0E12"/>
          <w:sz w:val="22"/>
          <w:szCs w:val="22"/>
        </w:rPr>
        <w:t xml:space="preserve">Purchases exceeding 500 SAR (splitting transactions to circumvent this limit is grounds for disciplinary action)</w:t>
      </w:r>
    </w:p>
    <w:p>
      <w:pPr>
        <w:pStyle w:val="ListParagraph"/>
        <w:numPr>
          <w:ilvl w:val="0"/>
          <w:numId w:val="1"/>
        </w:numPr>
        <w:spacing w:after="40" w:before="40"/>
      </w:pPr>
      <w:r>
        <w:rPr>
          <w:rFonts w:ascii="Arial" w:cs="Arial" w:eastAsia="Arial" w:hAnsi="Arial"/>
          <w:color w:val="0A0E12"/>
          <w:sz w:val="22"/>
          <w:szCs w:val="22"/>
        </w:rPr>
        <w:t xml:space="preserve">Gifts, entertainment, alcohol, or any item prohibited under Saudi law</w:t>
      </w:r>
    </w:p>
    <w:p>
      <w:pPr>
        <w:pStyle w:val="ListParagraph"/>
        <w:numPr>
          <w:ilvl w:val="0"/>
          <w:numId w:val="1"/>
        </w:numPr>
        <w:spacing w:after="40" w:before="40"/>
      </w:pPr>
      <w:r>
        <w:rPr>
          <w:rFonts w:ascii="Arial" w:cs="Arial" w:eastAsia="Arial" w:hAnsi="Arial"/>
          <w:color w:val="0A0E12"/>
          <w:sz w:val="22"/>
          <w:szCs w:val="22"/>
        </w:rPr>
        <w:t xml:space="preserve">Any capital expenditure item</w:t>
      </w:r>
    </w:p>
    <w:p>
      <w:pPr>
        <w:spacing w:after="120" w:before="240"/>
      </w:pPr>
      <w:r>
        <w:rPr>
          <w:rFonts w:ascii="Arial" w:cs="Arial" w:eastAsia="Arial" w:hAnsi="Arial"/>
          <w:b/>
          <w:bCs/>
          <w:color w:val="2D6E8A"/>
          <w:sz w:val="28"/>
          <w:szCs w:val="28"/>
        </w:rPr>
        <w:t xml:space="preserve">5. Receipt &amp; Documentation Requirements</w:t>
      </w:r>
    </w:p>
    <w:p>
      <w:pPr>
        <w:pStyle w:val="ListParagraph"/>
        <w:numPr>
          <w:ilvl w:val="0"/>
          <w:numId w:val="1"/>
        </w:numPr>
        <w:spacing w:after="40" w:before="40"/>
      </w:pPr>
      <w:r>
        <w:rPr>
          <w:rFonts w:ascii="Arial" w:cs="Arial" w:eastAsia="Arial" w:hAnsi="Arial"/>
          <w:color w:val="0A0E12"/>
          <w:sz w:val="22"/>
          <w:szCs w:val="22"/>
        </w:rPr>
        <w:t xml:space="preserve">A receipt is required for EVERY petty cash disbursement — no exceptions, regardless of amount.</w:t>
      </w:r>
    </w:p>
    <w:p>
      <w:pPr>
        <w:pStyle w:val="ListParagraph"/>
        <w:numPr>
          <w:ilvl w:val="0"/>
          <w:numId w:val="1"/>
        </w:numPr>
        <w:spacing w:after="40" w:before="40"/>
      </w:pPr>
      <w:r>
        <w:rPr>
          <w:rFonts w:ascii="Arial" w:cs="Arial" w:eastAsia="Arial" w:hAnsi="Arial"/>
          <w:color w:val="0A0E12"/>
          <w:sz w:val="22"/>
          <w:szCs w:val="22"/>
        </w:rPr>
        <w:t xml:space="preserve">Receipt must include: date, description of item/service, amount (SAR), and vendor name.</w:t>
      </w:r>
    </w:p>
    <w:p>
      <w:pPr>
        <w:pStyle w:val="ListParagraph"/>
        <w:numPr>
          <w:ilvl w:val="0"/>
          <w:numId w:val="1"/>
        </w:numPr>
        <w:spacing w:after="40" w:before="40"/>
      </w:pPr>
      <w:r>
        <w:rPr>
          <w:rFonts w:ascii="Arial" w:cs="Arial" w:eastAsia="Arial" w:hAnsi="Arial"/>
          <w:color w:val="0A0E12"/>
          <w:sz w:val="22"/>
          <w:szCs w:val="22"/>
        </w:rPr>
        <w:t xml:space="preserve">ZATCA-compliant invoice required for any purchase from a VAT-registered supplier (to recover VAT input).</w:t>
      </w:r>
    </w:p>
    <w:p>
      <w:pPr>
        <w:pStyle w:val="ListParagraph"/>
        <w:numPr>
          <w:ilvl w:val="0"/>
          <w:numId w:val="1"/>
        </w:numPr>
        <w:spacing w:after="40" w:before="40"/>
      </w:pPr>
      <w:r>
        <w:rPr>
          <w:rFonts w:ascii="Arial" w:cs="Arial" w:eastAsia="Arial" w:hAnsi="Arial"/>
          <w:color w:val="0A0E12"/>
          <w:sz w:val="22"/>
          <w:szCs w:val="22"/>
        </w:rPr>
        <w:t xml:space="preserve">Custodian must complete a numbered Petty Cash Voucher for each disbursement, signed by both custodian and recipient.</w:t>
      </w:r>
    </w:p>
    <w:p>
      <w:pPr>
        <w:pStyle w:val="ListParagraph"/>
        <w:numPr>
          <w:ilvl w:val="0"/>
          <w:numId w:val="1"/>
        </w:numPr>
        <w:spacing w:after="40" w:before="40"/>
      </w:pPr>
      <w:r>
        <w:rPr>
          <w:rFonts w:ascii="Arial" w:cs="Arial" w:eastAsia="Arial" w:hAnsi="Arial"/>
          <w:color w:val="0A0E12"/>
          <w:sz w:val="22"/>
          <w:szCs w:val="22"/>
        </w:rPr>
        <w:t xml:space="preserve">Vouchers and receipts are physically kept together in the cash box until monthly reconciliation.</w:t>
      </w:r>
    </w:p>
    <w:p>
      <w:pPr>
        <w:spacing w:after="120" w:before="240"/>
      </w:pPr>
      <w:r>
        <w:rPr>
          <w:rFonts w:ascii="Arial" w:cs="Arial" w:eastAsia="Arial" w:hAnsi="Arial"/>
          <w:b/>
          <w:bCs/>
          <w:color w:val="2D6E8A"/>
          <w:sz w:val="28"/>
          <w:szCs w:val="28"/>
        </w:rPr>
        <w:t xml:space="preserve">6. Monthly Reconciliation</w:t>
      </w:r>
    </w:p>
    <w:p>
      <w:pPr>
        <w:spacing w:after="60" w:before="60"/>
      </w:pPr>
      <w:r>
        <w:rPr>
          <w:rFonts w:ascii="Arial" w:cs="Arial" w:eastAsia="Arial" w:hAnsi="Arial"/>
          <w:color w:val="0A0E12"/>
          <w:sz w:val="22"/>
          <w:szCs w:val="22"/>
        </w:rPr>
        <w:t xml:space="preserve">By the 5th business day of each month, the custodian performs a full count and reconciliation:</w:t>
      </w:r>
    </w:p>
    <w:p>
      <w:pPr>
        <w:pStyle w:val="ListParagraph"/>
        <w:numPr>
          <w:ilvl w:val="0"/>
          <w:numId w:val="1"/>
        </w:numPr>
        <w:spacing w:after="40" w:before="40"/>
      </w:pPr>
      <w:r>
        <w:rPr>
          <w:rFonts w:ascii="Arial" w:cs="Arial" w:eastAsia="Arial" w:hAnsi="Arial"/>
          <w:color w:val="0A0E12"/>
          <w:sz w:val="22"/>
          <w:szCs w:val="22"/>
        </w:rPr>
        <w:t xml:space="preserve">Step 1: Count physical cash on hand.</w:t>
      </w:r>
    </w:p>
    <w:p>
      <w:pPr>
        <w:pStyle w:val="ListParagraph"/>
        <w:numPr>
          <w:ilvl w:val="0"/>
          <w:numId w:val="1"/>
        </w:numPr>
        <w:spacing w:after="40" w:before="40"/>
      </w:pPr>
      <w:r>
        <w:rPr>
          <w:rFonts w:ascii="Arial" w:cs="Arial" w:eastAsia="Arial" w:hAnsi="Arial"/>
          <w:color w:val="0A0E12"/>
          <w:sz w:val="22"/>
          <w:szCs w:val="22"/>
        </w:rPr>
        <w:t xml:space="preserve">Step 2: Total all petty cash vouchers since last reconciliation.</w:t>
      </w:r>
    </w:p>
    <w:p>
      <w:pPr>
        <w:pStyle w:val="ListParagraph"/>
        <w:numPr>
          <w:ilvl w:val="0"/>
          <w:numId w:val="1"/>
        </w:numPr>
        <w:spacing w:after="40" w:before="40"/>
      </w:pPr>
      <w:r>
        <w:rPr>
          <w:rFonts w:ascii="Arial" w:cs="Arial" w:eastAsia="Arial" w:hAnsi="Arial"/>
          <w:color w:val="0A0E12"/>
          <w:sz w:val="22"/>
          <w:szCs w:val="22"/>
        </w:rPr>
        <w:t xml:space="preserve">Step 3: Verify: Opening Balance − Total Disbursements = Cash on Hand.</w:t>
      </w:r>
    </w:p>
    <w:p>
      <w:pPr>
        <w:pStyle w:val="ListParagraph"/>
        <w:numPr>
          <w:ilvl w:val="0"/>
          <w:numId w:val="1"/>
        </w:numPr>
        <w:spacing w:after="40" w:before="40"/>
      </w:pPr>
      <w:r>
        <w:rPr>
          <w:rFonts w:ascii="Arial" w:cs="Arial" w:eastAsia="Arial" w:hAnsi="Arial"/>
          <w:color w:val="0A0E12"/>
          <w:sz w:val="22"/>
          <w:szCs w:val="22"/>
        </w:rPr>
        <w:t xml:space="preserve">Step 4: Submit reconciliation sheet and all vouchers/receipts to COO/Founder for review and countersignature.</w:t>
      </w:r>
    </w:p>
    <w:p>
      <w:pPr>
        <w:pStyle w:val="ListParagraph"/>
        <w:numPr>
          <w:ilvl w:val="0"/>
          <w:numId w:val="1"/>
        </w:numPr>
        <w:spacing w:after="40" w:before="40"/>
      </w:pPr>
      <w:r>
        <w:rPr>
          <w:rFonts w:ascii="Arial" w:cs="Arial" w:eastAsia="Arial" w:hAnsi="Arial"/>
          <w:color w:val="0A0E12"/>
          <w:sz w:val="22"/>
          <w:szCs w:val="22"/>
        </w:rPr>
        <w:t xml:space="preserve">Step 5: If any discrepancy &gt; 20 SAR cannot be explained, escalate immediately to the Founder.</w:t>
      </w:r>
    </w:p>
    <w:p>
      <w:pPr>
        <w:spacing w:after="120" w:before="240"/>
      </w:pPr>
      <w:r>
        <w:rPr>
          <w:rFonts w:ascii="Arial" w:cs="Arial" w:eastAsia="Arial" w:hAnsi="Arial"/>
          <w:b/>
          <w:bCs/>
          <w:color w:val="2D6E8A"/>
          <w:sz w:val="28"/>
          <w:szCs w:val="28"/>
        </w:rPr>
        <w:t xml:space="preserve">7. Replenishment Process</w:t>
      </w:r>
    </w:p>
    <w:p>
      <w:pPr>
        <w:spacing w:after="60" w:before="60"/>
      </w:pPr>
      <w:r>
        <w:rPr>
          <w:rFonts w:ascii="Arial" w:cs="Arial" w:eastAsia="Arial" w:hAnsi="Arial"/>
          <w:color w:val="0A0E12"/>
          <w:sz w:val="22"/>
          <w:szCs w:val="22"/>
        </w:rPr>
        <w:t xml:space="preserve">When balance falls below 500 SAR: the custodian submits all receipts and vouchers to Finance. The Founder approves the reimbursement. Finance issues a check or bank transfer to replenish the fund to 2,000 SAR. The replenishment is recorded in the accounting system as a debit to 1130 (Petty Cash) and credit to the bank account.</w:t>
      </w:r>
    </w:p>
    <w:p>
      <w:pPr>
        <w:spacing w:after="120" w:before="240"/>
      </w:pPr>
      <w:r>
        <w:rPr>
          <w:rFonts w:ascii="Arial" w:cs="Arial" w:eastAsia="Arial" w:hAnsi="Arial"/>
          <w:b/>
          <w:bCs/>
          <w:color w:val="2D6E8A"/>
          <w:sz w:val="28"/>
          <w:szCs w:val="28"/>
        </w:rPr>
        <w:t xml:space="preserve">8. Surprise Cash Counts</w:t>
      </w:r>
    </w:p>
    <w:p>
      <w:pPr>
        <w:spacing w:after="60" w:before="60"/>
      </w:pPr>
      <w:r>
        <w:rPr>
          <w:rFonts w:ascii="Arial" w:cs="Arial" w:eastAsia="Arial" w:hAnsi="Arial"/>
          <w:color w:val="0A0E12"/>
          <w:sz w:val="22"/>
          <w:szCs w:val="22"/>
        </w:rPr>
        <w:t xml:space="preserve">The external accountant or Founder will conduct unannounced petty cash counts at least quarterly. Results are documented on a Surprise Count Form. Any unexplained shortage is the custodian's personal liability unless fraud by a third party is established — in which case the matter is escalated to the Founder and, if warranted, to law enforcement.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Fly GACA  ·  Finance  ·  Confidential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E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2026-05-05T03:34:26.481Z</dcterms:created>
  <dcterms:modified xsi:type="dcterms:W3CDTF">2026-05-05T03:34:26.481Z</dcterms:modified>
</cp:coreProperties>
</file>

<file path=docProps/custom.xml><?xml version="1.0" encoding="utf-8"?>
<Properties xmlns="http://schemas.openxmlformats.org/officeDocument/2006/custom-properties" xmlns:vt="http://schemas.openxmlformats.org/officeDocument/2006/docPropsVTypes"/>
</file>