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hd w:fill="2D6E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FLY GACA</w:t>
      </w:r>
    </w:p>
    <w:p>
      <w:pPr>
        <w:shd w:fill="2D6E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Saudization (Nitaqat) Compliance Plan</w:t>
      </w:r>
    </w:p>
    <w:p>
      <w:pPr>
        <w:shd w:fill="2D6E8A" w:val="clear"/>
        <w:spacing w:after="200" w:before="0"/>
      </w:pPr>
      <w:r>
        <w:rPr>
          <w:rFonts w:ascii="Arial" w:cs="Arial" w:eastAsia="Arial" w:hAnsi="Arial"/>
          <w:color w:val="D5E8F0"/>
          <w:sz w:val="24"/>
          <w:szCs w:val="24"/>
        </w:rPr>
        <w:t xml:space="preserve">Fly GACA · 24-Month Plan · May 2026–2028</w:t>
      </w:r>
    </w:p>
    <w:p>
      <w:pPr>
        <w:pBdr>
          <w:bottom w:val="single" w:color="C8A04A" w:sz="6" w:space="1"/>
        </w:pBdr>
        <w:spacing w:after="140"/>
      </w:pPr>
    </w:p>
    <w:p/>
    <w:p>
      <w:pPr>
        <w:pStyle w:val="Heading1"/>
      </w:pPr>
      <w:r>
        <w:t xml:space="preserve">1. Nitaqat Program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Nitaqat (nationalization) is Saudi Arabia's workforce localization program administered by the Ministry of Human Resources and Social Development (HRSD/MOL). It classifies companies into five compliance bands based on the percentage of Saudi nationals on payroll relative to total headcount.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Saudi %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Implication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≥50% (large); ≥60% (small)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visa/iqama services, MOL recognition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40–49%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Standing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visa/iqama processing, no restrictions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Green-Mid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services, some incentive limitations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Green-Low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visa allocations, restricted hiring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/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Non-Compliant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freeze, fines, potential business suspension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Fly GACA's target: maintain Green-High band (≥40% Saudization) throughout the 24-month plan. Absolute floor: never fall below Green-Mid (30%) to avoid visa freeze risk.</w:t>
      </w:r>
    </w:p>
    <w:p/>
    <w:p>
      <w:pPr>
        <w:pStyle w:val="Heading1"/>
      </w:pPr>
      <w:r>
        <w:t xml:space="preserve">2. Current Status (Month 0 —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Headcount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(Founder)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Saudi Nationals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(Captain Adel Yahya A. Madkhali)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Non-Saudi Nationals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Saudization 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Nitaqat Band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Platinum (de facto — single-person entity)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GOSI Registration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at first hire; founder enrolled at incorporation</w:t>
            </w:r>
          </w:p>
        </w:tc>
      </w:tr>
    </w:tbl>
    <w:p/>
    <w:p>
      <w:pPr>
        <w:pStyle w:val="Heading1"/>
      </w:pPr>
      <w:r>
        <w:t xml:space="preserve">3. 24-Month Hiring Table &amp; Nitaqat Tracking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table below projects headcount growth, Saudi vs. non-Saudi composition, and Nitaqat band at each hiring milestone.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1100"/>
        <w:gridCol w:w="900"/>
        <w:gridCol w:w="900"/>
        <w:gridCol w:w="14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Saudi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Non-Saudi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Saudi 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(Now)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(Captain Adel)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Sr. SWE Full-Stack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 Mgr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ML/AI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Admin/Ops (PT)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Sr. SWE #2 Mobile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 (Saudi pref.)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Designer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Note: Saudi vs. non-Saudi column assumes CSM (M6), Admin (M12), COO (M18), Content Designer (M20), and Marketing Lead (M24) are Saudi nationals. Sr. SWE roles may be non-Saudi pending local talent availability.</w:t>
      </w:r>
    </w:p>
    <w:p/>
    <w:p>
      <w:pPr>
        <w:pStyle w:val="Heading1"/>
      </w:pPr>
      <w:r>
        <w:t xml:space="preserve">4. Saudi Talent Sourcing Strategy</w:t>
      </w:r>
    </w:p>
    <w:p>
      <w:pPr>
        <w:pStyle w:val="Heading2"/>
      </w:pPr>
      <w:r>
        <w:t xml:space="preserve">4.1 University &amp; Academy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King Fahd University of Petroleum &amp; Minerals (KFUPM) — CS and engineering graduates; campus recruiting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King Abdulaziz University (KAU) — Computer Science and Information Systems faculty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Prince Sultan Aviation Academy (PSAA) — aviation operations and technical graduates for domain-expert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Technical &amp; Vocational Training Corporation (TVTC) — vocational programs for content and operations support roles</w:t>
      </w:r>
    </w:p>
    <w:p>
      <w:pPr>
        <w:pStyle w:val="Heading2"/>
      </w:pPr>
      <w:r>
        <w:t xml:space="preserve">4.2 Government &amp; Subsidy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HRDF Tamheer Program: subsidizes up to 50% of salary for Saudi fresh graduates for the first 6 months; applicable to CSM, Marketing Lead, and junior tech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HRDF Doroob Training Grants: partially funds reskilling of Saudi candidates in digital and tech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Saudia Tahweel: targets Saudi aviation professionals in career transition; source for senior operational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 KSA + Jadeer + Bayt.com: primary digital recruiting channels with Saudi-first targeting</w:t>
      </w:r>
    </w:p>
    <w:p/>
    <w:p>
      <w:pPr>
        <w:pStyle w:val="Heading1"/>
      </w:pPr>
      <w:r>
        <w:t xml:space="preserve">5. Visa &amp; Iqama Plan for Non-Saudi Hires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 Visa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Single-entry work visa sponsored by Fly GACA (MOL approval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Iqama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Initiated within 30 days of arrival; company sponsors full iqama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Iqama 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Annual; company responsible for renewal tracking and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Exit/Re-entry Visa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issues exit/re-entry permits as needed for travel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Dependent Visas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 responsible for dependent visa costs; company provides letter of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Nitaqat Visa Quota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Saudi hire unlocks an additional non-Saudi visa slot (1:1 minimum for tech)</w:t>
            </w:r>
          </w:p>
        </w:tc>
      </w:tr>
    </w:tbl>
    <w:p/>
    <w:p>
      <w:pPr>
        <w:pStyle w:val="Heading1"/>
      </w:pPr>
      <w:r>
        <w:t xml:space="preserve">6. GOSI Registration &amp; Contributions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employees (Saudi and non-Saudi) must be registered with the General Organization for Social Insurance (GOSI) within 30 days of hire.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Saudi National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Non-Saudi National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Contribution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of basic salary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(occupational hazard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Contribution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11.75% of basic salary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(occupational hazard + annuity)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benefits including pension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Occupational hazard insurance only</w:t>
            </w:r>
          </w:p>
        </w:tc>
      </w:tr>
    </w:tbl>
    <w:p/>
    <w:p>
      <w:pPr>
        <w:pStyle w:val="Heading1"/>
      </w:pPr>
      <w:r>
        <w:t xml:space="preserve">7. MOL / HRSD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company on Qiwa portal and maintain active establishment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monthly payroll data via Wage Protection System (WPS) — mandatory for all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Nitaqat classification report quarterly; review band at each new hire milestone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digital personnel files (contracts, iqamas, GOSI records) on Qiwa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Comply with Saudi Labor Law Article 26 (Saudization quotas by sector)</w:t>
      </w:r>
    </w:p>
    <w:p/>
    <w:p>
      <w:pPr>
        <w:pStyle w:val="Heading1"/>
      </w:pPr>
      <w:r>
        <w:t xml:space="preserve">8.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Red/Yellow band breach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≥30% Saudi floor at all times; pause non-Saudi hiring if band approaches Yellow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candidate pipeline gap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Pre-engage KFUPM/KAU 3 months before target hire month; use HRDF Tamheer to reduce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Iqama processing delays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PRO service from Month 1; maintain buffer 60 days before target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GOSI non-compliance fine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GOSI registration trigger in HR onboarding checklist</w:t>
            </w:r>
          </w:p>
        </w:tc>
      </w:tr>
    </w:tbl>
    <w:p/>
    <w:p>
      <w:pPr>
        <w:pStyle w:val="Heading1"/>
      </w:pPr>
      <w:r>
        <w:t xml:space="preserve">9. HRDF Doroob &amp; Tamheer Subsidies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Fly GACA will actively leverage HRDF programs to reduce cost-of-hire for Saudi nationals: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Tamheer On-Job Training Program: up to 50% salary subsidy for fresh Saudi graduates (up to SAR 3,000/month) for the first 6 months; ideal for CSM, Marketing, and junior content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Doroob Digital Skills Grants: fund external training for Saudi hires needing upskilling in cloud, AI, or digital marketing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Estimated HRDF subsidy capture: SAR 72,000–108,000 in Y1 for up to 3 eligible Saudi hires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HRDF applications will be managed by the COO (from Month 18) or founder directly before that milestone.</w:t>
      </w:r>
    </w:p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plan will be reviewed and updated at each Nitaqat band assessment, and at least quarterly.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Fly GACA · HR · Nitaqat Plan · v1.0 · May 2026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6E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2026-05-05T02:17:44.058Z</dcterms:created>
  <dcterms:modified xsi:type="dcterms:W3CDTF">2026-05-05T02:17:44.058Z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