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Brainstorm 07 — GCC Expansion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When, Where, and How to Stand Up Fly GCC · Fly GACA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question: </w:t>
            </w:r>
            <w:r>
              <w:rPr>
                <w:color w:val="0A0E12"/>
              </w:rPr>
              <w:t xml:space="preserve">When does Fly GACA become Fly GCC — and how do you stand it up without breaking the core KSA flywheel?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this matters</w:t>
      </w:r>
    </w:p>
    <w:p>
      <w:r>
        <w:t xml:space="preserve">GCC expansion 2-3x's the addressable TAM (KSA 13-20K pilots/cadets → GCC 30-50K). It's the difference between a Saudi success story and a regional category leader at Series A and B.</w:t>
      </w:r>
    </w:p>
    <w:p>
      <w:r>
        <w:t xml:space="preserve">But premature expansion is a known killer. 'Saudi-only' is a clear story; 'GCC-too-early' is a story of dilution, weak local presence everywhere, and stretched founder bandwidth.</w:t>
      </w:r>
    </w:p>
    <w:p>
      <w:r>
        <w:t xml:space="preserve">The right GCC playbook: prove the wedge in KSA first, then expand to ONE GCC market with a clear localization model, then template.</w:t>
      </w:r>
    </w:p>
    <w:p>
      <w:r>
        <w:t xml:space="preserve"/>
      </w:r>
    </w:p>
    <w:p>
      <w:pPr>
        <w:pStyle w:val="Heading1"/>
      </w:pPr>
      <w:r>
        <w:t xml:space="preserve">Where you are today (honest snapshot)</w:t>
      </w:r>
    </w:p>
    <w:p>
      <w:pPr>
        <w:pStyle w:val="ListParagraph"/>
        <w:numPr>
          <w:ilvl w:val="0"/>
          <w:numId w:val="2"/>
        </w:numPr>
      </w:pPr>
      <w:r>
        <w:t xml:space="preserve">0 paying customers in any market.</w:t>
      </w:r>
    </w:p>
    <w:p>
      <w:pPr>
        <w:pStyle w:val="ListParagraph"/>
        <w:numPr>
          <w:ilvl w:val="0"/>
          <w:numId w:val="2"/>
        </w:numPr>
      </w:pPr>
      <w:r>
        <w:t xml:space="preserve">Product is fully Arabic-bilingual but content is 100% GACA-specific (no GCAA or BCAA or DGCA-Kuwait content).</w:t>
      </w:r>
    </w:p>
    <w:p>
      <w:pPr>
        <w:pStyle w:val="ListParagraph"/>
        <w:numPr>
          <w:ilvl w:val="0"/>
          <w:numId w:val="2"/>
        </w:numPr>
      </w:pPr>
      <w:r>
        <w:t xml:space="preserve">In-Kingdom data residency is a KSA-specific story; UAE/Bahrain require their own data residency compliance.</w:t>
      </w:r>
    </w:p>
    <w:p>
      <w:pPr>
        <w:pStyle w:val="ListParagraph"/>
        <w:numPr>
          <w:ilvl w:val="0"/>
          <w:numId w:val="2"/>
        </w:numPr>
      </w:pPr>
      <w:r>
        <w:t xml:space="preserve">Founder is Saudi national — relationship-building in UAE/Bahrain takes time and presence.</w:t>
      </w:r>
    </w:p>
    <w:p>
      <w:pPr>
        <w:pStyle w:val="ListParagraph"/>
        <w:numPr>
          <w:ilvl w:val="0"/>
          <w:numId w:val="2"/>
        </w:numPr>
      </w:pPr>
      <w:r>
        <w:t xml:space="preserve">GCC aviation regulators are similar but not identical — GCAA in particular has its own published licensing structure.</w:t>
      </w:r>
    </w:p>
    <w:p>
      <w:r>
        <w:t xml:space="preserve"/>
      </w:r>
    </w:p>
    <w:p>
      <w:pPr>
        <w:pStyle w:val="Heading1"/>
      </w:pPr>
      <w:r>
        <w:t xml:space="preserve">The options on the table</w:t>
      </w:r>
    </w:p>
    <w:p>
      <w:pPr>
        <w:pStyle w:val="Heading2"/>
      </w:pPr>
      <w:r>
        <w:t xml:space="preserve">Option 1: UAE first (Fly GCAA) — biggest GCC market, English-friendly, fast wins</w:t>
      </w:r>
    </w:p>
    <w:p>
      <w:r>
        <w:t xml:space="preserve">Port the platform, ingest GCAA library, fine-tune Captain Adel for GCAA syllabus, sign 1 UAE academy. Year 3 launch (2028).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UAE is the largest GCC aviation training market.</w:t>
      </w:r>
    </w:p>
    <w:p>
      <w:pPr>
        <w:pStyle w:val="ListParagraph"/>
        <w:numPr>
          <w:ilvl w:val="0"/>
          <w:numId w:val="2"/>
        </w:numPr>
      </w:pPr>
      <w:r>
        <w:t xml:space="preserve">GCAA regulations close enough to GACAR that 60% of content adapts.</w:t>
      </w:r>
    </w:p>
    <w:p>
      <w:pPr>
        <w:pStyle w:val="ListParagraph"/>
        <w:numPr>
          <w:ilvl w:val="0"/>
          <w:numId w:val="2"/>
        </w:numPr>
      </w:pPr>
      <w:r>
        <w:t xml:space="preserve">Strong Saudi-UAE airline interconnection (Saudia, Emirates, flydubai, Etihad).</w:t>
      </w:r>
    </w:p>
    <w:p>
      <w:pPr>
        <w:pStyle w:val="ListParagraph"/>
        <w:numPr>
          <w:ilvl w:val="0"/>
          <w:numId w:val="2"/>
        </w:numPr>
      </w:pPr>
      <w:r>
        <w:t xml:space="preserve">English-friendly market lowers localization burden.</w:t>
      </w:r>
    </w:p>
    <w:p>
      <w:pPr>
        <w:pStyle w:val="ListParagraph"/>
        <w:numPr>
          <w:ilvl w:val="0"/>
          <w:numId w:val="2"/>
        </w:numPr>
      </w:pPr>
      <w:r>
        <w:t xml:space="preserve">Dubai aviation gravity attracts both customers and capital.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UAE aviation training market more competitive (multiple incumbents).</w:t>
      </w:r>
    </w:p>
    <w:p>
      <w:pPr>
        <w:pStyle w:val="ListParagraph"/>
        <w:numPr>
          <w:ilvl w:val="0"/>
          <w:numId w:val="2"/>
        </w:numPr>
      </w:pPr>
      <w:r>
        <w:t xml:space="preserve">GCAA content acquisition is a 3-month effort.</w:t>
      </w:r>
    </w:p>
    <w:p>
      <w:pPr>
        <w:pStyle w:val="ListParagraph"/>
        <w:numPr>
          <w:ilvl w:val="0"/>
          <w:numId w:val="2"/>
        </w:numPr>
      </w:pPr>
      <w:r>
        <w:t xml:space="preserve">Founder presence in UAE 1 week/month minimum during launch.</w:t>
      </w:r>
    </w:p>
    <w:p>
      <w:pPr>
        <w:pStyle w:val="ListParagraph"/>
        <w:numPr>
          <w:ilvl w:val="0"/>
          <w:numId w:val="2"/>
        </w:numPr>
      </w:pPr>
      <w:r>
        <w:t xml:space="preserve">Currency complexity (AED vs SAR).</w:t>
      </w:r>
    </w:p>
    <w:p>
      <w:r>
        <w:t xml:space="preserve"/>
      </w:r>
    </w:p>
    <w:p>
      <w:pPr>
        <w:pStyle w:val="Heading2"/>
      </w:pPr>
      <w:r>
        <w:t xml:space="preserve">Option 2: Bahrain first (Fly CAA-BH) — small market, easy entry, low risk</w:t>
      </w:r>
    </w:p>
    <w:p>
      <w:r>
        <w:t xml:space="preserve">Port to Bahrain CAA. Smaller market but lower competition and faster procurement.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Smaller, fast to penetrate.</w:t>
      </w:r>
    </w:p>
    <w:p>
      <w:pPr>
        <w:pStyle w:val="ListParagraph"/>
        <w:numPr>
          <w:ilvl w:val="0"/>
          <w:numId w:val="2"/>
        </w:numPr>
      </w:pPr>
      <w:r>
        <w:t xml:space="preserve">Bahrain CAA regulations highly aligned with GACAR.</w:t>
      </w:r>
    </w:p>
    <w:p>
      <w:pPr>
        <w:pStyle w:val="ListParagraph"/>
        <w:numPr>
          <w:ilvl w:val="0"/>
          <w:numId w:val="2"/>
        </w:numPr>
      </w:pPr>
      <w:r>
        <w:t xml:space="preserve">Fewer competitors.</w:t>
      </w:r>
    </w:p>
    <w:p>
      <w:pPr>
        <w:pStyle w:val="ListParagraph"/>
        <w:numPr>
          <w:ilvl w:val="0"/>
          <w:numId w:val="2"/>
        </w:numPr>
      </w:pPr>
      <w:r>
        <w:t xml:space="preserve">Saudi → Bahrain travel and business is frictionless.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Smaller TAM — limited revenue upside.</w:t>
      </w:r>
    </w:p>
    <w:p>
      <w:pPr>
        <w:pStyle w:val="ListParagraph"/>
        <w:numPr>
          <w:ilvl w:val="0"/>
          <w:numId w:val="2"/>
        </w:numPr>
      </w:pPr>
      <w:r>
        <w:t xml:space="preserve">Less brand halo for Series B than UAE.</w:t>
      </w:r>
    </w:p>
    <w:p>
      <w:pPr>
        <w:pStyle w:val="ListParagraph"/>
        <w:numPr>
          <w:ilvl w:val="0"/>
          <w:numId w:val="2"/>
        </w:numPr>
      </w:pPr>
      <w:r>
        <w:t xml:space="preserve">Bahrain training market shrinking as major airlines centralize.</w:t>
      </w:r>
    </w:p>
    <w:p>
      <w:r>
        <w:t xml:space="preserve"/>
      </w:r>
    </w:p>
    <w:p>
      <w:pPr>
        <w:pStyle w:val="Heading2"/>
      </w:pPr>
      <w:r>
        <w:t xml:space="preserve">Option 3: Multi-market simultaneous launch (UAE + Bahrain + Kuwait Year 3)</w:t>
      </w:r>
    </w:p>
    <w:p>
      <w:r>
        <w:t xml:space="preserve">Don't pick one — go to three at once with a single regional team.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Maximum coverage at once.</w:t>
      </w:r>
    </w:p>
    <w:p>
      <w:pPr>
        <w:pStyle w:val="ListParagraph"/>
        <w:numPr>
          <w:ilvl w:val="0"/>
          <w:numId w:val="2"/>
        </w:numPr>
      </w:pPr>
      <w:r>
        <w:t xml:space="preserve">Avoids 'we're slow to expand' narrative.</w:t>
      </w:r>
    </w:p>
    <w:p>
      <w:pPr>
        <w:pStyle w:val="ListParagraph"/>
        <w:numPr>
          <w:ilvl w:val="0"/>
          <w:numId w:val="2"/>
        </w:numPr>
      </w:pPr>
      <w:r>
        <w:t xml:space="preserve">Pricing power across markets.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Founder bandwidth catastrophe.</w:t>
      </w:r>
    </w:p>
    <w:p>
      <w:pPr>
        <w:pStyle w:val="ListParagraph"/>
        <w:numPr>
          <w:ilvl w:val="0"/>
          <w:numId w:val="2"/>
        </w:numPr>
      </w:pPr>
      <w:r>
        <w:t xml:space="preserve">Regulatory complexity 3x — three different content sets, three DPA frameworks.</w:t>
      </w:r>
    </w:p>
    <w:p>
      <w:pPr>
        <w:pStyle w:val="ListParagraph"/>
        <w:numPr>
          <w:ilvl w:val="0"/>
          <w:numId w:val="2"/>
        </w:numPr>
      </w:pPr>
      <w:r>
        <w:t xml:space="preserve">Hiring 3-market sales takes 6+ months.</w:t>
      </w:r>
    </w:p>
    <w:p>
      <w:pPr>
        <w:pStyle w:val="ListParagraph"/>
        <w:numPr>
          <w:ilvl w:val="0"/>
          <w:numId w:val="2"/>
        </w:numPr>
      </w:pPr>
      <w:r>
        <w:t xml:space="preserve">Risk of mediocre presence everywhere instead of dominant one place.</w:t>
      </w:r>
    </w:p>
    <w:p>
      <w:r>
        <w:t xml:space="preserve"/>
      </w:r>
    </w:p>
    <w:p>
      <w:pPr>
        <w:pStyle w:val="Heading2"/>
      </w:pPr>
      <w:r>
        <w:t xml:space="preserve">Option 4: Defer GCC to Year 4-5 — focus on KSA dominance first</w:t>
      </w:r>
    </w:p>
    <w:p>
      <w:r>
        <w:t xml:space="preserve">Win KSA fully (10+ paying academies, 5K+ paying users). Then GCC.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Maximum KSA depth.</w:t>
      </w:r>
    </w:p>
    <w:p>
      <w:pPr>
        <w:pStyle w:val="ListParagraph"/>
        <w:numPr>
          <w:ilvl w:val="0"/>
          <w:numId w:val="2"/>
        </w:numPr>
      </w:pPr>
      <w:r>
        <w:t xml:space="preserve">Cleaner Series A story (KSA market leader).</w:t>
      </w:r>
    </w:p>
    <w:p>
      <w:pPr>
        <w:pStyle w:val="ListParagraph"/>
        <w:numPr>
          <w:ilvl w:val="0"/>
          <w:numId w:val="2"/>
        </w:numPr>
      </w:pPr>
      <w:r>
        <w:t xml:space="preserve">Lower risk of premature expansion.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Foreign or regional competitor could enter GCC first.</w:t>
      </w:r>
    </w:p>
    <w:p>
      <w:pPr>
        <w:pStyle w:val="ListParagraph"/>
        <w:numPr>
          <w:ilvl w:val="0"/>
          <w:numId w:val="2"/>
        </w:numPr>
      </w:pPr>
      <w:r>
        <w:t xml:space="preserve">Series B story weaker without GCC traction.</w:t>
      </w:r>
    </w:p>
    <w:p>
      <w:pPr>
        <w:pStyle w:val="ListParagraph"/>
        <w:numPr>
          <w:ilvl w:val="0"/>
          <w:numId w:val="2"/>
        </w:numPr>
      </w:pPr>
      <w:r>
        <w:t xml:space="preserve">Slower path to category leader status.</w:t>
      </w:r>
    </w:p>
    <w:p>
      <w:r>
        <w:t xml:space="preserve"/>
      </w:r>
    </w:p>
    <w:p>
      <w:pPr>
        <w:pStyle w:val="Heading2"/>
      </w:pPr>
      <w:r>
        <w:t xml:space="preserve">Option 5: Partner-led GCC entry — find a UAE-based aviation veteran as country GM with rev share</w:t>
      </w:r>
    </w:p>
    <w:p>
      <w:r>
        <w:t xml:space="preserve">Don't hire a UAE team yourself. Find a UAE-based aviation industry veteran. Give them 5-10% of UAE revenue + small equity. They run UAE; you stay in KSA.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Founder stays in KSA — no bandwidth split.</w:t>
      </w:r>
    </w:p>
    <w:p>
      <w:pPr>
        <w:pStyle w:val="ListParagraph"/>
        <w:numPr>
          <w:ilvl w:val="0"/>
          <w:numId w:val="2"/>
        </w:numPr>
      </w:pPr>
      <w:r>
        <w:t xml:space="preserve">Local relationships from day 1 (the partner has them).</w:t>
      </w:r>
    </w:p>
    <w:p>
      <w:pPr>
        <w:pStyle w:val="ListParagraph"/>
        <w:numPr>
          <w:ilvl w:val="0"/>
          <w:numId w:val="2"/>
        </w:numPr>
      </w:pPr>
      <w:r>
        <w:t xml:space="preserve">Lower fixed cost than a hired country team.</w:t>
      </w:r>
    </w:p>
    <w:p>
      <w:pPr>
        <w:pStyle w:val="ListParagraph"/>
        <w:numPr>
          <w:ilvl w:val="0"/>
          <w:numId w:val="2"/>
        </w:numPr>
      </w:pPr>
      <w:r>
        <w:t xml:space="preserve">Faster to launch.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Less control over UAE strategy and brand.</w:t>
      </w:r>
    </w:p>
    <w:p>
      <w:pPr>
        <w:pStyle w:val="ListParagraph"/>
        <w:numPr>
          <w:ilvl w:val="0"/>
          <w:numId w:val="2"/>
        </w:numPr>
      </w:pPr>
      <w:r>
        <w:t xml:space="preserve">Partner-dependency risk (if partner leaves, UAE collapses).</w:t>
      </w:r>
    </w:p>
    <w:p>
      <w:pPr>
        <w:pStyle w:val="ListParagraph"/>
        <w:numPr>
          <w:ilvl w:val="0"/>
          <w:numId w:val="2"/>
        </w:numPr>
      </w:pPr>
      <w:r>
        <w:t xml:space="preserve">Equity / revenue split limits upside.</w:t>
      </w:r>
    </w:p>
    <w:p>
      <w:pPr>
        <w:pStyle w:val="ListParagraph"/>
        <w:numPr>
          <w:ilvl w:val="0"/>
          <w:numId w:val="2"/>
        </w:numPr>
      </w:pPr>
      <w:r>
        <w:t xml:space="preserve">Partner finding takes 3-6 months.</w:t>
      </w:r>
    </w:p>
    <w:p>
      <w:r>
        <w:t xml:space="preserve"/>
      </w:r>
    </w:p>
    <w:p>
      <w:pPr>
        <w:pStyle w:val="Heading1"/>
      </w:pPr>
      <w:r>
        <w:t xml:space="preserve">Trade-off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1500"/>
        <w:gridCol w:w="13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of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Founder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Y3 (SAR)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Brand halo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UAE first (own team)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Y3 (2028)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(1 wk/mo)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Bahrain first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Y2 (2027)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300-500K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1-3M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Defer Y4-5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Y4-5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(Y3)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 (delayed)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(KSA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UAE partner-led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Medium-low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800K-1.5M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Second-order effects (what most founders miss)</w:t>
      </w:r>
    </w:p>
    <w:p>
      <w:pPr>
        <w:pStyle w:val="ListParagraph"/>
        <w:numPr>
          <w:ilvl w:val="0"/>
          <w:numId w:val="2"/>
        </w:numPr>
      </w:pPr>
      <w:r>
        <w:t xml:space="preserve">GCC localization isn't just regulation translation — it's recognition that GCAA, CAA-BH, DGCA-Kuwait have different procurement cultures, different academy decision-makers, and different bilingual norms (UAE accepts more English; Kuwait pulls more Arabic).</w:t>
      </w:r>
    </w:p>
    <w:p>
      <w:pPr>
        <w:pStyle w:val="ListParagraph"/>
        <w:numPr>
          <w:ilvl w:val="0"/>
          <w:numId w:val="2"/>
        </w:numPr>
      </w:pPr>
      <w:r>
        <w:t xml:space="preserve">Once you launch in UAE, you can never quietly retreat. UAE academies talk to Saudi academies; a UAE failure tarnishes the KSA brand.</w:t>
      </w:r>
    </w:p>
    <w:p>
      <w:pPr>
        <w:pStyle w:val="ListParagraph"/>
        <w:numPr>
          <w:ilvl w:val="0"/>
          <w:numId w:val="2"/>
        </w:numPr>
      </w:pPr>
      <w:r>
        <w:t xml:space="preserve">Saudi-UAE soft tension is a real consideration in some bilateral commercial relationships. Position GCC expansion as Vision 2030-aligned ('Saudi-built tech serving the GCC') rather than as Saudi-replacing-anyone narrative.</w:t>
      </w:r>
    </w:p>
    <w:p>
      <w:pPr>
        <w:pStyle w:val="ListParagraph"/>
        <w:numPr>
          <w:ilvl w:val="0"/>
          <w:numId w:val="2"/>
        </w:numPr>
      </w:pPr>
      <w:r>
        <w:t xml:space="preserve">Series B investors will care more about GCC traction than KSA depth past a certain ARR. Plan the GCC launch timing to align with Series B prep (~12-18 months before raising).</w:t>
      </w:r>
    </w:p>
    <w:p>
      <w:pPr>
        <w:pStyle w:val="ListParagraph"/>
        <w:numPr>
          <w:ilvl w:val="0"/>
          <w:numId w:val="2"/>
        </w:numPr>
      </w:pPr>
      <w:r>
        <w:t xml:space="preserve">Each new GCC market requires its own data residency story. UAE has its own personal data law (Federal Data Protection Law); Bahrain has its own (Personal Data Protection Law 2018). Compliance work isn't trivial.</w:t>
      </w:r>
    </w:p>
    <w:p>
      <w:r>
        <w:t xml:space="preserve"/>
      </w:r>
    </w:p>
    <w:p>
      <w:pPr>
        <w:pStyle w:val="Heading1"/>
      </w:pPr>
      <w: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call: </w:t>
            </w:r>
            <w:r>
              <w:rPr>
                <w:color w:val="0A0E12"/>
              </w:rPr>
              <w:t xml:space="preserve">Defer GCC to Year 3 (2028). UAE first via partner-led model. Don't move on Bahrain or Kuwait until UAE proves out.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Year 1-2 is full-throated KSA focus. Anything else is dilution.</w:t>
      </w:r>
    </w:p>
    <w:p>
      <w:pPr>
        <w:pStyle w:val="ListParagraph"/>
        <w:numPr>
          <w:ilvl w:val="0"/>
          <w:numId w:val="2"/>
        </w:numPr>
      </w:pPr>
      <w:r>
        <w:t xml:space="preserve">Year 3 GCC start coincides with Series A close ($) and bigger team capacity (people).</w:t>
      </w:r>
    </w:p>
    <w:p>
      <w:pPr>
        <w:pStyle w:val="ListParagraph"/>
        <w:numPr>
          <w:ilvl w:val="0"/>
          <w:numId w:val="2"/>
        </w:numPr>
      </w:pPr>
      <w:r>
        <w:t xml:space="preserve">UAE partner-led model is the highest-leverage entry: founder stays in KSA, partner brings UAE relationships, revenue share aligns incentives, equity stake limits dilution.</w:t>
      </w:r>
    </w:p>
    <w:p>
      <w:pPr>
        <w:pStyle w:val="ListParagraph"/>
        <w:numPr>
          <w:ilvl w:val="0"/>
          <w:numId w:val="2"/>
        </w:numPr>
      </w:pPr>
      <w:r>
        <w:t xml:space="preserve">Bahrain is too small to be the first move. Kuwait/Oman/Qatar follow UAE proof.</w:t>
      </w:r>
    </w:p>
    <w:p>
      <w:pPr>
        <w:pStyle w:val="ListParagraph"/>
        <w:numPr>
          <w:ilvl w:val="0"/>
          <w:numId w:val="2"/>
        </w:numPr>
      </w:pPr>
      <w:r>
        <w:t xml:space="preserve">If a UAE academy comes to you in Year 1-2 begging for service, take it as a special-case (revenue is revenue) but resist building UAE-team infrastructure until Year 3.</w:t>
      </w:r>
    </w:p>
    <w:p>
      <w:pPr>
        <w:pStyle w:val="Heading3"/>
      </w:pPr>
      <w:r>
        <w:t xml:space="preserve">What you're giving up</w:t>
      </w:r>
    </w:p>
    <w:p>
      <w:pPr>
        <w:pStyle w:val="ListParagraph"/>
        <w:numPr>
          <w:ilvl w:val="0"/>
          <w:numId w:val="2"/>
        </w:numPr>
      </w:pPr>
      <w:r>
        <w:t xml:space="preserve">Slower TAM expansion than aggressive multi-market launch.</w:t>
      </w:r>
    </w:p>
    <w:p>
      <w:pPr>
        <w:pStyle w:val="ListParagraph"/>
        <w:numPr>
          <w:ilvl w:val="0"/>
          <w:numId w:val="2"/>
        </w:numPr>
      </w:pPr>
      <w:r>
        <w:t xml:space="preserve">Partner-led model caps UAE upside (revenue share + equity to partner).</w:t>
      </w:r>
    </w:p>
    <w:p>
      <w:pPr>
        <w:pStyle w:val="ListParagraph"/>
        <w:numPr>
          <w:ilvl w:val="0"/>
          <w:numId w:val="2"/>
        </w:numPr>
      </w:pPr>
      <w:r>
        <w:t xml:space="preserve">Risk that a regional competitor (BECO Capital portfolio company, MENA EdTech) enters UAE/GCC before you in Year 2 — mitigation: monitor competitive signal quarterly.</w:t>
      </w:r>
    </w:p>
    <w:p>
      <w:r>
        <w:t xml:space="preserve"/>
      </w:r>
    </w:p>
    <w:p>
      <w:pPr>
        <w:pStyle w:val="Heading1"/>
      </w:pPr>
      <w:r>
        <w:t xml:space="preserve">30-day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why GCC is Year 3, not Year 1 — publish internally so founder + future hires share the discipline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Log entry committed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 building UAE relationship pipeline: 3-5 introductions to UAE-based aviation veterans (ex-Emirates, ex-Etihad, ex-flydubai trainers)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first-meeting invites 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GCC competitive landscape: identify any regional players targeting GCC pilots/cadets — quarterly review cadence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Competitive monitor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GCAA library prep: download GCAA published documents (no ingestion yet, just inventory)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GCAA content shelf ready for Year 2 prep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would change my mind</w:t>
      </w:r>
    </w:p>
    <w:p>
      <w:pPr>
        <w:pStyle w:val="ListParagraph"/>
        <w:numPr>
          <w:ilvl w:val="0"/>
          <w:numId w:val="2"/>
        </w:numPr>
      </w:pPr>
      <w:r>
        <w:t xml:space="preserve">If a foreign or regional competitor launches Arabic-first GCC pilot training in 2026-2027, accelerate UAE to Year 2.</w:t>
      </w:r>
    </w:p>
    <w:p>
      <w:pPr>
        <w:pStyle w:val="ListParagraph"/>
        <w:numPr>
          <w:ilvl w:val="0"/>
          <w:numId w:val="2"/>
        </w:numPr>
      </w:pPr>
      <w:r>
        <w:t xml:space="preserve">If KSA hits 5+ paying academies by month 12 (significantly ahead of plan), pull UAE to Year 2 H2.</w:t>
      </w:r>
    </w:p>
    <w:p>
      <w:pPr>
        <w:pStyle w:val="ListParagraph"/>
        <w:numPr>
          <w:ilvl w:val="0"/>
          <w:numId w:val="2"/>
        </w:numPr>
      </w:pPr>
      <w:r>
        <w:t xml:space="preserve">If a credible UAE partner (ex-Emirates training captain, ex-flydubai head of training) approaches as a co-founder candidate in 2026, restructure the GCC plan around them.</w:t>
      </w:r>
    </w:p>
    <w:p>
      <w:pPr>
        <w:pStyle w:val="ListParagraph"/>
        <w:numPr>
          <w:ilvl w:val="0"/>
          <w:numId w:val="2"/>
        </w:numPr>
      </w:pPr>
      <w:r>
        <w:t xml:space="preserve">If GCAA changes its training regulations significantly (curriculum reform), adjust UAE timing to land alongside the new GCAA cycle.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 07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2026-05-05T09:45:33.575Z</dcterms:created>
  <dcterms:modified xsi:type="dcterms:W3CDTF">2026-05-05T09:45:33.575Z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