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E8A" w:sz="1"/>
              <w:left w:val="single" w:color="2D6E8A" w:sz="1"/>
              <w:bottom w:val="single" w:color="2D6E8A" w:sz="1"/>
              <w:right w:val="single" w:color="2D6E8A" w:sz="1"/>
            </w:tcBorders>
            <w:shd w:fill="2D6E8A" w:val="clear"/>
            <w:tcMar>
              <w:top w:type="dxa" w:w="400"/>
              <w:left w:type="dxa" w:w="400"/>
              <w:bottom w:type="dxa" w:w="400"/>
              <w:right w:type="dxa" w:w="400"/>
            </w:tcMar>
            <w:vAlign w:val="center"/>
          </w:tcPr>
          <w:p>
            <w:pPr>
              <w:spacing w:after="80" w:before="0"/>
              <w:jc w:val="center"/>
            </w:pPr>
            <w:r>
              <w:rPr>
                <w:rFonts w:ascii="Arial" w:cs="Arial" w:eastAsia="Arial" w:hAnsi="Arial"/>
                <w:b/>
                <w:bCs/>
                <w:color w:val="FFFFFF"/>
                <w:sz w:val="48"/>
                <w:szCs w:val="48"/>
              </w:rPr>
              <w:t xml:space="preserve">FLY GACA</w:t>
            </w:r>
          </w:p>
          <w:p>
            <w:pPr>
              <w:spacing w:after="0" w:before="0"/>
              <w:jc w:val="center"/>
            </w:pPr>
            <w:r>
              <w:rPr>
                <w:rFonts w:ascii="Arial" w:cs="Arial" w:eastAsia="Arial" w:hAnsi="Arial"/>
                <w:b/>
                <w:bCs/>
                <w:color w:val="E0C588"/>
                <w:sz w:val="36"/>
                <w:szCs w:val="36"/>
              </w:rPr>
              <w:t xml:space="preserve">Confidentiality &amp; Non-Compete Agreement</w:t>
            </w:r>
          </w:p>
        </w:tc>
      </w:tr>
    </w:tbl>
    <w:p>
      <w:pPr>
        <w:pBdr>
          <w:bottom w:val="single" w:color="C8A04A" w:sz="12" w:space="1"/>
        </w:pBdr>
        <w:spacing w:after="200" w:before="0"/>
      </w:pPr>
      <w:r>
        <w:t xml:space="preserve"/>
      </w:r>
    </w:p>
    <w:p>
      <w:pPr>
        <w:spacing w:after="60" w:before="120"/>
        <w:jc w:val="center"/>
      </w:pPr>
      <w:r>
        <w:rPr>
          <w:rFonts w:ascii="Arial" w:cs="Arial" w:eastAsia="Arial" w:hAnsi="Arial"/>
          <w:b/>
          <w:bCs/>
          <w:color w:val="0A0E12"/>
          <w:sz w:val="22"/>
          <w:szCs w:val="22"/>
        </w:rPr>
        <w:t xml:space="preserve">TEMPLATE — Subject to Saudi Counsel Review</w:t>
      </w:r>
    </w:p>
    <w:p>
      <w:pPr>
        <w:spacing w:after="240" w:before="0"/>
        <w:jc w:val="center"/>
      </w:pPr>
      <w:r>
        <w:rPr>
          <w:rFonts w:ascii="Arial" w:cs="Arial" w:eastAsia="Arial" w:hAnsi="Arial"/>
          <w:color w:val="7A8590"/>
          <w:sz w:val="20"/>
          <w:szCs w:val="20"/>
        </w:rPr>
        <w:t xml:space="preserve">Fly GACA · Office Paperwork · v1.0 · May 2026</w:t>
      </w:r>
    </w:p>
    <w:p>
      <w:pPr>
        <w:pBdr>
          <w:bottom w:val="single" w:color="C8A04A" w:sz="4"/>
        </w:pBdr>
        <w:spacing w:after="120" w:before="120"/>
      </w:pPr>
      <w:r>
        <w:rPr>
          <w:rFonts w:ascii="Arial" w:cs="Arial" w:eastAsia="Arial" w:hAnsi="Arial"/>
          <w:b/>
          <w:bCs/>
          <w:i/>
          <w:iCs/>
          <w:color w:val="CC0000"/>
          <w:sz w:val="20"/>
          <w:szCs w:val="20"/>
        </w:rPr>
        <w:t xml:space="preserve">IMPORTANT: This is a template prepared for Fly GACA’s internal use. Saudi-licensed counsel must review before execution. Not legal advice.</w:t>
      </w:r>
    </w:p>
    <w:p>
      <w:pPr>
        <w:spacing w:after="60" w:before="60"/>
      </w:pPr>
      <w:r>
        <w:rPr>
          <w:rFonts w:ascii="Arial" w:cs="Arial" w:eastAsia="Arial" w:hAnsi="Arial"/>
          <w:sz w:val="22"/>
          <w:szCs w:val="22"/>
        </w:rPr>
        <w:t xml:space="preserve">This Confidentiality and Non-Compete Agreement ("Agreement") supplements the Employment Contract between the parties. It is entered into by senior employees, executives, engineers, and others handling proprietary code, trade secrets, or commercially sensitive information of Fly GACA.</w:t>
      </w:r>
    </w:p>
    <w:p>
      <w:r>
        <w:br w:type="page"/>
      </w:r>
    </w:p>
    <w:p>
      <w:pPr>
        <w:pStyle w:val="Heading1"/>
        <w:spacing w:after="120" w:before="300"/>
      </w:pPr>
      <w:r>
        <w:rPr>
          <w:rFonts w:ascii="Arial" w:cs="Arial" w:eastAsia="Arial" w:hAnsi="Arial"/>
          <w:b/>
          <w:bCs/>
          <w:color w:val="2D6E8A"/>
          <w:sz w:val="28"/>
          <w:szCs w:val="28"/>
        </w:rPr>
        <w:t xml:space="preserve">1. Parties</w:t>
      </w:r>
    </w:p>
    <w:p>
      <w:pPr>
        <w:spacing w:after="60" w:before="60"/>
      </w:pPr>
      <w:r>
        <w:rPr>
          <w:rFonts w:ascii="Arial" w:cs="Arial" w:eastAsia="Arial" w:hAnsi="Arial"/>
          <w:sz w:val="22"/>
          <w:szCs w:val="22"/>
        </w:rPr>
        <w:t xml:space="preserve">This Agreement is entered into as of [EFFECTIVE_DATE] by and between:</w:t>
      </w:r>
    </w:p>
    <w:p>
      <w:pPr>
        <w:spacing w:after="80" w:before="80"/>
      </w:pPr>
      <w:r>
        <w:t xml:space="preserve"/>
      </w:r>
    </w:p>
    <w:p>
      <w:pPr>
        <w:spacing w:after="60" w:before="60"/>
      </w:pPr>
      <w:r>
        <w:rPr>
          <w:rFonts w:ascii="Arial" w:cs="Arial" w:eastAsia="Arial" w:hAnsi="Arial"/>
          <w:b/>
          <w:bCs/>
          <w:sz w:val="22"/>
          <w:szCs w:val="22"/>
        </w:rPr>
        <w:t xml:space="preserve">Employer:</w:t>
      </w:r>
    </w:p>
    <w:p>
      <w:pPr>
        <w:pStyle w:val="ListParagraph"/>
        <w:numPr>
          <w:ilvl w:val="0"/>
          <w:numId w:val="2"/>
        </w:numPr>
        <w:spacing w:after="40" w:before="40"/>
      </w:pPr>
      <w:r>
        <w:rPr>
          <w:rFonts w:ascii="Arial" w:cs="Arial" w:eastAsia="Arial" w:hAnsi="Arial"/>
          <w:sz w:val="22"/>
          <w:szCs w:val="22"/>
        </w:rPr>
        <w:t xml:space="preserve">Legal Name: Fly GACA Saudi Arabia (LLC)</w:t>
      </w:r>
    </w:p>
    <w:p>
      <w:pPr>
        <w:pStyle w:val="ListParagraph"/>
        <w:numPr>
          <w:ilvl w:val="0"/>
          <w:numId w:val="2"/>
        </w:numPr>
        <w:spacing w:after="40" w:before="40"/>
      </w:pPr>
      <w:r>
        <w:rPr>
          <w:rFonts w:ascii="Arial" w:cs="Arial" w:eastAsia="Arial" w:hAnsi="Arial"/>
          <w:sz w:val="22"/>
          <w:szCs w:val="22"/>
        </w:rPr>
        <w:t xml:space="preserve">CR No.: [CR_NUMBER]</w:t>
      </w:r>
    </w:p>
    <w:p>
      <w:pPr>
        <w:pStyle w:val="ListParagraph"/>
        <w:numPr>
          <w:ilvl w:val="0"/>
          <w:numId w:val="2"/>
        </w:numPr>
        <w:spacing w:after="40" w:before="40"/>
      </w:pPr>
      <w:r>
        <w:rPr>
          <w:rFonts w:ascii="Arial" w:cs="Arial" w:eastAsia="Arial" w:hAnsi="Arial"/>
          <w:sz w:val="22"/>
          <w:szCs w:val="22"/>
        </w:rPr>
        <w:t xml:space="preserve">Registered Address: [COMPANY_ADDRESS], Kingdom of Saudi Arabia</w:t>
      </w:r>
    </w:p>
    <w:p>
      <w:pPr>
        <w:pStyle w:val="ListParagraph"/>
        <w:numPr>
          <w:ilvl w:val="0"/>
          <w:numId w:val="2"/>
        </w:numPr>
        <w:spacing w:after="40" w:before="40"/>
      </w:pPr>
      <w:r>
        <w:rPr>
          <w:rFonts w:ascii="Arial" w:cs="Arial" w:eastAsia="Arial" w:hAnsi="Arial"/>
          <w:sz w:val="22"/>
          <w:szCs w:val="22"/>
        </w:rPr>
        <w:t xml:space="preserve">Represented by: Adel Yahya A. Madkhali, Chief Executive Officer</w:t>
      </w:r>
    </w:p>
    <w:p>
      <w:pPr>
        <w:spacing w:after="80" w:before="80"/>
      </w:pPr>
      <w:r>
        <w:t xml:space="preserve"/>
      </w:r>
    </w:p>
    <w:p>
      <w:pPr>
        <w:spacing w:after="60" w:before="60"/>
      </w:pPr>
      <w:r>
        <w:rPr>
          <w:rFonts w:ascii="Arial" w:cs="Arial" w:eastAsia="Arial" w:hAnsi="Arial"/>
          <w:b/>
          <w:bCs/>
          <w:sz w:val="22"/>
          <w:szCs w:val="22"/>
        </w:rPr>
        <w:t xml:space="preserve">Employee / Contractor:</w:t>
      </w:r>
    </w:p>
    <w:p>
      <w:pPr>
        <w:pStyle w:val="ListParagraph"/>
        <w:numPr>
          <w:ilvl w:val="0"/>
          <w:numId w:val="2"/>
        </w:numPr>
        <w:spacing w:after="40" w:before="40"/>
      </w:pPr>
      <w:r>
        <w:rPr>
          <w:rFonts w:ascii="Arial" w:cs="Arial" w:eastAsia="Arial" w:hAnsi="Arial"/>
          <w:sz w:val="22"/>
          <w:szCs w:val="22"/>
        </w:rPr>
        <w:t xml:space="preserve">Full Name: [EMPLOYEE_FULL_NAME]</w:t>
      </w:r>
    </w:p>
    <w:p>
      <w:pPr>
        <w:pStyle w:val="ListParagraph"/>
        <w:numPr>
          <w:ilvl w:val="0"/>
          <w:numId w:val="2"/>
        </w:numPr>
        <w:spacing w:after="40" w:before="40"/>
      </w:pPr>
      <w:r>
        <w:rPr>
          <w:rFonts w:ascii="Arial" w:cs="Arial" w:eastAsia="Arial" w:hAnsi="Arial"/>
          <w:sz w:val="22"/>
          <w:szCs w:val="22"/>
        </w:rPr>
        <w:t xml:space="preserve">National ID / Iqama / Passport No.: [EMPLOYEE_ID]</w:t>
      </w:r>
    </w:p>
    <w:p>
      <w:pPr>
        <w:pStyle w:val="ListParagraph"/>
        <w:numPr>
          <w:ilvl w:val="0"/>
          <w:numId w:val="2"/>
        </w:numPr>
        <w:spacing w:after="40" w:before="40"/>
      </w:pPr>
      <w:r>
        <w:rPr>
          <w:rFonts w:ascii="Arial" w:cs="Arial" w:eastAsia="Arial" w:hAnsi="Arial"/>
          <w:sz w:val="22"/>
          <w:szCs w:val="22"/>
        </w:rPr>
        <w:t xml:space="preserve">Position / Title: [EMPLOYEE_TITLE]</w:t>
      </w:r>
    </w:p>
    <w:p>
      <w:pPr>
        <w:pStyle w:val="ListParagraph"/>
        <w:numPr>
          <w:ilvl w:val="0"/>
          <w:numId w:val="2"/>
        </w:numPr>
        <w:spacing w:after="40" w:before="40"/>
      </w:pPr>
      <w:r>
        <w:rPr>
          <w:rFonts w:ascii="Arial" w:cs="Arial" w:eastAsia="Arial" w:hAnsi="Arial"/>
          <w:sz w:val="22"/>
          <w:szCs w:val="22"/>
        </w:rPr>
        <w:t xml:space="preserve">Employment / Engagement Start Date: [START_DATE]</w:t>
      </w:r>
    </w:p>
    <w:p>
      <w:pPr>
        <w:spacing w:after="80" w:before="80"/>
      </w:pPr>
      <w:r>
        <w:t xml:space="preserve"/>
      </w:r>
    </w:p>
    <w:p>
      <w:pPr>
        <w:spacing w:after="60" w:before="60"/>
      </w:pPr>
      <w:r>
        <w:rPr>
          <w:rFonts w:ascii="Arial" w:cs="Arial" w:eastAsia="Arial" w:hAnsi="Arial"/>
          <w:sz w:val="22"/>
          <w:szCs w:val="22"/>
        </w:rPr>
        <w:t xml:space="preserve">This Agreement supplements and is in addition to any employment contract, contractor agreement, or IP Assignment Agreement. In the event of conflict, this Agreement prevails with respect to confidentiality and non-compete obligations.</w:t>
      </w:r>
    </w:p>
    <w:p>
      <w:r>
        <w:br w:type="page"/>
      </w:r>
    </w:p>
    <w:p>
      <w:pPr>
        <w:pStyle w:val="Heading1"/>
        <w:spacing w:after="120" w:before="300"/>
      </w:pPr>
      <w:r>
        <w:rPr>
          <w:rFonts w:ascii="Arial" w:cs="Arial" w:eastAsia="Arial" w:hAnsi="Arial"/>
          <w:b/>
          <w:bCs/>
          <w:color w:val="2D6E8A"/>
          <w:sz w:val="28"/>
          <w:szCs w:val="28"/>
        </w:rPr>
        <w:t xml:space="preserve">2. Definitions</w:t>
      </w:r>
    </w:p>
    <w:p>
      <w:pPr>
        <w:pStyle w:val="ListParagraph"/>
        <w:numPr>
          <w:ilvl w:val="0"/>
          <w:numId w:val="2"/>
        </w:numPr>
        <w:spacing w:after="40" w:before="40"/>
      </w:pPr>
      <w:r>
        <w:rPr>
          <w:rFonts w:ascii="Arial" w:cs="Arial" w:eastAsia="Arial" w:hAnsi="Arial"/>
          <w:sz w:val="22"/>
          <w:szCs w:val="22"/>
        </w:rPr>
        <w:t xml:space="preserve">"Confidential Information" means any non-public information of the Employer, including source code, AI model design, GACAR library methodology, Captain Adel persona architecture, financial data, business strategy, investor information, cap table, customer lists, pricing, partnership terms, and personal data under Saudi PDPL (Royal Decree M/19)</w:t>
      </w:r>
    </w:p>
    <w:p>
      <w:pPr>
        <w:pStyle w:val="ListParagraph"/>
        <w:numPr>
          <w:ilvl w:val="0"/>
          <w:numId w:val="2"/>
        </w:numPr>
        <w:spacing w:after="40" w:before="40"/>
      </w:pPr>
      <w:r>
        <w:rPr>
          <w:rFonts w:ascii="Arial" w:cs="Arial" w:eastAsia="Arial" w:hAnsi="Arial"/>
          <w:sz w:val="22"/>
          <w:szCs w:val="22"/>
        </w:rPr>
        <w:t xml:space="preserve">"Competing Business" means any business, product, or service that: (a) delivers aviation regulatory content, AI flight instruction, or GACA exam preparation in KSA or GCC; or (b) is materially similar to the Fly GACA platform as it exists or is reasonably anticipated during the Employee tenure</w:t>
      </w:r>
    </w:p>
    <w:p>
      <w:pPr>
        <w:pStyle w:val="ListParagraph"/>
        <w:numPr>
          <w:ilvl w:val="0"/>
          <w:numId w:val="2"/>
        </w:numPr>
        <w:spacing w:after="40" w:before="40"/>
      </w:pPr>
      <w:r>
        <w:rPr>
          <w:rFonts w:ascii="Arial" w:cs="Arial" w:eastAsia="Arial" w:hAnsi="Arial"/>
          <w:sz w:val="22"/>
          <w:szCs w:val="22"/>
        </w:rPr>
        <w:t xml:space="preserve">"Customers" means any person or entity that is or was a customer, subscriber, or prospective customer of the Employer during the Employee tenure</w:t>
      </w:r>
    </w:p>
    <w:p>
      <w:pPr>
        <w:pStyle w:val="ListParagraph"/>
        <w:numPr>
          <w:ilvl w:val="0"/>
          <w:numId w:val="2"/>
        </w:numPr>
        <w:spacing w:after="40" w:before="40"/>
      </w:pPr>
      <w:r>
        <w:rPr>
          <w:rFonts w:ascii="Arial" w:cs="Arial" w:eastAsia="Arial" w:hAnsi="Arial"/>
          <w:sz w:val="22"/>
          <w:szCs w:val="22"/>
        </w:rPr>
        <w:t xml:space="preserve">"Personnel" means any employee, officer, contractor, or adviser of the Employer</w:t>
      </w:r>
    </w:p>
    <w:p>
      <w:r>
        <w:br w:type="page"/>
      </w:r>
    </w:p>
    <w:p>
      <w:pPr>
        <w:pStyle w:val="Heading1"/>
        <w:spacing w:after="120" w:before="300"/>
      </w:pPr>
      <w:r>
        <w:rPr>
          <w:rFonts w:ascii="Arial" w:cs="Arial" w:eastAsia="Arial" w:hAnsi="Arial"/>
          <w:b/>
          <w:bCs/>
          <w:color w:val="2D6E8A"/>
          <w:sz w:val="28"/>
          <w:szCs w:val="28"/>
        </w:rPr>
        <w:t xml:space="preserve">3. Confidentiality Obligations</w:t>
      </w:r>
    </w:p>
    <w:p>
      <w:pPr>
        <w:pStyle w:val="Heading2"/>
        <w:spacing w:after="80" w:before="200"/>
      </w:pPr>
      <w:r>
        <w:rPr>
          <w:rFonts w:ascii="Arial" w:cs="Arial" w:eastAsia="Arial" w:hAnsi="Arial"/>
          <w:b/>
          <w:bCs/>
          <w:color w:val="0A0E12"/>
          <w:sz w:val="24"/>
          <w:szCs w:val="24"/>
        </w:rPr>
        <w:t xml:space="preserve">3.1 Obligation of Confidence</w:t>
      </w:r>
    </w:p>
    <w:p>
      <w:pPr>
        <w:spacing w:after="60" w:before="60"/>
      </w:pPr>
      <w:r>
        <w:rPr>
          <w:rFonts w:ascii="Arial" w:cs="Arial" w:eastAsia="Arial" w:hAnsi="Arial"/>
          <w:sz w:val="22"/>
          <w:szCs w:val="22"/>
        </w:rPr>
        <w:t xml:space="preserve">During the term of employment/engagement and indefinitely thereafter, the Employee shall:</w:t>
      </w:r>
    </w:p>
    <w:p>
      <w:pPr>
        <w:pStyle w:val="ListParagraph"/>
        <w:numPr>
          <w:ilvl w:val="0"/>
          <w:numId w:val="2"/>
        </w:numPr>
        <w:spacing w:after="40" w:before="40"/>
      </w:pPr>
      <w:r>
        <w:rPr>
          <w:rFonts w:ascii="Arial" w:cs="Arial" w:eastAsia="Arial" w:hAnsi="Arial"/>
          <w:sz w:val="22"/>
          <w:szCs w:val="22"/>
        </w:rPr>
        <w:t xml:space="preserve">Hold all Confidential Information in strict confidence</w:t>
      </w:r>
    </w:p>
    <w:p>
      <w:pPr>
        <w:pStyle w:val="ListParagraph"/>
        <w:numPr>
          <w:ilvl w:val="0"/>
          <w:numId w:val="2"/>
        </w:numPr>
        <w:spacing w:after="40" w:before="40"/>
      </w:pPr>
      <w:r>
        <w:rPr>
          <w:rFonts w:ascii="Arial" w:cs="Arial" w:eastAsia="Arial" w:hAnsi="Arial"/>
          <w:sz w:val="22"/>
          <w:szCs w:val="22"/>
        </w:rPr>
        <w:t xml:space="preserve">Not disclose Confidential Information to any third party without prior written consent</w:t>
      </w:r>
    </w:p>
    <w:p>
      <w:pPr>
        <w:pStyle w:val="ListParagraph"/>
        <w:numPr>
          <w:ilvl w:val="0"/>
          <w:numId w:val="2"/>
        </w:numPr>
        <w:spacing w:after="40" w:before="40"/>
      </w:pPr>
      <w:r>
        <w:rPr>
          <w:rFonts w:ascii="Arial" w:cs="Arial" w:eastAsia="Arial" w:hAnsi="Arial"/>
          <w:sz w:val="22"/>
          <w:szCs w:val="22"/>
        </w:rPr>
        <w:t xml:space="preserve">Use Confidential Information solely in the performance of duties to the Employer</w:t>
      </w:r>
    </w:p>
    <w:p>
      <w:pPr>
        <w:pStyle w:val="ListParagraph"/>
        <w:numPr>
          <w:ilvl w:val="0"/>
          <w:numId w:val="2"/>
        </w:numPr>
        <w:spacing w:after="40" w:before="40"/>
      </w:pPr>
      <w:r>
        <w:rPr>
          <w:rFonts w:ascii="Arial" w:cs="Arial" w:eastAsia="Arial" w:hAnsi="Arial"/>
          <w:sz w:val="22"/>
          <w:szCs w:val="22"/>
        </w:rPr>
        <w:t xml:space="preserve">Implement appropriate digital security practices to protect Confidential Information from unauthorized access</w:t>
      </w:r>
    </w:p>
    <w:p>
      <w:pPr>
        <w:pStyle w:val="Heading2"/>
        <w:spacing w:after="80" w:before="200"/>
      </w:pPr>
      <w:r>
        <w:rPr>
          <w:rFonts w:ascii="Arial" w:cs="Arial" w:eastAsia="Arial" w:hAnsi="Arial"/>
          <w:b/>
          <w:bCs/>
          <w:color w:val="0A0E12"/>
          <w:sz w:val="24"/>
          <w:szCs w:val="24"/>
        </w:rPr>
        <w:t xml:space="preserve">3.2 Trade Secrets — Indefinite Obligation</w:t>
      </w:r>
    </w:p>
    <w:p>
      <w:pPr>
        <w:spacing w:after="60" w:before="60"/>
      </w:pPr>
      <w:r>
        <w:rPr>
          <w:rFonts w:ascii="Arial" w:cs="Arial" w:eastAsia="Arial" w:hAnsi="Arial"/>
          <w:sz w:val="22"/>
          <w:szCs w:val="22"/>
        </w:rPr>
        <w:t xml:space="preserve">Obligations for trade secrets (source code, AI architecture, Captain Adel persona system prompts, GACAR indexing methodology) survive indefinitely so long as such information constitutes a trade secret under Saudi law.</w:t>
      </w:r>
    </w:p>
    <w:p>
      <w:pPr>
        <w:pStyle w:val="Heading2"/>
        <w:spacing w:after="80" w:before="200"/>
      </w:pPr>
      <w:r>
        <w:rPr>
          <w:rFonts w:ascii="Arial" w:cs="Arial" w:eastAsia="Arial" w:hAnsi="Arial"/>
          <w:b/>
          <w:bCs/>
          <w:color w:val="0A0E12"/>
          <w:sz w:val="24"/>
          <w:szCs w:val="24"/>
        </w:rPr>
        <w:t xml:space="preserve">3.3 General Confidential Information — Five-Year Obligation</w:t>
      </w:r>
    </w:p>
    <w:p>
      <w:pPr>
        <w:spacing w:after="60" w:before="60"/>
      </w:pPr>
      <w:r>
        <w:rPr>
          <w:rFonts w:ascii="Arial" w:cs="Arial" w:eastAsia="Arial" w:hAnsi="Arial"/>
          <w:sz w:val="22"/>
          <w:szCs w:val="22"/>
        </w:rPr>
        <w:t xml:space="preserve">Obligations for general Confidential Information (not trade secrets) survive for five (5) years following termination.</w:t>
      </w:r>
    </w:p>
    <w:p>
      <w:pPr>
        <w:pStyle w:val="Heading2"/>
        <w:spacing w:after="80" w:before="200"/>
      </w:pPr>
      <w:r>
        <w:rPr>
          <w:rFonts w:ascii="Arial" w:cs="Arial" w:eastAsia="Arial" w:hAnsi="Arial"/>
          <w:b/>
          <w:bCs/>
          <w:color w:val="0A0E12"/>
          <w:sz w:val="24"/>
          <w:szCs w:val="24"/>
        </w:rPr>
        <w:t xml:space="preserve">3.4 Personal Data — PDPL</w:t>
      </w:r>
    </w:p>
    <w:p>
      <w:pPr>
        <w:spacing w:after="60" w:before="60"/>
      </w:pPr>
      <w:r>
        <w:rPr>
          <w:rFonts w:ascii="Arial" w:cs="Arial" w:eastAsia="Arial" w:hAnsi="Arial"/>
          <w:sz w:val="22"/>
          <w:szCs w:val="22"/>
        </w:rPr>
        <w:t xml:space="preserve">Personal data obligations survive indefinitely and comply with all requirements of Saudi PDPL (Royal Decree M/19), including restrictions on transfer, processing, and retention.</w:t>
      </w:r>
    </w:p>
    <w:p>
      <w:pPr>
        <w:pStyle w:val="Heading2"/>
        <w:spacing w:after="80" w:before="200"/>
      </w:pPr>
      <w:r>
        <w:rPr>
          <w:rFonts w:ascii="Arial" w:cs="Arial" w:eastAsia="Arial" w:hAnsi="Arial"/>
          <w:b/>
          <w:bCs/>
          <w:color w:val="0A0E12"/>
          <w:sz w:val="24"/>
          <w:szCs w:val="24"/>
        </w:rPr>
        <w:t xml:space="preserve">3.5 Exceptions</w:t>
      </w:r>
    </w:p>
    <w:p>
      <w:pPr>
        <w:spacing w:after="60" w:before="60"/>
      </w:pPr>
      <w:r>
        <w:rPr>
          <w:rFonts w:ascii="Arial" w:cs="Arial" w:eastAsia="Arial" w:hAnsi="Arial"/>
          <w:sz w:val="22"/>
          <w:szCs w:val="22"/>
        </w:rPr>
        <w:t xml:space="preserve">Obligations do not apply to information that: (a) becomes publicly known through no breach by the Employee; (b) was rightfully known before employment; (c) is independently developed without reference to Confidential Information; (d) is required to be disclosed by law or court order, subject to prior written notice to Employer.</w:t>
      </w:r>
    </w:p>
    <w:p>
      <w:r>
        <w:br w:type="page"/>
      </w:r>
    </w:p>
    <w:p>
      <w:pPr>
        <w:pStyle w:val="Heading1"/>
        <w:spacing w:after="120" w:before="300"/>
      </w:pPr>
      <w:r>
        <w:rPr>
          <w:rFonts w:ascii="Arial" w:cs="Arial" w:eastAsia="Arial" w:hAnsi="Arial"/>
          <w:b/>
          <w:bCs/>
          <w:color w:val="2D6E8A"/>
          <w:sz w:val="28"/>
          <w:szCs w:val="28"/>
        </w:rPr>
        <w:t xml:space="preserve">4. Return of Confidential Materials</w:t>
      </w:r>
    </w:p>
    <w:p>
      <w:pPr>
        <w:spacing w:after="60" w:before="60"/>
      </w:pPr>
      <w:r>
        <w:rPr>
          <w:rFonts w:ascii="Arial" w:cs="Arial" w:eastAsia="Arial" w:hAnsi="Arial"/>
          <w:sz w:val="22"/>
          <w:szCs w:val="22"/>
        </w:rPr>
        <w:t xml:space="preserve">Upon termination for any reason, the Employee shall immediately return or certify destruction of all materials (physical and digital) containing Confidential Information, including:</w:t>
      </w:r>
    </w:p>
    <w:p>
      <w:pPr>
        <w:pStyle w:val="ListParagraph"/>
        <w:numPr>
          <w:ilvl w:val="0"/>
          <w:numId w:val="2"/>
        </w:numPr>
        <w:spacing w:after="40" w:before="40"/>
      </w:pPr>
      <w:r>
        <w:rPr>
          <w:rFonts w:ascii="Arial" w:cs="Arial" w:eastAsia="Arial" w:hAnsi="Arial"/>
          <w:sz w:val="22"/>
          <w:szCs w:val="22"/>
        </w:rPr>
        <w:t xml:space="preserve">Laptops, devices, and storage media provided by the Employer</w:t>
      </w:r>
    </w:p>
    <w:p>
      <w:pPr>
        <w:pStyle w:val="ListParagraph"/>
        <w:numPr>
          <w:ilvl w:val="0"/>
          <w:numId w:val="2"/>
        </w:numPr>
        <w:spacing w:after="40" w:before="40"/>
      </w:pPr>
      <w:r>
        <w:rPr>
          <w:rFonts w:ascii="Arial" w:cs="Arial" w:eastAsia="Arial" w:hAnsi="Arial"/>
          <w:sz w:val="22"/>
          <w:szCs w:val="22"/>
        </w:rPr>
        <w:t xml:space="preserve">All local and cloud copies of source code, databases, and proprietary data</w:t>
      </w:r>
    </w:p>
    <w:p>
      <w:pPr>
        <w:pStyle w:val="ListParagraph"/>
        <w:numPr>
          <w:ilvl w:val="0"/>
          <w:numId w:val="2"/>
        </w:numPr>
        <w:spacing w:after="40" w:before="40"/>
      </w:pPr>
      <w:r>
        <w:rPr>
          <w:rFonts w:ascii="Arial" w:cs="Arial" w:eastAsia="Arial" w:hAnsi="Arial"/>
          <w:sz w:val="22"/>
          <w:szCs w:val="22"/>
        </w:rPr>
        <w:t xml:space="preserve">All documentation, strategic plans, and investor materials</w:t>
      </w:r>
    </w:p>
    <w:p>
      <w:pPr>
        <w:spacing w:after="60" w:before="60"/>
      </w:pPr>
      <w:r>
        <w:rPr>
          <w:rFonts w:ascii="Arial" w:cs="Arial" w:eastAsia="Arial" w:hAnsi="Arial"/>
          <w:sz w:val="22"/>
          <w:szCs w:val="22"/>
        </w:rPr>
        <w:t xml:space="preserve">Written certification of return or destruction required within five (5) business days of termination.</w:t>
      </w:r>
    </w:p>
    <w:p>
      <w:r>
        <w:br w:type="page"/>
      </w:r>
    </w:p>
    <w:p>
      <w:pPr>
        <w:pStyle w:val="Heading1"/>
        <w:spacing w:after="120" w:before="300"/>
      </w:pPr>
      <w:r>
        <w:rPr>
          <w:rFonts w:ascii="Arial" w:cs="Arial" w:eastAsia="Arial" w:hAnsi="Arial"/>
          <w:b/>
          <w:bCs/>
          <w:color w:val="2D6E8A"/>
          <w:sz w:val="28"/>
          <w:szCs w:val="28"/>
        </w:rPr>
        <w:t xml:space="preserve">5. Non-Compete Obligation</w:t>
      </w:r>
    </w:p>
    <w:p>
      <w:pPr>
        <w:pStyle w:val="Heading2"/>
        <w:spacing w:after="80" w:before="200"/>
      </w:pPr>
      <w:r>
        <w:rPr>
          <w:rFonts w:ascii="Arial" w:cs="Arial" w:eastAsia="Arial" w:hAnsi="Arial"/>
          <w:b/>
          <w:bCs/>
          <w:color w:val="0A0E12"/>
          <w:sz w:val="24"/>
          <w:szCs w:val="24"/>
        </w:rPr>
        <w:t xml:space="preserve">5.1 Scope and Duration</w:t>
      </w:r>
    </w:p>
    <w:p>
      <w:pPr>
        <w:spacing w:after="60" w:before="60"/>
      </w:pPr>
      <w:r>
        <w:rPr>
          <w:rFonts w:ascii="Arial" w:cs="Arial" w:eastAsia="Arial" w:hAnsi="Arial"/>
          <w:sz w:val="22"/>
          <w:szCs w:val="22"/>
        </w:rPr>
        <w:t xml:space="preserve">For twelve (12) months following termination (for any reason), the Employee shall not, directly or indirectly:</w:t>
      </w:r>
    </w:p>
    <w:p>
      <w:pPr>
        <w:pStyle w:val="ListParagraph"/>
        <w:numPr>
          <w:ilvl w:val="0"/>
          <w:numId w:val="2"/>
        </w:numPr>
        <w:spacing w:after="40" w:before="40"/>
      </w:pPr>
      <w:r>
        <w:rPr>
          <w:rFonts w:ascii="Arial" w:cs="Arial" w:eastAsia="Arial" w:hAnsi="Arial"/>
          <w:sz w:val="22"/>
          <w:szCs w:val="22"/>
        </w:rPr>
        <w:t xml:space="preserve">Establish, own (excluding publicly listed shares under 1%), operate, manage, or be employed by any Competing Business in the Kingdom of Saudi Arabia</w:t>
      </w:r>
    </w:p>
    <w:p>
      <w:pPr>
        <w:pStyle w:val="ListParagraph"/>
        <w:numPr>
          <w:ilvl w:val="0"/>
          <w:numId w:val="2"/>
        </w:numPr>
        <w:spacing w:after="40" w:before="40"/>
      </w:pPr>
      <w:r>
        <w:rPr>
          <w:rFonts w:ascii="Arial" w:cs="Arial" w:eastAsia="Arial" w:hAnsi="Arial"/>
          <w:sz w:val="22"/>
          <w:szCs w:val="22"/>
        </w:rPr>
        <w:t xml:space="preserve">Provide consulting, advisory, or technical services to any Competing Business in the Kingdom of Saudi Arabia</w:t>
      </w:r>
    </w:p>
    <w:p>
      <w:pPr>
        <w:pStyle w:val="ListParagraph"/>
        <w:numPr>
          <w:ilvl w:val="0"/>
          <w:numId w:val="2"/>
        </w:numPr>
        <w:spacing w:after="40" w:before="40"/>
      </w:pPr>
      <w:r>
        <w:rPr>
          <w:rFonts w:ascii="Arial" w:cs="Arial" w:eastAsia="Arial" w:hAnsi="Arial"/>
          <w:sz w:val="22"/>
          <w:szCs w:val="22"/>
        </w:rPr>
        <w:t xml:space="preserve">Develop, design, or contribute to any product substantially similar to Fly GACA platform</w:t>
      </w:r>
    </w:p>
    <w:p>
      <w:pPr>
        <w:pStyle w:val="Heading2"/>
        <w:spacing w:after="80" w:before="200"/>
      </w:pPr>
      <w:r>
        <w:rPr>
          <w:rFonts w:ascii="Arial" w:cs="Arial" w:eastAsia="Arial" w:hAnsi="Arial"/>
          <w:b/>
          <w:bCs/>
          <w:color w:val="0A0E12"/>
          <w:sz w:val="24"/>
          <w:szCs w:val="24"/>
        </w:rPr>
        <w:t xml:space="preserve">5.2 Geographic Scope</w:t>
      </w:r>
    </w:p>
    <w:p>
      <w:pPr>
        <w:spacing w:after="60" w:before="60"/>
      </w:pPr>
      <w:r>
        <w:rPr>
          <w:rFonts w:ascii="Arial" w:cs="Arial" w:eastAsia="Arial" w:hAnsi="Arial"/>
          <w:sz w:val="22"/>
          <w:szCs w:val="22"/>
        </w:rPr>
        <w:t xml:space="preserve">Kingdom of Saudi Arabia. If a Saudi court finds this scope unenforceable, it shall be reduced to the minimum enforceable scope.</w:t>
      </w:r>
    </w:p>
    <w:p>
      <w:pPr>
        <w:pStyle w:val="Heading2"/>
        <w:spacing w:after="80" w:before="200"/>
      </w:pPr>
      <w:r>
        <w:rPr>
          <w:rFonts w:ascii="Arial" w:cs="Arial" w:eastAsia="Arial" w:hAnsi="Arial"/>
          <w:b/>
          <w:bCs/>
          <w:color w:val="0A0E12"/>
          <w:sz w:val="24"/>
          <w:szCs w:val="24"/>
        </w:rPr>
        <w:t xml:space="preserve">5.3 Functional Scope</w:t>
      </w:r>
    </w:p>
    <w:p>
      <w:pPr>
        <w:spacing w:after="60" w:before="60"/>
      </w:pPr>
      <w:r>
        <w:rPr>
          <w:rFonts w:ascii="Arial" w:cs="Arial" w:eastAsia="Arial" w:hAnsi="Arial"/>
          <w:sz w:val="22"/>
          <w:szCs w:val="22"/>
        </w:rPr>
        <w:t xml:space="preserve">Aviation regulatory content delivery, AI-powered flight instruction, GACA examination preparation, and pilot logbook/currency tracking software products.</w:t>
      </w:r>
    </w:p>
    <w:p>
      <w:pPr>
        <w:pStyle w:val="Heading2"/>
        <w:spacing w:after="80" w:before="200"/>
      </w:pPr>
      <w:r>
        <w:rPr>
          <w:rFonts w:ascii="Arial" w:cs="Arial" w:eastAsia="Arial" w:hAnsi="Arial"/>
          <w:b/>
          <w:bCs/>
          <w:color w:val="0A0E12"/>
          <w:sz w:val="24"/>
          <w:szCs w:val="24"/>
        </w:rPr>
        <w:t xml:space="preserve">5.4 Enforceability Note</w:t>
      </w:r>
    </w:p>
    <w:p>
      <w:pPr>
        <w:spacing w:after="60" w:before="60"/>
      </w:pPr>
      <w:r>
        <w:rPr>
          <w:rFonts w:ascii="Arial" w:cs="Arial" w:eastAsia="Arial" w:hAnsi="Arial"/>
          <w:sz w:val="22"/>
          <w:szCs w:val="22"/>
        </w:rPr>
        <w:t xml:space="preserve">Saudi labor courts may decline to enforce non-compete clauses that are unreasonably broad. The Employer shall pay [NON_COMPETE_CONSIDERATION_SAR] SAR as consideration if required by a Saudi labor court to maintain enforceability. The Parties agree to negotiate in good faith if a court modifies scope.</w:t>
      </w:r>
    </w:p>
    <w:p>
      <w:r>
        <w:br w:type="page"/>
      </w:r>
    </w:p>
    <w:p>
      <w:pPr>
        <w:pStyle w:val="Heading1"/>
        <w:spacing w:after="120" w:before="300"/>
      </w:pPr>
      <w:r>
        <w:rPr>
          <w:rFonts w:ascii="Arial" w:cs="Arial" w:eastAsia="Arial" w:hAnsi="Arial"/>
          <w:b/>
          <w:bCs/>
          <w:color w:val="2D6E8A"/>
          <w:sz w:val="28"/>
          <w:szCs w:val="28"/>
        </w:rPr>
        <w:t xml:space="preserve">6. Non-Solicitation — Employees and Personnel (24 Months)</w:t>
      </w:r>
    </w:p>
    <w:p>
      <w:pPr>
        <w:spacing w:after="60" w:before="60"/>
      </w:pPr>
      <w:r>
        <w:rPr>
          <w:rFonts w:ascii="Arial" w:cs="Arial" w:eastAsia="Arial" w:hAnsi="Arial"/>
          <w:sz w:val="22"/>
          <w:szCs w:val="22"/>
        </w:rPr>
        <w:t xml:space="preserve">For twenty-four (24) months following termination, the Employee shall not directly or indirectly:</w:t>
      </w:r>
    </w:p>
    <w:p>
      <w:pPr>
        <w:pStyle w:val="ListParagraph"/>
        <w:numPr>
          <w:ilvl w:val="0"/>
          <w:numId w:val="2"/>
        </w:numPr>
        <w:spacing w:after="40" w:before="40"/>
      </w:pPr>
      <w:r>
        <w:rPr>
          <w:rFonts w:ascii="Arial" w:cs="Arial" w:eastAsia="Arial" w:hAnsi="Arial"/>
          <w:sz w:val="22"/>
          <w:szCs w:val="22"/>
        </w:rPr>
        <w:t xml:space="preserve">Solicit, recruit, hire, or induce any Personnel to terminate their relationship with the Employer</w:t>
      </w:r>
    </w:p>
    <w:p>
      <w:pPr>
        <w:pStyle w:val="ListParagraph"/>
        <w:numPr>
          <w:ilvl w:val="0"/>
          <w:numId w:val="2"/>
        </w:numPr>
        <w:spacing w:after="40" w:before="40"/>
      </w:pPr>
      <w:r>
        <w:rPr>
          <w:rFonts w:ascii="Arial" w:cs="Arial" w:eastAsia="Arial" w:hAnsi="Arial"/>
          <w:sz w:val="22"/>
          <w:szCs w:val="22"/>
        </w:rPr>
        <w:t xml:space="preserve">Assist any third party in soliciting, recruiting, or hiring any Personnel</w:t>
      </w:r>
    </w:p>
    <w:p>
      <w:pPr>
        <w:spacing w:after="60" w:before="60"/>
      </w:pPr>
      <w:r>
        <w:rPr>
          <w:rFonts w:ascii="Arial" w:cs="Arial" w:eastAsia="Arial" w:hAnsi="Arial"/>
          <w:sz w:val="22"/>
          <w:szCs w:val="22"/>
        </w:rPr>
        <w:t xml:space="preserve">Applies to all Personnel with whom the Employee had material contact during tenure.</w:t>
      </w:r>
    </w:p>
    <w:p>
      <w:r>
        <w:br w:type="page"/>
      </w:r>
    </w:p>
    <w:p>
      <w:pPr>
        <w:pStyle w:val="Heading1"/>
        <w:spacing w:after="120" w:before="300"/>
      </w:pPr>
      <w:r>
        <w:rPr>
          <w:rFonts w:ascii="Arial" w:cs="Arial" w:eastAsia="Arial" w:hAnsi="Arial"/>
          <w:b/>
          <w:bCs/>
          <w:color w:val="2D6E8A"/>
          <w:sz w:val="28"/>
          <w:szCs w:val="28"/>
        </w:rPr>
        <w:t xml:space="preserve">7. Non-Solicitation — Customers and Academy Partners (24 Months)</w:t>
      </w:r>
    </w:p>
    <w:p>
      <w:pPr>
        <w:spacing w:after="60" w:before="60"/>
      </w:pPr>
      <w:r>
        <w:rPr>
          <w:rFonts w:ascii="Arial" w:cs="Arial" w:eastAsia="Arial" w:hAnsi="Arial"/>
          <w:sz w:val="22"/>
          <w:szCs w:val="22"/>
        </w:rPr>
        <w:t xml:space="preserve">For twenty-four (24) months following termination, the Employee shall not directly or indirectly:</w:t>
      </w:r>
    </w:p>
    <w:p>
      <w:pPr>
        <w:pStyle w:val="ListParagraph"/>
        <w:numPr>
          <w:ilvl w:val="0"/>
          <w:numId w:val="2"/>
        </w:numPr>
        <w:spacing w:after="40" w:before="40"/>
      </w:pPr>
      <w:r>
        <w:rPr>
          <w:rFonts w:ascii="Arial" w:cs="Arial" w:eastAsia="Arial" w:hAnsi="Arial"/>
          <w:sz w:val="22"/>
          <w:szCs w:val="22"/>
        </w:rPr>
        <w:t xml:space="preserve">Solicit, approach, or accept business from any Customers for a Competing Business</w:t>
      </w:r>
    </w:p>
    <w:p>
      <w:pPr>
        <w:pStyle w:val="ListParagraph"/>
        <w:numPr>
          <w:ilvl w:val="0"/>
          <w:numId w:val="2"/>
        </w:numPr>
        <w:spacing w:after="40" w:before="40"/>
      </w:pPr>
      <w:r>
        <w:rPr>
          <w:rFonts w:ascii="Arial" w:cs="Arial" w:eastAsia="Arial" w:hAnsi="Arial"/>
          <w:sz w:val="22"/>
          <w:szCs w:val="22"/>
        </w:rPr>
        <w:t xml:space="preserve">Encourage any flight academy, educational institution, or aviation organization to reduce or terminate its relationship with the Employer</w:t>
      </w:r>
    </w:p>
    <w:p>
      <w:pPr>
        <w:pStyle w:val="ListParagraph"/>
        <w:numPr>
          <w:ilvl w:val="0"/>
          <w:numId w:val="2"/>
        </w:numPr>
        <w:spacing w:after="40" w:before="40"/>
      </w:pPr>
      <w:r>
        <w:rPr>
          <w:rFonts w:ascii="Arial" w:cs="Arial" w:eastAsia="Arial" w:hAnsi="Arial"/>
          <w:sz w:val="22"/>
          <w:szCs w:val="22"/>
        </w:rPr>
        <w:t xml:space="preserve">Interfere with any contract or commercial relationship between the Employer and its Customers or partners</w:t>
      </w:r>
    </w:p>
    <w:p>
      <w:pPr>
        <w:spacing w:after="60" w:before="60"/>
      </w:pPr>
      <w:r>
        <w:rPr>
          <w:rFonts w:ascii="Arial" w:cs="Arial" w:eastAsia="Arial" w:hAnsi="Arial"/>
          <w:sz w:val="22"/>
          <w:szCs w:val="22"/>
        </w:rPr>
        <w:t xml:space="preserve">Applies to Customers the Employee had material contact with or knowledge of during tenure.</w:t>
      </w:r>
    </w:p>
    <w:p>
      <w:r>
        <w:br w:type="page"/>
      </w:r>
    </w:p>
    <w:p>
      <w:pPr>
        <w:pStyle w:val="Heading1"/>
        <w:spacing w:after="120" w:before="300"/>
      </w:pPr>
      <w:r>
        <w:rPr>
          <w:rFonts w:ascii="Arial" w:cs="Arial" w:eastAsia="Arial" w:hAnsi="Arial"/>
          <w:b/>
          <w:bCs/>
          <w:color w:val="2D6E8A"/>
          <w:sz w:val="28"/>
          <w:szCs w:val="28"/>
        </w:rPr>
        <w:t xml:space="preserve">8. Equitable Remedies</w:t>
      </w:r>
    </w:p>
    <w:p>
      <w:pPr>
        <w:spacing w:after="60" w:before="60"/>
      </w:pPr>
      <w:r>
        <w:rPr>
          <w:rFonts w:ascii="Arial" w:cs="Arial" w:eastAsia="Arial" w:hAnsi="Arial"/>
          <w:sz w:val="22"/>
          <w:szCs w:val="22"/>
        </w:rPr>
        <w:t xml:space="preserve">The Employee acknowledges that:</w:t>
      </w:r>
    </w:p>
    <w:p>
      <w:pPr>
        <w:pStyle w:val="ListParagraph"/>
        <w:numPr>
          <w:ilvl w:val="0"/>
          <w:numId w:val="2"/>
        </w:numPr>
        <w:spacing w:after="40" w:before="40"/>
      </w:pPr>
      <w:r>
        <w:rPr>
          <w:rFonts w:ascii="Arial" w:cs="Arial" w:eastAsia="Arial" w:hAnsi="Arial"/>
          <w:sz w:val="22"/>
          <w:szCs w:val="22"/>
        </w:rPr>
        <w:t xml:space="preserve">The Employer business is uniquely dependent on protecting proprietary AI technology, regulatory content library, and customer relationships</w:t>
      </w:r>
    </w:p>
    <w:p>
      <w:pPr>
        <w:pStyle w:val="ListParagraph"/>
        <w:numPr>
          <w:ilvl w:val="0"/>
          <w:numId w:val="2"/>
        </w:numPr>
        <w:spacing w:after="40" w:before="40"/>
      </w:pPr>
      <w:r>
        <w:rPr>
          <w:rFonts w:ascii="Arial" w:cs="Arial" w:eastAsia="Arial" w:hAnsi="Arial"/>
          <w:sz w:val="22"/>
          <w:szCs w:val="22"/>
        </w:rPr>
        <w:t xml:space="preserve">Any breach would cause irreparable harm not adequately compensated by monetary damages</w:t>
      </w:r>
    </w:p>
    <w:p>
      <w:pPr>
        <w:pStyle w:val="ListParagraph"/>
        <w:numPr>
          <w:ilvl w:val="0"/>
          <w:numId w:val="2"/>
        </w:numPr>
        <w:spacing w:after="40" w:before="40"/>
      </w:pPr>
      <w:r>
        <w:rPr>
          <w:rFonts w:ascii="Arial" w:cs="Arial" w:eastAsia="Arial" w:hAnsi="Arial"/>
          <w:sz w:val="22"/>
          <w:szCs w:val="22"/>
        </w:rPr>
        <w:t xml:space="preserve">The Employer may seek immediate injunctive or other equitable relief from any competent Saudi court without posting bond</w:t>
      </w:r>
    </w:p>
    <w:p>
      <w:pPr>
        <w:pStyle w:val="ListParagraph"/>
        <w:numPr>
          <w:ilvl w:val="0"/>
          <w:numId w:val="2"/>
        </w:numPr>
        <w:spacing w:after="40" w:before="40"/>
      </w:pPr>
      <w:r>
        <w:rPr>
          <w:rFonts w:ascii="Arial" w:cs="Arial" w:eastAsia="Arial" w:hAnsi="Arial"/>
          <w:sz w:val="22"/>
          <w:szCs w:val="22"/>
        </w:rPr>
        <w:t xml:space="preserve">The Employee agrees not to challenge the adequacy of injunctive relief as a remedy</w:t>
      </w:r>
    </w:p>
    <w:p>
      <w:r>
        <w:br w:type="page"/>
      </w:r>
    </w:p>
    <w:p>
      <w:pPr>
        <w:pStyle w:val="Heading1"/>
        <w:spacing w:after="120" w:before="300"/>
      </w:pPr>
      <w:r>
        <w:rPr>
          <w:rFonts w:ascii="Arial" w:cs="Arial" w:eastAsia="Arial" w:hAnsi="Arial"/>
          <w:b/>
          <w:bCs/>
          <w:color w:val="2D6E8A"/>
          <w:sz w:val="28"/>
          <w:szCs w:val="28"/>
        </w:rPr>
        <w:t xml:space="preserve">9. Representations and Warranties</w:t>
      </w:r>
    </w:p>
    <w:p>
      <w:pPr>
        <w:spacing w:after="60" w:before="60"/>
      </w:pPr>
      <w:r>
        <w:rPr>
          <w:rFonts w:ascii="Arial" w:cs="Arial" w:eastAsia="Arial" w:hAnsi="Arial"/>
          <w:sz w:val="22"/>
          <w:szCs w:val="22"/>
        </w:rPr>
        <w:t xml:space="preserve">The Employee represents and warrants that:</w:t>
      </w:r>
    </w:p>
    <w:p>
      <w:pPr>
        <w:pStyle w:val="ListParagraph"/>
        <w:numPr>
          <w:ilvl w:val="0"/>
          <w:numId w:val="2"/>
        </w:numPr>
        <w:spacing w:after="40" w:before="40"/>
      </w:pPr>
      <w:r>
        <w:rPr>
          <w:rFonts w:ascii="Arial" w:cs="Arial" w:eastAsia="Arial" w:hAnsi="Arial"/>
          <w:sz w:val="22"/>
          <w:szCs w:val="22"/>
        </w:rPr>
        <w:t xml:space="preserve">They have read and understood this Agreement and have had the opportunity to seek independent legal advice</w:t>
      </w:r>
    </w:p>
    <w:p>
      <w:pPr>
        <w:pStyle w:val="ListParagraph"/>
        <w:numPr>
          <w:ilvl w:val="0"/>
          <w:numId w:val="2"/>
        </w:numPr>
        <w:spacing w:after="40" w:before="40"/>
      </w:pPr>
      <w:r>
        <w:rPr>
          <w:rFonts w:ascii="Arial" w:cs="Arial" w:eastAsia="Arial" w:hAnsi="Arial"/>
          <w:sz w:val="22"/>
          <w:szCs w:val="22"/>
        </w:rPr>
        <w:t xml:space="preserve">They are not subject to any other agreement that conflicts with or would be breached by this Agreement</w:t>
      </w:r>
    </w:p>
    <w:p>
      <w:pPr>
        <w:pStyle w:val="ListParagraph"/>
        <w:numPr>
          <w:ilvl w:val="0"/>
          <w:numId w:val="2"/>
        </w:numPr>
        <w:spacing w:after="40" w:before="40"/>
      </w:pPr>
      <w:r>
        <w:rPr>
          <w:rFonts w:ascii="Arial" w:cs="Arial" w:eastAsia="Arial" w:hAnsi="Arial"/>
          <w:sz w:val="22"/>
          <w:szCs w:val="22"/>
        </w:rPr>
        <w:t xml:space="preserve">The restrictions in this Agreement are reasonable and necessary to protect the Employer legitimate business interests</w:t>
      </w:r>
    </w:p>
    <w:p>
      <w:pPr>
        <w:pStyle w:val="ListParagraph"/>
        <w:numPr>
          <w:ilvl w:val="0"/>
          <w:numId w:val="2"/>
        </w:numPr>
        <w:spacing w:after="40" w:before="40"/>
      </w:pPr>
      <w:r>
        <w:rPr>
          <w:rFonts w:ascii="Arial" w:cs="Arial" w:eastAsia="Arial" w:hAnsi="Arial"/>
          <w:sz w:val="22"/>
          <w:szCs w:val="22"/>
        </w:rPr>
        <w:t xml:space="preserve">Any breach constitutes a material breach of their employment relationship with the Employer</w:t>
      </w:r>
    </w:p>
    <w:p>
      <w:r>
        <w:br w:type="page"/>
      </w:r>
    </w:p>
    <w:p>
      <w:pPr>
        <w:pStyle w:val="Heading1"/>
        <w:spacing w:after="120" w:before="300"/>
      </w:pPr>
      <w:r>
        <w:rPr>
          <w:rFonts w:ascii="Arial" w:cs="Arial" w:eastAsia="Arial" w:hAnsi="Arial"/>
          <w:b/>
          <w:bCs/>
          <w:color w:val="2D6E8A"/>
          <w:sz w:val="28"/>
          <w:szCs w:val="28"/>
        </w:rPr>
        <w:t xml:space="preserve">10. Governing Law and Dispute Resolution</w:t>
      </w:r>
    </w:p>
    <w:p>
      <w:pPr>
        <w:spacing w:after="60" w:before="60"/>
      </w:pPr>
      <w:r>
        <w:rPr>
          <w:rFonts w:ascii="Arial" w:cs="Arial" w:eastAsia="Arial" w:hAnsi="Arial"/>
          <w:sz w:val="22"/>
          <w:szCs w:val="22"/>
        </w:rPr>
        <w:t xml:space="preserve">Governed by Saudi Labor Law (Royal Decree No. M/51) and the laws of the Kingdom of Saudi Arabia. Individual employment disputes referred to competent Saudi Labor Courts. Independent contractor disputes submitted to SCCA arbitration, seat Riyadh.</w:t>
      </w:r>
    </w:p>
    <w:p>
      <w:pPr>
        <w:pStyle w:val="Heading1"/>
        <w:spacing w:after="120" w:before="300"/>
      </w:pPr>
      <w:r>
        <w:rPr>
          <w:rFonts w:ascii="Arial" w:cs="Arial" w:eastAsia="Arial" w:hAnsi="Arial"/>
          <w:b/>
          <w:bCs/>
          <w:color w:val="2D6E8A"/>
          <w:sz w:val="28"/>
          <w:szCs w:val="28"/>
        </w:rPr>
        <w:t xml:space="preserve">11. General Provisions</w:t>
      </w:r>
    </w:p>
    <w:p>
      <w:pPr>
        <w:pStyle w:val="ListParagraph"/>
        <w:numPr>
          <w:ilvl w:val="0"/>
          <w:numId w:val="2"/>
        </w:numPr>
        <w:spacing w:after="40" w:before="40"/>
      </w:pPr>
      <w:r>
        <w:rPr>
          <w:rFonts w:ascii="Arial" w:cs="Arial" w:eastAsia="Arial" w:hAnsi="Arial"/>
          <w:sz w:val="22"/>
          <w:szCs w:val="22"/>
        </w:rPr>
        <w:t xml:space="preserve">Survival: All obligations survive termination of employment</w:t>
      </w:r>
    </w:p>
    <w:p>
      <w:pPr>
        <w:pStyle w:val="ListParagraph"/>
        <w:numPr>
          <w:ilvl w:val="0"/>
          <w:numId w:val="2"/>
        </w:numPr>
        <w:spacing w:after="40" w:before="40"/>
      </w:pPr>
      <w:r>
        <w:rPr>
          <w:rFonts w:ascii="Arial" w:cs="Arial" w:eastAsia="Arial" w:hAnsi="Arial"/>
          <w:sz w:val="22"/>
          <w:szCs w:val="22"/>
        </w:rPr>
        <w:t xml:space="preserve">Entire Agreement: Together with the Employment Contract and IP Assignment Agreement, constitutes the entire agreement on confidentiality and non-compete</w:t>
      </w:r>
    </w:p>
    <w:p>
      <w:pPr>
        <w:pStyle w:val="ListParagraph"/>
        <w:numPr>
          <w:ilvl w:val="0"/>
          <w:numId w:val="2"/>
        </w:numPr>
        <w:spacing w:after="40" w:before="40"/>
      </w:pPr>
      <w:r>
        <w:rPr>
          <w:rFonts w:ascii="Arial" w:cs="Arial" w:eastAsia="Arial" w:hAnsi="Arial"/>
          <w:sz w:val="22"/>
          <w:szCs w:val="22"/>
        </w:rPr>
        <w:t xml:space="preserve">Amendments: Must be in writing signed by both Parties</w:t>
      </w:r>
    </w:p>
    <w:p>
      <w:pPr>
        <w:pStyle w:val="ListParagraph"/>
        <w:numPr>
          <w:ilvl w:val="0"/>
          <w:numId w:val="2"/>
        </w:numPr>
        <w:spacing w:after="40" w:before="40"/>
      </w:pPr>
      <w:r>
        <w:rPr>
          <w:rFonts w:ascii="Arial" w:cs="Arial" w:eastAsia="Arial" w:hAnsi="Arial"/>
          <w:sz w:val="22"/>
          <w:szCs w:val="22"/>
        </w:rPr>
        <w:t xml:space="preserve">Severability: Court may modify unenforceable provisions to minimum enforceable scope; remainder remains in full force</w:t>
      </w:r>
    </w:p>
    <w:p>
      <w:pPr>
        <w:pStyle w:val="ListParagraph"/>
        <w:numPr>
          <w:ilvl w:val="0"/>
          <w:numId w:val="2"/>
        </w:numPr>
        <w:spacing w:after="40" w:before="40"/>
      </w:pPr>
      <w:r>
        <w:rPr>
          <w:rFonts w:ascii="Arial" w:cs="Arial" w:eastAsia="Arial" w:hAnsi="Arial"/>
          <w:sz w:val="22"/>
          <w:szCs w:val="22"/>
        </w:rPr>
        <w:t xml:space="preserve">Language: English primary; Arabic version filed with Saudi labor authorities if required</w:t>
      </w:r>
    </w:p>
    <w:p>
      <w:pPr>
        <w:pStyle w:val="ListParagraph"/>
        <w:numPr>
          <w:ilvl w:val="0"/>
          <w:numId w:val="2"/>
        </w:numPr>
        <w:spacing w:after="40" w:before="40"/>
      </w:pPr>
      <w:r>
        <w:rPr>
          <w:rFonts w:ascii="Arial" w:cs="Arial" w:eastAsia="Arial" w:hAnsi="Arial"/>
          <w:sz w:val="22"/>
          <w:szCs w:val="22"/>
        </w:rPr>
        <w:t xml:space="preserve">Consideration: The Employee acknowledges that compensation, equity awards, and career opportunities constitute adequate consideration for the obligations under this Agreement</w:t>
      </w:r>
    </w:p>
    <w:p>
      <w:r>
        <w:br w:type="page"/>
      </w:r>
    </w:p>
    <w:p>
      <w:pPr>
        <w:spacing w:after="80" w:before="80"/>
      </w:pPr>
      <w:r>
        <w:t xml:space="preserve"/>
      </w:r>
    </w:p>
    <w:p>
      <w:pPr>
        <w:pStyle w:val="Heading2"/>
        <w:spacing w:after="80" w:before="200"/>
      </w:pPr>
      <w:r>
        <w:rPr>
          <w:rFonts w:ascii="Arial" w:cs="Arial" w:eastAsia="Arial" w:hAnsi="Arial"/>
          <w:b/>
          <w:bCs/>
          <w:color w:val="0A0E12"/>
          <w:sz w:val="24"/>
          <w:szCs w:val="24"/>
        </w:rPr>
        <w:t xml:space="preserve">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
        <w:gridCol w:w="4560"/>
      </w:tblGrid>
      <w:tr>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before="0"/>
            </w:pPr>
            <w:r>
              <w:rPr>
                <w:rFonts w:ascii="Arial" w:cs="Arial" w:eastAsia="Arial" w:hAnsi="Arial"/>
                <w:b/>
                <w:bCs/>
                <w:sz w:val="22"/>
                <w:szCs w:val="22"/>
              </w:rPr>
              <w:t xml:space="preserve">EMPLOYER: FLY GACA SAUDI ARABIA (LLC)</w:t>
            </w:r>
          </w:p>
          <w:p>
            <w:pPr>
              <w:spacing w:after="120" w:before="120"/>
            </w:pPr>
            <w:r>
              <w:rPr>
                <w:rFonts w:ascii="Arial" w:cs="Arial" w:eastAsia="Arial" w:hAnsi="Arial"/>
                <w:sz w:val="22"/>
                <w:szCs w:val="22"/>
              </w:rPr>
              <w:t xml:space="preserve">Signature: ___________________________</w:t>
            </w:r>
          </w:p>
          <w:p>
            <w:pPr>
              <w:spacing w:after="60" w:before="60"/>
            </w:pPr>
            <w:r>
              <w:rPr>
                <w:rFonts w:ascii="Arial" w:cs="Arial" w:eastAsia="Arial" w:hAnsi="Arial"/>
                <w:sz w:val="22"/>
                <w:szCs w:val="22"/>
              </w:rPr>
              <w:t xml:space="preserve">Name: ___________________________</w:t>
            </w:r>
          </w:p>
          <w:p>
            <w:pPr>
              <w:spacing w:after="60" w:before="60"/>
            </w:pPr>
            <w:r>
              <w:rPr>
                <w:rFonts w:ascii="Arial" w:cs="Arial" w:eastAsia="Arial" w:hAnsi="Arial"/>
                <w:sz w:val="22"/>
                <w:szCs w:val="22"/>
              </w:rPr>
              <w:t xml:space="preserve">Title: ___________________________</w:t>
            </w:r>
          </w:p>
          <w:p>
            <w:pPr>
              <w:spacing w:after="60" w:before="60"/>
            </w:pPr>
            <w:r>
              <w:rPr>
                <w:rFonts w:ascii="Arial" w:cs="Arial" w:eastAsia="Arial" w:hAnsi="Arial"/>
                <w:sz w:val="22"/>
                <w:szCs w:val="22"/>
              </w:rPr>
              <w:t xml:space="preserve">Date: ___________________________</w:t>
            </w:r>
          </w:p>
        </w:tc>
        <w:tc>
          <w:tcPr>
            <w:tcW w:type="dxa" w:w="240"/>
            <w:tcBorders>
              <w:top w:val="none"/>
              <w:left w:val="none"/>
              <w:bottom w:val="none"/>
              <w:right w:val="none"/>
            </w:tcBorders>
            <w:tcMar>
              <w:top w:type="dxa" w:w="0"/>
              <w:left w:type="dxa" w:w="0"/>
              <w:bottom w:type="dxa" w:w="0"/>
              <w:right w:type="dxa" w:w="0"/>
            </w:tcMar>
          </w:tcPr>
          <w:p>
            <w:r>
              <w:t xml:space="preserve"/>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before="0"/>
            </w:pPr>
            <w:r>
              <w:rPr>
                <w:rFonts w:ascii="Arial" w:cs="Arial" w:eastAsia="Arial" w:hAnsi="Arial"/>
                <w:b/>
                <w:bCs/>
                <w:sz w:val="22"/>
                <w:szCs w:val="22"/>
              </w:rPr>
              <w:t xml:space="preserve">EMPLOYEE / CONTRACTOR: [FULL_NAME]</w:t>
            </w:r>
          </w:p>
          <w:p>
            <w:pPr>
              <w:spacing w:after="120" w:before="120"/>
            </w:pPr>
            <w:r>
              <w:rPr>
                <w:rFonts w:ascii="Arial" w:cs="Arial" w:eastAsia="Arial" w:hAnsi="Arial"/>
                <w:sz w:val="22"/>
                <w:szCs w:val="22"/>
              </w:rPr>
              <w:t xml:space="preserve">Signature: ___________________________</w:t>
            </w:r>
          </w:p>
          <w:p>
            <w:pPr>
              <w:spacing w:after="60" w:before="60"/>
            </w:pPr>
            <w:r>
              <w:rPr>
                <w:rFonts w:ascii="Arial" w:cs="Arial" w:eastAsia="Arial" w:hAnsi="Arial"/>
                <w:sz w:val="22"/>
                <w:szCs w:val="22"/>
              </w:rPr>
              <w:t xml:space="preserve">Name: ___________________________</w:t>
            </w:r>
          </w:p>
          <w:p>
            <w:pPr>
              <w:spacing w:after="60" w:before="60"/>
            </w:pPr>
            <w:r>
              <w:rPr>
                <w:rFonts w:ascii="Arial" w:cs="Arial" w:eastAsia="Arial" w:hAnsi="Arial"/>
                <w:sz w:val="22"/>
                <w:szCs w:val="22"/>
              </w:rPr>
              <w:t xml:space="preserve">Title: ___________________________</w:t>
            </w:r>
          </w:p>
          <w:p>
            <w:pPr>
              <w:spacing w:after="60" w:before="60"/>
            </w:pPr>
            <w:r>
              <w:rPr>
                <w:rFonts w:ascii="Arial" w:cs="Arial" w:eastAsia="Arial" w:hAnsi="Arial"/>
                <w:sz w:val="22"/>
                <w:szCs w:val="22"/>
              </w:rPr>
              <w:t xml:space="preserve">Date: ___________________________</w:t>
            </w:r>
          </w:p>
        </w:tc>
      </w:tr>
    </w:tbl>
    <w:p>
      <w:pPr>
        <w:spacing w:after="80" w:before="80"/>
      </w:pPr>
      <w:r>
        <w:t xml:space="preserve"/>
      </w:r>
    </w:p>
    <w:p>
      <w:pPr>
        <w:spacing w:after="60" w:before="60"/>
      </w:pPr>
      <w:r>
        <w:rPr>
          <w:rFonts w:ascii="Arial" w:cs="Arial" w:eastAsia="Arial" w:hAnsi="Arial"/>
          <w:i/>
          <w:iCs/>
          <w:sz w:val="22"/>
          <w:szCs w:val="22"/>
        </w:rPr>
        <w:t xml:space="preserve">Acknowledged by HR/Legal: ___________________________ Date: _______________</w:t>
      </w:r>
    </w:p>
    <w:p>
      <w:pPr>
        <w:spacing w:after="60" w:before="60"/>
      </w:pPr>
      <w:r>
        <w:rPr>
          <w:rFonts w:ascii="Arial" w:cs="Arial" w:eastAsia="Arial" w:hAnsi="Arial"/>
          <w:i/>
          <w:iCs/>
          <w:sz w:val="22"/>
          <w:szCs w:val="22"/>
        </w:rPr>
        <w:t xml:space="preserve">This Agreement becomes effective on: [EFFECTIVE_DATE]</w:t>
      </w:r>
    </w:p>
    <w:p>
      <w:r>
        <w:br w:type="page"/>
      </w:r>
    </w:p>
    <w:p>
      <w:pPr>
        <w:pStyle w:val="Heading1"/>
        <w:spacing w:after="120" w:before="300"/>
      </w:pPr>
      <w:r>
        <w:rPr>
          <w:rFonts w:ascii="Arial" w:cs="Arial" w:eastAsia="Arial" w:hAnsi="Arial"/>
          <w:b/>
          <w:bCs/>
          <w:color w:val="2D6E8A"/>
          <w:sz w:val="28"/>
          <w:szCs w:val="28"/>
        </w:rPr>
        <w:t xml:space="preserve">Appendix A — Enforceability under Saudi Labor Law</w:t>
      </w:r>
    </w:p>
    <w:p>
      <w:pPr>
        <w:pStyle w:val="Heading2"/>
        <w:spacing w:after="80" w:before="200"/>
      </w:pPr>
      <w:r>
        <w:rPr>
          <w:rFonts w:ascii="Arial" w:cs="Arial" w:eastAsia="Arial" w:hAnsi="Arial"/>
          <w:b/>
          <w:bCs/>
          <w:color w:val="0A0E12"/>
          <w:sz w:val="24"/>
          <w:szCs w:val="24"/>
        </w:rPr>
        <w:t xml:space="preserve">Statutory Basis</w:t>
      </w:r>
    </w:p>
    <w:p>
      <w:pPr>
        <w:spacing w:after="60" w:before="60"/>
      </w:pPr>
      <w:r>
        <w:rPr>
          <w:rFonts w:ascii="Arial" w:cs="Arial" w:eastAsia="Arial" w:hAnsi="Arial"/>
          <w:sz w:val="22"/>
          <w:szCs w:val="22"/>
        </w:rPr>
        <w:t xml:space="preserve">Saudi Labor Law does not expressly prohibit non-compete clauses for employees, but also does not explicitly authorize them. Saudi labor courts assess enforceability based on reasonableness. This section provides guidance — it is not legal advice.</w:t>
      </w:r>
    </w:p>
    <w:p>
      <w:pPr>
        <w:pStyle w:val="Heading2"/>
        <w:spacing w:after="80" w:before="200"/>
      </w:pPr>
      <w:r>
        <w:rPr>
          <w:rFonts w:ascii="Arial" w:cs="Arial" w:eastAsia="Arial" w:hAnsi="Arial"/>
          <w:b/>
          <w:bCs/>
          <w:color w:val="0A0E12"/>
          <w:sz w:val="24"/>
          <w:szCs w:val="24"/>
        </w:rPr>
        <w:t xml:space="preserve">Factors Saudi Courts Consider</w:t>
      </w:r>
    </w:p>
    <w:p>
      <w:pPr>
        <w:pStyle w:val="ListParagraph"/>
        <w:numPr>
          <w:ilvl w:val="0"/>
          <w:numId w:val="2"/>
        </w:numPr>
        <w:spacing w:after="40" w:before="40"/>
      </w:pPr>
      <w:r>
        <w:rPr>
          <w:rFonts w:ascii="Arial" w:cs="Arial" w:eastAsia="Arial" w:hAnsi="Arial"/>
          <w:sz w:val="22"/>
          <w:szCs w:val="22"/>
        </w:rPr>
        <w:t xml:space="preserve">Reasonableness of geographic scope: Kingdom-wide restrictions defensible for technology businesses with national operations</w:t>
      </w:r>
    </w:p>
    <w:p>
      <w:pPr>
        <w:pStyle w:val="ListParagraph"/>
        <w:numPr>
          <w:ilvl w:val="0"/>
          <w:numId w:val="2"/>
        </w:numPr>
        <w:spacing w:after="40" w:before="40"/>
      </w:pPr>
      <w:r>
        <w:rPr>
          <w:rFonts w:ascii="Arial" w:cs="Arial" w:eastAsia="Arial" w:hAnsi="Arial"/>
          <w:sz w:val="22"/>
          <w:szCs w:val="22"/>
        </w:rPr>
        <w:t xml:space="preserve">Reasonableness of temporal scope: 12-month restrictions generally viewed as reasonable; longer periods face higher scrutiny</w:t>
      </w:r>
    </w:p>
    <w:p>
      <w:pPr>
        <w:pStyle w:val="ListParagraph"/>
        <w:numPr>
          <w:ilvl w:val="0"/>
          <w:numId w:val="2"/>
        </w:numPr>
        <w:spacing w:after="40" w:before="40"/>
      </w:pPr>
      <w:r>
        <w:rPr>
          <w:rFonts w:ascii="Arial" w:cs="Arial" w:eastAsia="Arial" w:hAnsi="Arial"/>
          <w:sz w:val="22"/>
          <w:szCs w:val="22"/>
        </w:rPr>
        <w:t xml:space="preserve">Reasonableness of functional scope: restrictions must be limited to activities genuinely competing with the employer</w:t>
      </w:r>
    </w:p>
    <w:p>
      <w:pPr>
        <w:pStyle w:val="ListParagraph"/>
        <w:numPr>
          <w:ilvl w:val="0"/>
          <w:numId w:val="2"/>
        </w:numPr>
        <w:spacing w:after="40" w:before="40"/>
      </w:pPr>
      <w:r>
        <w:rPr>
          <w:rFonts w:ascii="Arial" w:cs="Arial" w:eastAsia="Arial" w:hAnsi="Arial"/>
          <w:sz w:val="22"/>
          <w:szCs w:val="22"/>
        </w:rPr>
        <w:t xml:space="preserve">Legitimate business interest: employer must demonstrate protectable interests (trade secrets, customer relationships, proprietary technology)</w:t>
      </w:r>
    </w:p>
    <w:p>
      <w:pPr>
        <w:pStyle w:val="ListParagraph"/>
        <w:numPr>
          <w:ilvl w:val="0"/>
          <w:numId w:val="2"/>
        </w:numPr>
        <w:spacing w:after="40" w:before="40"/>
      </w:pPr>
      <w:r>
        <w:rPr>
          <w:rFonts w:ascii="Arial" w:cs="Arial" w:eastAsia="Arial" w:hAnsi="Arial"/>
          <w:sz w:val="22"/>
          <w:szCs w:val="22"/>
        </w:rPr>
        <w:t xml:space="preserve">Consideration: courts view non-competes more favorably where specific consideration is paid for the restriction</w:t>
      </w:r>
    </w:p>
    <w:p>
      <w:pPr>
        <w:pStyle w:val="Heading2"/>
        <w:spacing w:after="80" w:before="200"/>
      </w:pPr>
      <w:r>
        <w:rPr>
          <w:rFonts w:ascii="Arial" w:cs="Arial" w:eastAsia="Arial" w:hAnsi="Arial"/>
          <w:b/>
          <w:bCs/>
          <w:color w:val="0A0E12"/>
          <w:sz w:val="24"/>
          <w:szCs w:val="24"/>
        </w:rPr>
        <w:t xml:space="preserve">Recommended Approach</w:t>
      </w:r>
    </w:p>
    <w:p>
      <w:pPr>
        <w:spacing w:after="60" w:before="60"/>
      </w:pPr>
      <w:r>
        <w:rPr>
          <w:rFonts w:ascii="Arial" w:cs="Arial" w:eastAsia="Arial" w:hAnsi="Arial"/>
          <w:sz w:val="22"/>
          <w:szCs w:val="22"/>
        </w:rPr>
        <w:t xml:space="preserve">To maximize enforceability: (1) document specific trade secrets and customer relationships being protected; (2) pay non-compete consideration if required by court; (3) apply this Agreement only to roles with genuine access to protectable information; (4) seek opinion from qualified Saudi employment lawyer before enforcement proceedings.</w:t>
      </w:r>
    </w:p>
    <w:p>
      <w:r>
        <w:br w:type="page"/>
      </w:r>
    </w:p>
    <w:p>
      <w:pPr>
        <w:pStyle w:val="Heading1"/>
        <w:spacing w:after="120" w:before="300"/>
      </w:pPr>
      <w:r>
        <w:rPr>
          <w:rFonts w:ascii="Arial" w:cs="Arial" w:eastAsia="Arial" w:hAnsi="Arial"/>
          <w:b/>
          <w:bCs/>
          <w:color w:val="2D6E8A"/>
          <w:sz w:val="28"/>
          <w:szCs w:val="28"/>
        </w:rPr>
        <w:t xml:space="preserve">Appendix B — Prohibited and Permitted Activities Examples</w:t>
      </w:r>
    </w:p>
    <w:p>
      <w:pPr>
        <w:pStyle w:val="Heading2"/>
        <w:spacing w:after="80" w:before="200"/>
      </w:pPr>
      <w:r>
        <w:rPr>
          <w:rFonts w:ascii="Arial" w:cs="Arial" w:eastAsia="Arial" w:hAnsi="Arial"/>
          <w:b/>
          <w:bCs/>
          <w:color w:val="0A0E12"/>
          <w:sz w:val="24"/>
          <w:szCs w:val="24"/>
        </w:rPr>
        <w:t xml:space="preserve">Activities Constituting a Breach</w:t>
      </w:r>
    </w:p>
    <w:p>
      <w:pPr>
        <w:pStyle w:val="ListParagraph"/>
        <w:numPr>
          <w:ilvl w:val="0"/>
          <w:numId w:val="2"/>
        </w:numPr>
        <w:spacing w:after="40" w:before="40"/>
      </w:pPr>
      <w:r>
        <w:rPr>
          <w:rFonts w:ascii="Arial" w:cs="Arial" w:eastAsia="Arial" w:hAnsi="Arial"/>
          <w:sz w:val="22"/>
          <w:szCs w:val="22"/>
        </w:rPr>
        <w:t xml:space="preserve">Joining a startup building an AI-powered GACA exam preparation application</w:t>
      </w:r>
    </w:p>
    <w:p>
      <w:pPr>
        <w:pStyle w:val="ListParagraph"/>
        <w:numPr>
          <w:ilvl w:val="0"/>
          <w:numId w:val="2"/>
        </w:numPr>
        <w:spacing w:after="40" w:before="40"/>
      </w:pPr>
      <w:r>
        <w:rPr>
          <w:rFonts w:ascii="Arial" w:cs="Arial" w:eastAsia="Arial" w:hAnsi="Arial"/>
          <w:sz w:val="22"/>
          <w:szCs w:val="22"/>
        </w:rPr>
        <w:t xml:space="preserve">Building a pilot logbook or currency tracking application targeting Saudi pilots</w:t>
      </w:r>
    </w:p>
    <w:p>
      <w:pPr>
        <w:pStyle w:val="ListParagraph"/>
        <w:numPr>
          <w:ilvl w:val="0"/>
          <w:numId w:val="2"/>
        </w:numPr>
        <w:spacing w:after="40" w:before="40"/>
      </w:pPr>
      <w:r>
        <w:rPr>
          <w:rFonts w:ascii="Arial" w:cs="Arial" w:eastAsia="Arial" w:hAnsi="Arial"/>
          <w:sz w:val="22"/>
          <w:szCs w:val="22"/>
        </w:rPr>
        <w:t xml:space="preserve">Consulting for a company developing Arabic-language aviation regulatory content</w:t>
      </w:r>
    </w:p>
    <w:p>
      <w:pPr>
        <w:pStyle w:val="ListParagraph"/>
        <w:numPr>
          <w:ilvl w:val="0"/>
          <w:numId w:val="2"/>
        </w:numPr>
        <w:spacing w:after="40" w:before="40"/>
      </w:pPr>
      <w:r>
        <w:rPr>
          <w:rFonts w:ascii="Arial" w:cs="Arial" w:eastAsia="Arial" w:hAnsi="Arial"/>
          <w:sz w:val="22"/>
          <w:szCs w:val="22"/>
        </w:rPr>
        <w:t xml:space="preserve">Co-founding a business providing GACAR document access or search tools</w:t>
      </w:r>
    </w:p>
    <w:p>
      <w:pPr>
        <w:pStyle w:val="ListParagraph"/>
        <w:numPr>
          <w:ilvl w:val="0"/>
          <w:numId w:val="2"/>
        </w:numPr>
        <w:spacing w:after="40" w:before="40"/>
      </w:pPr>
      <w:r>
        <w:rPr>
          <w:rFonts w:ascii="Arial" w:cs="Arial" w:eastAsia="Arial" w:hAnsi="Arial"/>
          <w:sz w:val="22"/>
          <w:szCs w:val="22"/>
        </w:rPr>
        <w:t xml:space="preserve">Providing technical assistance to any entity replicating the Company RAG-based regulatory Q&amp;A system</w:t>
      </w:r>
    </w:p>
    <w:p>
      <w:pPr>
        <w:pStyle w:val="Heading2"/>
        <w:spacing w:after="80" w:before="200"/>
      </w:pPr>
      <w:r>
        <w:rPr>
          <w:rFonts w:ascii="Arial" w:cs="Arial" w:eastAsia="Arial" w:hAnsi="Arial"/>
          <w:b/>
          <w:bCs/>
          <w:color w:val="0A0E12"/>
          <w:sz w:val="24"/>
          <w:szCs w:val="24"/>
        </w:rPr>
        <w:t xml:space="preserve">Activities NOT Constituting a Breach</w:t>
      </w:r>
    </w:p>
    <w:p>
      <w:pPr>
        <w:pStyle w:val="ListParagraph"/>
        <w:numPr>
          <w:ilvl w:val="0"/>
          <w:numId w:val="2"/>
        </w:numPr>
        <w:spacing w:after="40" w:before="40"/>
      </w:pPr>
      <w:r>
        <w:rPr>
          <w:rFonts w:ascii="Arial" w:cs="Arial" w:eastAsia="Arial" w:hAnsi="Arial"/>
          <w:sz w:val="22"/>
          <w:szCs w:val="22"/>
        </w:rPr>
        <w:t xml:space="preserve">Working for a general software development company with no aviation focus</w:t>
      </w:r>
    </w:p>
    <w:p>
      <w:pPr>
        <w:pStyle w:val="ListParagraph"/>
        <w:numPr>
          <w:ilvl w:val="0"/>
          <w:numId w:val="2"/>
        </w:numPr>
        <w:spacing w:after="40" w:before="40"/>
      </w:pPr>
      <w:r>
        <w:rPr>
          <w:rFonts w:ascii="Arial" w:cs="Arial" w:eastAsia="Arial" w:hAnsi="Arial"/>
          <w:sz w:val="22"/>
          <w:szCs w:val="22"/>
        </w:rPr>
        <w:t xml:space="preserve">Teaching aviation theory at a flight school in an instructor capacity (not a technology product role)</w:t>
      </w:r>
    </w:p>
    <w:p>
      <w:pPr>
        <w:pStyle w:val="ListParagraph"/>
        <w:numPr>
          <w:ilvl w:val="0"/>
          <w:numId w:val="2"/>
        </w:numPr>
        <w:spacing w:after="40" w:before="40"/>
      </w:pPr>
      <w:r>
        <w:rPr>
          <w:rFonts w:ascii="Arial" w:cs="Arial" w:eastAsia="Arial" w:hAnsi="Arial"/>
          <w:sz w:val="22"/>
          <w:szCs w:val="22"/>
        </w:rPr>
        <w:t xml:space="preserve">Investing less than 1% of equity in a publicly listed company that competes with Fly GACA</w:t>
      </w:r>
    </w:p>
    <w:p>
      <w:pPr>
        <w:pStyle w:val="ListParagraph"/>
        <w:numPr>
          <w:ilvl w:val="0"/>
          <w:numId w:val="2"/>
        </w:numPr>
        <w:spacing w:after="40" w:before="40"/>
      </w:pPr>
      <w:r>
        <w:rPr>
          <w:rFonts w:ascii="Arial" w:cs="Arial" w:eastAsia="Arial" w:hAnsi="Arial"/>
          <w:sz w:val="22"/>
          <w:szCs w:val="22"/>
        </w:rPr>
        <w:t xml:space="preserve">Working for an aviation regulator (GACA itself) in a regulatory civil servant capacity</w:t>
      </w:r>
    </w:p>
    <w:p>
      <w:r>
        <w:br w:type="page"/>
      </w:r>
    </w:p>
    <w:p>
      <w:pPr>
        <w:pStyle w:val="Heading1"/>
        <w:spacing w:after="120" w:before="300"/>
      </w:pPr>
      <w:r>
        <w:rPr>
          <w:rFonts w:ascii="Arial" w:cs="Arial" w:eastAsia="Arial" w:hAnsi="Arial"/>
          <w:b/>
          <w:bCs/>
          <w:color w:val="2D6E8A"/>
          <w:sz w:val="28"/>
          <w:szCs w:val="28"/>
        </w:rPr>
        <w:t xml:space="preserve">Appendix C — Non-Solicitation Scope</w:t>
      </w:r>
    </w:p>
    <w:p>
      <w:pPr>
        <w:pStyle w:val="Heading2"/>
        <w:spacing w:after="80" w:before="200"/>
      </w:pPr>
      <w:r>
        <w:rPr>
          <w:rFonts w:ascii="Arial" w:cs="Arial" w:eastAsia="Arial" w:hAnsi="Arial"/>
          <w:b/>
          <w:bCs/>
          <w:color w:val="0A0E12"/>
          <w:sz w:val="24"/>
          <w:szCs w:val="24"/>
        </w:rPr>
        <w:t xml:space="preserve">Personnel Categories Subject to Non-Solicitation (24 Months)</w:t>
      </w:r>
    </w:p>
    <w:p>
      <w:pPr>
        <w:pStyle w:val="ListParagraph"/>
        <w:numPr>
          <w:ilvl w:val="0"/>
          <w:numId w:val="2"/>
        </w:numPr>
        <w:spacing w:after="40" w:before="40"/>
      </w:pPr>
      <w:r>
        <w:rPr>
          <w:rFonts w:ascii="Arial" w:cs="Arial" w:eastAsia="Arial" w:hAnsi="Arial"/>
          <w:sz w:val="22"/>
          <w:szCs w:val="22"/>
        </w:rPr>
        <w:t xml:space="preserve">All Fly GACA full-time and part-time employees</w:t>
      </w:r>
    </w:p>
    <w:p>
      <w:pPr>
        <w:pStyle w:val="ListParagraph"/>
        <w:numPr>
          <w:ilvl w:val="0"/>
          <w:numId w:val="2"/>
        </w:numPr>
        <w:spacing w:after="40" w:before="40"/>
      </w:pPr>
      <w:r>
        <w:rPr>
          <w:rFonts w:ascii="Arial" w:cs="Arial" w:eastAsia="Arial" w:hAnsi="Arial"/>
          <w:sz w:val="22"/>
          <w:szCs w:val="22"/>
        </w:rPr>
        <w:t xml:space="preserve">All independent contractors and consultants engaged by Fly GACA</w:t>
      </w:r>
    </w:p>
    <w:p>
      <w:pPr>
        <w:pStyle w:val="ListParagraph"/>
        <w:numPr>
          <w:ilvl w:val="0"/>
          <w:numId w:val="2"/>
        </w:numPr>
        <w:spacing w:after="40" w:before="40"/>
      </w:pPr>
      <w:r>
        <w:rPr>
          <w:rFonts w:ascii="Arial" w:cs="Arial" w:eastAsia="Arial" w:hAnsi="Arial"/>
          <w:sz w:val="22"/>
          <w:szCs w:val="22"/>
        </w:rPr>
        <w:t xml:space="preserve">All advisers and board observers with access to Confidential Information</w:t>
      </w:r>
    </w:p>
    <w:p>
      <w:pPr>
        <w:pStyle w:val="Heading2"/>
        <w:spacing w:after="80" w:before="200"/>
      </w:pPr>
      <w:r>
        <w:rPr>
          <w:rFonts w:ascii="Arial" w:cs="Arial" w:eastAsia="Arial" w:hAnsi="Arial"/>
          <w:b/>
          <w:bCs/>
          <w:color w:val="0A0E12"/>
          <w:sz w:val="24"/>
          <w:szCs w:val="24"/>
        </w:rPr>
        <w:t xml:space="preserve">Customer Categories Subject to Non-Solicitation (24 Months)</w:t>
      </w:r>
    </w:p>
    <w:p>
      <w:pPr>
        <w:pStyle w:val="ListParagraph"/>
        <w:numPr>
          <w:ilvl w:val="0"/>
          <w:numId w:val="2"/>
        </w:numPr>
        <w:spacing w:after="40" w:before="40"/>
      </w:pPr>
      <w:r>
        <w:rPr>
          <w:rFonts w:ascii="Arial" w:cs="Arial" w:eastAsia="Arial" w:hAnsi="Arial"/>
          <w:sz w:val="22"/>
          <w:szCs w:val="22"/>
        </w:rPr>
        <w:t xml:space="preserve">All registered Pro subscribers (individual pilots and cadets)</w:t>
      </w:r>
    </w:p>
    <w:p>
      <w:pPr>
        <w:pStyle w:val="ListParagraph"/>
        <w:numPr>
          <w:ilvl w:val="0"/>
          <w:numId w:val="2"/>
        </w:numPr>
        <w:spacing w:after="40" w:before="40"/>
      </w:pPr>
      <w:r>
        <w:rPr>
          <w:rFonts w:ascii="Arial" w:cs="Arial" w:eastAsia="Arial" w:hAnsi="Arial"/>
          <w:sz w:val="22"/>
          <w:szCs w:val="22"/>
        </w:rPr>
        <w:t xml:space="preserve">All flight academies holding or negotiating Academy cohort license agreements</w:t>
      </w:r>
    </w:p>
    <w:p>
      <w:pPr>
        <w:pStyle w:val="ListParagraph"/>
        <w:numPr>
          <w:ilvl w:val="0"/>
          <w:numId w:val="2"/>
        </w:numPr>
        <w:spacing w:after="40" w:before="40"/>
      </w:pPr>
      <w:r>
        <w:rPr>
          <w:rFonts w:ascii="Arial" w:cs="Arial" w:eastAsia="Arial" w:hAnsi="Arial"/>
          <w:sz w:val="22"/>
          <w:szCs w:val="22"/>
        </w:rPr>
        <w:t xml:space="preserve">All White Label partners and prospective partners in active negotiation</w:t>
      </w:r>
    </w:p>
    <w:p>
      <w:pPr>
        <w:pStyle w:val="ListParagraph"/>
        <w:numPr>
          <w:ilvl w:val="0"/>
          <w:numId w:val="2"/>
        </w:numPr>
        <w:spacing w:after="40" w:before="40"/>
      </w:pPr>
      <w:r>
        <w:rPr>
          <w:rFonts w:ascii="Arial" w:cs="Arial" w:eastAsia="Arial" w:hAnsi="Arial"/>
          <w:sz w:val="22"/>
          <w:szCs w:val="22"/>
        </w:rPr>
        <w:t xml:space="preserve">All aviation organizations (airlines, MROs, UAV operators) in active commercial discussions</w:t>
      </w:r>
    </w:p>
    <w:p>
      <w:pPr>
        <w:spacing w:after="60" w:before="60"/>
      </w:pPr>
      <w:r>
        <w:rPr>
          <w:rFonts w:ascii="Arial" w:cs="Arial" w:eastAsia="Arial" w:hAnsi="Arial"/>
          <w:sz w:val="22"/>
          <w:szCs w:val="22"/>
        </w:rPr>
        <w:t xml:space="preserve">Specific customer lists maintained in the Company CRM system. Any customer the Employee was aware of through their Fly GACA employment is subject to this restriction, regardless of whether they appear on a formal list.</w:t>
      </w:r>
    </w:p>
    <w:p>
      <w:r>
        <w:br w:type="page"/>
      </w:r>
    </w:p>
    <w:p>
      <w:pPr>
        <w:pStyle w:val="Heading1"/>
        <w:spacing w:after="120" w:before="300"/>
      </w:pPr>
      <w:r>
        <w:rPr>
          <w:rFonts w:ascii="Arial" w:cs="Arial" w:eastAsia="Arial" w:hAnsi="Arial"/>
          <w:b/>
          <w:bCs/>
          <w:color w:val="2D6E8A"/>
          <w:sz w:val="28"/>
          <w:szCs w:val="28"/>
        </w:rPr>
        <w:t xml:space="preserve">Appendix D — Senior Role Application Guide</w:t>
      </w:r>
    </w:p>
    <w:p>
      <w:pPr>
        <w:spacing w:after="60" w:before="60"/>
      </w:pPr>
      <w:r>
        <w:rPr>
          <w:rFonts w:ascii="Arial" w:cs="Arial" w:eastAsia="Arial" w:hAnsi="Arial"/>
          <w:sz w:val="22"/>
          <w:szCs w:val="22"/>
        </w:rPr>
        <w:t xml:space="preserve">This Agreement is designed for the following roles at Fly GACA where application is mandatory:</w:t>
      </w:r>
    </w:p>
    <w:p>
      <w:pPr>
        <w:spacing w:after="80" w:before="80"/>
      </w:pPr>
      <w:r>
        <w:t xml:space="preserve"/>
      </w:r>
    </w:p>
    <w:p>
      <w:pPr>
        <w:spacing w:after="60" w:before="60"/>
      </w:pPr>
      <w:r>
        <w:rPr>
          <w:rFonts w:ascii="Arial" w:cs="Arial" w:eastAsia="Arial" w:hAnsi="Arial"/>
          <w:sz w:val="22"/>
          <w:szCs w:val="22"/>
        </w:rPr>
        <w:t xml:space="preserve">Engineering and AI Roles: All engineers, ML engineers, DevOps engineers, and technical leads with access to source code repositories, AI model design, or GACAR indexing infrastructure.</w:t>
      </w:r>
    </w:p>
    <w:p>
      <w:pPr>
        <w:spacing w:after="60" w:before="60"/>
      </w:pPr>
      <w:r>
        <w:rPr>
          <w:rFonts w:ascii="Arial" w:cs="Arial" w:eastAsia="Arial" w:hAnsi="Arial"/>
          <w:sz w:val="22"/>
          <w:szCs w:val="22"/>
        </w:rPr>
        <w:t xml:space="preserve">Product and Design Roles: Product managers, UX designers, content designers, and curriculum designers who develop proprietary content or product architecture.</w:t>
      </w:r>
    </w:p>
    <w:p>
      <w:pPr>
        <w:spacing w:after="60" w:before="60"/>
      </w:pPr>
      <w:r>
        <w:rPr>
          <w:rFonts w:ascii="Arial" w:cs="Arial" w:eastAsia="Arial" w:hAnsi="Arial"/>
          <w:sz w:val="22"/>
          <w:szCs w:val="22"/>
        </w:rPr>
        <w:t xml:space="preserve">Sales and Business Development Roles: Heads of Business Development, Academy Partnership Managers, and White Label Account Managers with access to customer lists and commercial terms.</w:t>
      </w:r>
    </w:p>
    <w:p>
      <w:pPr>
        <w:spacing w:after="60" w:before="60"/>
      </w:pPr>
      <w:r>
        <w:rPr>
          <w:rFonts w:ascii="Arial" w:cs="Arial" w:eastAsia="Arial" w:hAnsi="Arial"/>
          <w:sz w:val="22"/>
          <w:szCs w:val="22"/>
        </w:rPr>
        <w:t xml:space="preserve">Executive Roles: All C-suite executives, VP-level positions, and Board observers who have access to investor materials, cap table, financial model, and strategic plans.</w:t>
      </w:r>
    </w:p>
    <w:p>
      <w:pPr>
        <w:spacing w:after="80" w:before="80"/>
      </w:pPr>
      <w:r>
        <w:t xml:space="preserve"/>
      </w:r>
    </w:p>
    <w:p>
      <w:pPr>
        <w:spacing w:after="60" w:before="60"/>
      </w:pPr>
      <w:r>
        <w:rPr>
          <w:rFonts w:ascii="Arial" w:cs="Arial" w:eastAsia="Arial" w:hAnsi="Arial"/>
          <w:sz w:val="22"/>
          <w:szCs w:val="22"/>
        </w:rPr>
        <w:t xml:space="preserve">Application of this Agreement to other roles is at the discretion of the CEO and Legal/HR function based on the individual role sensitivity assessment.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7A8590"/>
        <w:sz w:val="18"/>
        <w:szCs w:val="18"/>
      </w:rPr>
      <w:t xml:space="preserve">Fly GACA · Confidential · TEMPLATE	</w:t>
    </w:r>
    <w:r>
      <w:rPr>
        <w:rFonts w:ascii="Arial" w:cs="Arial" w:eastAsia="Arial" w:hAnsi="Arial"/>
        <w:color w:val="7A859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2D6E8A"/>
      <w:sz w:val="28"/>
      <w:szCs w:val="28"/>
    </w:rPr>
  </w:style>
  <w:style w:type="paragraph" w:styleId="Heading2">
    <w:name w:val="Heading 2"/>
    <w:basedOn w:val="Normal"/>
    <w:next w:val="Normal"/>
    <w:qFormat/>
    <w:pPr>
      <w:spacing w:after="80" w:before="200"/>
      <w:outlineLvl w:val="1"/>
    </w:pPr>
    <w:rPr>
      <w:rFonts w:ascii="Arial" w:cs="Arial" w:eastAsia="Arial" w:hAnsi="Arial"/>
      <w:b/>
      <w:bCs/>
      <w:color w:val="0A0E1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2026-05-05T01:49:13.616Z</dcterms:created>
  <dcterms:modified xsi:type="dcterms:W3CDTF">2026-05-05T01:49:13.616Z</dcterms:modified>
</cp:coreProperties>
</file>

<file path=docProps/custom.xml><?xml version="1.0" encoding="utf-8"?>
<Properties xmlns="http://schemas.openxmlformats.org/officeDocument/2006/custom-properties" xmlns:vt="http://schemas.openxmlformats.org/officeDocument/2006/docPropsVTypes"/>
</file>