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2D6E8A" w:val="solid"/>
        <w:spacing w:after="60" w:before="0"/>
        <w:ind w:left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Fly GACA  ·  Strategic &amp; Governance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D6E8A"/>
          <w:sz w:val="52"/>
          <w:szCs w:val="52"/>
        </w:rPr>
        <w:t xml:space="preserve">Business Continuity &amp; Disaster Recovery Plan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C8A04A"/>
          <w:sz w:val="22"/>
          <w:szCs w:val="22"/>
        </w:rPr>
        <w:t xml:space="preserve">BCP/DR  ·  Fly GACA  ·  Strategic &amp; Governance  ·  v1.0  ·  May 2026</w:t>
      </w:r>
    </w:p>
    <w:p>
      <w:pPr>
        <w:spacing w:after="400" w:before="0"/>
      </w:pPr>
      <w:r>
        <w:rPr>
          <w:rFonts w:ascii="Arial" w:cs="Arial" w:eastAsia="Arial" w:hAnsi="Arial"/>
          <w:color w:val="0A0E12"/>
          <w:sz w:val="18"/>
          <w:szCs w:val="18"/>
        </w:rPr>
        <w:t xml:space="preserve">Confidential — Not for Distribution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A0E12"/>
          <w:sz w:val="20"/>
          <w:szCs w:val="20"/>
        </w:rPr>
        <w:t xml:space="preserve">Captain Adel Yahya A. Madkhali  ·  Founder &amp; GACA-Licensed Pilot</w:t>
      </w:r>
    </w:p>
    <w:p>
      <w:pPr>
        <w:spacing w:after="600" w:before="0"/>
      </w:pPr>
      <w:r>
        <w:rPr>
          <w:rFonts w:ascii="Arial" w:cs="Arial" w:eastAsia="Arial" w:hAnsi="Arial"/>
          <w:color w:val="0A0E12"/>
          <w:sz w:val="20"/>
          <w:szCs w:val="20"/>
        </w:rPr>
        <w:t xml:space="preserve">+966 51 096 6969  ·  i@flygaca.com  ·  flygaca.com</w:t>
      </w:r>
    </w:p>
    <w:p>
      <w:pPr>
        <w:pBdr>
          <w:left w:val="thick" w:color="2D6E8A" w:sz="12"/>
        </w:pBdr>
        <w:shd w:color="B5DDC2" w:val="solid"/>
        <w:spacing w:after="180" w:before="120"/>
        <w:ind w:left="200" w:right="200"/>
      </w:pPr>
      <w:r>
        <w:rPr>
          <w:rFonts w:ascii="Arial" w:cs="Arial" w:eastAsia="Arial" w:hAnsi="Arial"/>
          <w:i/>
          <w:iCs/>
          <w:color w:val="0A0E12"/>
          <w:sz w:val="20"/>
          <w:szCs w:val="20"/>
        </w:rPr>
        <w:t xml:space="preserve">  This plan must be reviewed annually and after any material incident. The Incident Commander is the Founder until a COO is appointed. Every engineer must read Section 5 before being granted production access.  </w:t>
      </w:r>
    </w:p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Purpose &amp; Scope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This BCP/DR Plan defines how Fly GACA detects, responds to, and recovers from disruptions to its critical technology and business operations. It covers all systems hosted on Google Cloud (me-central2 Dammam), the Moyasar payment integration, and the Gemini API dependency. It applies to all employees, contractors, and sub-processors with production system access.</w:t>
      </w:r>
    </w:p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Business Impact Analysis (BIA)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Critical processes are ranked by impact on revenue, regulatory compliance, and customer trust if unavailable for more than 4 hours.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Impact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Regulatory Impact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Impact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Captain Adel AI chat (core product)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T1 — Critical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Direct, immediate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GACA goodwill at risk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Total service failure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Library search &amp; citation retrieval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T1 — Critical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Direct, immediate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Content integrity at risk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Core workflow broken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Payment processing (Moyasar)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T1 — Critical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Revenue collection blocked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ZATCA Fatoora risk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Academy billing failure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Exam practice module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T2 — High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Indirect, 24hr impact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Low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Cadet experience degraded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Library content updates &amp; ingestion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T3 — Medium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Long-term quality risk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Low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Stale content (days acceptable)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Analytics &amp; reporting dashboards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T3 — Medium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None direct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None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Internal impact only</w:t>
            </w:r>
          </w:p>
        </w:tc>
      </w:tr>
    </w:tbl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RTO &amp; RPO Targets by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Processes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 (Recovery Time Objective)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RPO (Recovery Point Objective)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T1 — Critical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Captain Adel, Library Search, Payments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4 hours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 hour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T2 — High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Exam Practice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24 hours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T3 — Medium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Library Updates, Analytics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72 hours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24 hours</w:t>
            </w:r>
          </w:p>
        </w:tc>
      </w:tr>
    </w:tbl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Disaster Scenarios &amp; Response Procedures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4.1  Regional Cloud Outage — me-central2 Dammam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Activation: GCP status confirms me-central2 degradation &gt;30 min OR customer-reported unavailability confirmed by engineering.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Decision authority: Founder (Incident Commander).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Technical response: Assess Firestore and Cloud Run impact. If partial, route read traffic to Firestore replicas. If full, activate pre-cached CDN static fallback for library.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Customer comms: Send Academy admin email within 2 hours using template in Section 6. Post status page update within 1 hour.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Regulatory: No immediate NDMO/PDPL notification required unless personal data is compromised.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4.2  Payment Processor Outage — Moyasar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Activation: Moyasar API error rate &gt;5% over 15 minutes OR confirmed Moyasar status incident.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Technical response: Disable payment initiation UI. Queue retry logic. Contact Moyasar support immediately.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Customer comms: Notify academy finance contacts that subscription renewals may be delayed up to 24 hours.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ZATCA: Retain Fatoora invoice records locally; do not issue until payment confirmed.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4.3  Gemini API Outage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Activation: Gemini API error rate &gt;10% over 10 minutes or confirmed Google AI status incident.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Technical response: Enable graceful degradation — Captain Adel returns cached suggestions with citation links only. Display in-app banner: 'AI responses temporarily limited — citations available.'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Customer comms: In-app banner only for outages &lt;4 hours. Email academy admins if &gt;4 hours.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4.4  Key-Person Unavailability — Founder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Activation: Founder incapacitated, unreachable, or unable to fulfil duties for &gt;48 hours.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Interim authority: Designated technical lead (named upon first engineering hire) assumes operational decisions. Legal and financial decisions escalate to board observer.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Insurance: Key-person life insurance on Founder ≥3M SAR is required (see Section 8).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4.5  Security Breach / PDPL Incident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Activation: Confirmed or reasonably suspected unauthorised access to personal data of KSA residents.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PDPL obligation: Notify the National Data Management Office (NDMO) within 72 hours of becoming aware of a breach.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Customer comms: Notify affected academy admins and cadets within 72 hours with nature of breach, data affected, and remediation steps.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Technical response: Isolate affected systems, rotate all credentials, engage security consultant within 24 hours.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4.6  GACA Non-Objection Letter Withdrawn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Activation: Formal written notice from GACA that any non-objection or approval is withdrawn.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Technical response: Immediately add prominent disclaimer to all product interfaces: 'Content is for study purposes only. Always refer to current official GACA publications.'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Customer comms: Notify academy admins within 24 hours. Offer billing pause until regulatory status resolved.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Regulatory: Engage GACA directly within 48 hours to understand remediation path.</w:t>
      </w:r>
    </w:p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Backup Strategy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Firestore: Daily automated snapshots via Cloud Firestore managed export to Cloud Storage (me-central2). 30-day retention. Encrypted at rest.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Off-region backup: Weekly encrypted export to secondary GCP region (subject to PDPL data transfer rules — legal review required before activation).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Library content: GACA regulatory documents in Cloud Storage with versioning enabled. 10 previous versions retained.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Code: All source in Git with remote backup. No single-point-of-failure on local machines.</w:t>
      </w:r>
    </w:p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Customer Communication Templates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Template A — Service Incident Notification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Subject: [Service Update] Fly GACA platform — [Brief description]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Dear [Academy Admin Name], We are writing to inform you of a service disruption affecting [specific feature]. Our team identified the issue at [time] and is working to restore full service by [estimated RTO]. What is affected: [Description]. What is NOT affected: [Description]. Expected resolution: [time/date]. Next update: [time]. We apologise for any disruption to your cadets' study schedules.  — Captain Adel Yahya A. Madkhali, Founder  ·  i@flygaca.com  ·  +966 51 096 6969</w:t>
      </w:r>
    </w:p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7. Recovery Testing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Annual DR drill in Q4 each year, simulating a T1 scenario (me-central2 outage).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Drill results documented and filed in this folder within 30 days.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RTO/RPO failures trigger a plan update within 60 days.</w:t>
      </w:r>
    </w:p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8. Insurance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Insurance Type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Coverage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Cyber Liability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Min 2M SAR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PDPL breach costs, notification, forensics, third-party claims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Professional Indemnity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Min 3M SAR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AI answer errors causing cadet exam failure or regulatory complaint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Key-Person Life (Founder)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Min 3M SAR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Bridge runway loss if founder is incapacitated</w:t>
            </w:r>
          </w:p>
        </w:tc>
      </w:tr>
    </w:tbl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9. Activation Criteria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This plan is activated by the Incident Commander when any of the following occur: a T1 process is unavailable for &gt;30 minutes; a confirmed or suspected personal data breach; a regulatory instruction affecting product operations; or a force majeure event affecting Dammam operations.</w:t>
      </w:r>
    </w:p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10.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Holder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Incident Commander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Founder (Captain Adel) until COO appointed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Activate plan, make all decisions, sign off on customer comms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Communications Lead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Marketing lead / Founder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Draft and send customer comms, update status page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Technical Lead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Engineering lead (to be hired)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Execute technical recovery steps, coordinate with vendors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Legal Liaison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External legal counsel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PDPL notifications, regulatory comms, contract review</w:t>
            </w:r>
          </w:p>
        </w:tc>
      </w:tr>
    </w:tbl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11. Annual Review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This BCP/DR plan is reviewed annually by the Founder, or immediately following any material incident or significant technology/team change. Next scheduled review: May 2027. Cross-reference: Marketing Crisis Comms Playbook (folder 07 Marketing &amp; PR).</w:t>
      </w:r>
    </w:p>
    <w:p>
      <w:pPr>
        <w:spacing w:after="160"/>
      </w:pPr>
      <w:r>
        <w:rPr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0A0E12"/>
        <w:sz w:val="16"/>
        <w:szCs w:val="16"/>
      </w:rPr>
      <w:t xml:space="preserve">Fly GACA  ·  Strategic  ·  Confidential     Page </w:t>
    </w:r>
    <w:r>
      <w:rPr>
        <w:rFonts w:ascii="Arial" w:cs="Arial" w:eastAsia="Arial" w:hAnsi="Arial"/>
        <w:color w:val="0A0E12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Continuity &amp; Disaster Recovery Plan</dc:title>
  <dc:creator>Fly GACA</dc:creator>
  <cp:lastModifiedBy>Un-named</cp:lastModifiedBy>
  <cp:revision>1</cp:revision>
  <dcterms:created xsi:type="dcterms:W3CDTF">2026-05-05T06:48:00.393Z</dcterms:created>
  <dcterms:modified xsi:type="dcterms:W3CDTF">2026-05-05T06:48:00.393Z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