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rPr>
          <w:sz w:val="48"/>
          <w:szCs w:val="48"/>
        </w:rPr>
        <w:t xml:space="preserve"/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FLY GACA</w:t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8A04A"/>
          <w:sz w:val="28"/>
          <w:szCs w:val="28"/>
        </w:rPr>
        <w:t xml:space="preserve">Saudi Government &amp; Tax</w:t>
      </w:r>
    </w:p>
    <w:p>
      <w:pPr>
        <w:pBdr>
          <w:bottom w:val="single" w:color="C8A04A" w:sz="8" w:space="4"/>
        </w:pBdr>
        <w:spacing w:after="240" w:before="8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Monshaʼat SME
Registration Kit</w:t>
      </w:r>
    </w:p>
    <w:p>
      <w:pPr>
        <w:spacing w:after="9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Saudi Small &amp; Medium Enterprises General Authority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Fly GACA  ·  Saudi Gov &amp; Tax  ·  v1.0  ·  May 2026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Adel Yahya A. Madkhali  ·  i@flygaca.com  ·  +966 51 096 6969  ·  flygaca.com</w:t>
      </w:r>
    </w:p>
    <w:p>
      <w:pPr>
        <w:pageBreakBefore/>
      </w:pPr>
      <w:r/>
    </w:p>
    <w:p>
      <w:pPr>
        <w:shd w:fill="B5DDC2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1A3D2A"/>
          <w:sz w:val="22"/>
          <w:szCs w:val="22"/>
        </w:rPr>
        <w:t xml:space="preserve">Monshaʼat registration unlocks a parallel ecosystem of government incentives, loan guarantees, procurement preferences, and pre-IPO programs that are exclusively available to registered SMEs. Fly GACA should register immediately after CR issuance — it costs nothing and the benefits compound over time.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Why Register with Monshaʼat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 to SME-exclusive government procurement opportunities (set-aside contracts)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Kafalah loan guarantee program (up to 80% guarantee on bank financing)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Tomoh program: Pre-IPO stock market listing preparation (Nomu parallel market)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IPR (Intellectual Property) registration support and cost subsidies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grants and market access programs for GCC/international expansion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Mentorship matching with experienced Saudi entrepreneurs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Priority consideration for government innovation procurement (NTDP, Vision 2030 projects)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SME Size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Annual 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Micro Enterprise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Less than 3M SAR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Small Enterprise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3M – 40M SAR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Medium Enterprise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40M – 200M SAR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Fly GACA starts as Micro, graduates to Small by Year 3 per financial projections. Monshaʼat classification updates automatically based on annual financial statements.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Application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1: Visit monshaat.gov.sa and create company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2: Link company CR via Absher/Nafath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3: Enter company financial data (revenue, employees, sector: Technology)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4: Upload required documents (see Section 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5: Receive Monshaʼat Certificate within 3–5 business days (digital)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6: Access SME benefits portal using certificate number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Required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Commercial Registration (CR) — current, valid copy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MISA Investment License — valid copy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GOSI registration certificate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Financial statements (audited if available; bank statements acceptable for Micro)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Founder national ID (Adel Yahya A. Madkhali)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 bank account details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Key Benefits: Kafalah Loan Guarantee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Guarantee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Up to 80% of loan principal (bank bears remaining 20%)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Maximum Guarantee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7.5M SAR per SME (Micro: up to 750K SAR)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Eligible Banks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All Saudi commercial banks (SNB, Al Rajhi, Riyad Bank,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Use of Funds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Working capital, equipment, technology, hiring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Fly GACA Application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Year 2 when infrastructure/team scaling requires bridge financing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Tomoh Pre-IPO Program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Tomoh is Monshaʼat’s structured program to prepare Saudi SMEs for listing on Nomu (Saudi parallel market)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Requirements: 3+ years of audited financials, minimum 5M SAR revenue, clear corporate governance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Program duration: 12–18 months of intensive governance, reporting, and investor-readiness preparation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Fly GACA target: Tomoh application in Year 4–5 (post-Series A, pre-Nomu listing)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Benefit: HRDF and Monshaʼat cover up to 50% of advisory/legal fees during Tomoh program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Action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Immediate post-CR: Register at monshaat.gov.sa (Day 1 priority)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 2: Apply for Kafalah pre-qualification (even if no immediate loan need — activates the guarantee for future use)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Year 1 Q4: Submit to Monshaʼat innovation showcase (annual event — visibility with investors and government buyers)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Year 4: Initiate Tomoh program engagement as part of pre-IPO roadmap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E8A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Confidential 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04A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v1.0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2026-05-05T03:23:01.878Z</dcterms:created>
  <dcterms:modified xsi:type="dcterms:W3CDTF">2026-05-05T03:23:01.878Z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