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E8A" w:sz="1"/>
              <w:left w:val="single" w:color="2D6E8A" w:sz="1"/>
              <w:bottom w:val="single" w:color="2D6E8A" w:sz="1"/>
              <w:right w:val="single" w:color="2D6E8A" w:sz="1"/>
            </w:tcBorders>
            <w:shd w:fill="2D6E8A" w:val="clear"/>
            <w:tcMar>
              <w:top w:type="dxa" w:w="400"/>
              <w:left w:type="dxa" w:w="400"/>
              <w:bottom w:type="dxa" w:w="400"/>
              <w:right w:type="dxa" w:w="400"/>
            </w:tcMar>
            <w:vAlign w:val="center"/>
          </w:tcPr>
          <w:p>
            <w:pPr>
              <w:spacing w:after="80" w:before="0"/>
              <w:jc w:val="center"/>
            </w:pPr>
            <w:r>
              <w:rPr>
                <w:rFonts w:ascii="Arial" w:cs="Arial" w:eastAsia="Arial" w:hAnsi="Arial"/>
                <w:b/>
                <w:bCs/>
                <w:color w:val="FFFFFF"/>
                <w:sz w:val="48"/>
                <w:szCs w:val="48"/>
              </w:rPr>
              <w:t xml:space="preserve">FLY GACA</w:t>
            </w:r>
          </w:p>
          <w:p>
            <w:pPr>
              <w:spacing w:after="0" w:before="0"/>
              <w:jc w:val="center"/>
            </w:pPr>
            <w:r>
              <w:rPr>
                <w:rFonts w:ascii="Arial" w:cs="Arial" w:eastAsia="Arial" w:hAnsi="Arial"/>
                <w:b/>
                <w:bCs/>
                <w:color w:val="E0C588"/>
                <w:sz w:val="36"/>
                <w:szCs w:val="36"/>
              </w:rPr>
              <w:t xml:space="preserve">Saudi-Compliant Employment Contract</w:t>
            </w:r>
          </w:p>
        </w:tc>
      </w:tr>
    </w:tbl>
    <w:p>
      <w:pPr>
        <w:pBdr>
          <w:bottom w:val="single" w:color="C8A04A" w:sz="12" w:space="1"/>
        </w:pBdr>
        <w:spacing w:after="200" w:before="0"/>
      </w:pPr>
      <w:r>
        <w:t xml:space="preserve"/>
      </w:r>
    </w:p>
    <w:p>
      <w:pPr>
        <w:spacing w:after="60" w:before="120"/>
        <w:jc w:val="center"/>
      </w:pPr>
      <w:r>
        <w:rPr>
          <w:rFonts w:ascii="Arial" w:cs="Arial" w:eastAsia="Arial" w:hAnsi="Arial"/>
          <w:b/>
          <w:bCs/>
          <w:color w:val="0A0E12"/>
          <w:sz w:val="22"/>
          <w:szCs w:val="22"/>
        </w:rPr>
        <w:t xml:space="preserve">TEMPLATE — Subject to Saudi Counsel Review</w:t>
      </w:r>
    </w:p>
    <w:p>
      <w:pPr>
        <w:spacing w:after="240" w:before="0"/>
        <w:jc w:val="center"/>
      </w:pPr>
      <w:r>
        <w:rPr>
          <w:rFonts w:ascii="Arial" w:cs="Arial" w:eastAsia="Arial" w:hAnsi="Arial"/>
          <w:color w:val="7A8590"/>
          <w:sz w:val="20"/>
          <w:szCs w:val="20"/>
        </w:rPr>
        <w:t xml:space="preserve">Fly GACA · Office Paperwork · v1.0 · May 2026</w:t>
      </w:r>
    </w:p>
    <w:p>
      <w:pPr>
        <w:pBdr>
          <w:bottom w:val="single" w:color="C8A04A" w:sz="4"/>
        </w:pBdr>
        <w:spacing w:after="120" w:before="120"/>
      </w:pPr>
      <w:r>
        <w:rPr>
          <w:rFonts w:ascii="Arial" w:cs="Arial" w:eastAsia="Arial" w:hAnsi="Arial"/>
          <w:b/>
          <w:bCs/>
          <w:i/>
          <w:iCs/>
          <w:color w:val="CC0000"/>
          <w:sz w:val="20"/>
          <w:szCs w:val="20"/>
        </w:rPr>
        <w:t xml:space="preserve">IMPORTANT: This is a template prepared for Fly GACA’s internal use. Saudi-licensed counsel must review before execution. Not legal advice.</w:t>
      </w:r>
    </w:p>
    <w:p>
      <w:pPr>
        <w:spacing w:after="60" w:before="60"/>
      </w:pPr>
      <w:r>
        <w:rPr>
          <w:rFonts w:ascii="Arial" w:cs="Arial" w:eastAsia="Arial" w:hAnsi="Arial"/>
          <w:sz w:val="22"/>
          <w:szCs w:val="22"/>
        </w:rPr>
        <w:t xml:space="preserve">This Employment Contract ("Contract") is governed by Saudi Labor Law (Royal Decree No. M/51, as amended) and its executive regulations. Any provision inconsistent with Saudi Labor Law shall be superseded by the applicable statutory provision.</w:t>
      </w:r>
    </w:p>
    <w:p>
      <w:r>
        <w:br w:type="page"/>
      </w:r>
    </w:p>
    <w:p>
      <w:pPr>
        <w:pStyle w:val="Heading1"/>
        <w:spacing w:after="120" w:before="300"/>
      </w:pPr>
      <w:r>
        <w:rPr>
          <w:rFonts w:ascii="Arial" w:cs="Arial" w:eastAsia="Arial" w:hAnsi="Arial"/>
          <w:b/>
          <w:bCs/>
          <w:color w:val="2D6E8A"/>
          <w:sz w:val="28"/>
          <w:szCs w:val="28"/>
        </w:rPr>
        <w:t xml:space="preserve">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Employer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Fly GACA Saudi Arabia (LLC)</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CR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[CR_NUMBER]</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Employer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[COMPANY_ADDRESS], Kingdom of Saudi Arabia</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Authorized Rep.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Adel Yahya A. Madkhali, Chief Executive Officer</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Employee Full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[EMPLOYEE_FULL_NAME]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National ID / Iqama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[EMPLOYEE_ID]</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Nationality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[EMPLOYEE_NATIONALITY]</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Date of Birth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[EMPLOYEE_DOB]</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Employee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[EMPLOYEE_ADDRESS]</w:t>
            </w:r>
          </w:p>
        </w:tc>
      </w:tr>
    </w:tbl>
    <w:p>
      <w:r>
        <w:br w:type="page"/>
      </w:r>
    </w:p>
    <w:p>
      <w:pPr>
        <w:pStyle w:val="Heading1"/>
        <w:spacing w:after="120" w:before="300"/>
      </w:pPr>
      <w:r>
        <w:rPr>
          <w:rFonts w:ascii="Arial" w:cs="Arial" w:eastAsia="Arial" w:hAnsi="Arial"/>
          <w:b/>
          <w:bCs/>
          <w:color w:val="2D6E8A"/>
          <w:sz w:val="28"/>
          <w:szCs w:val="28"/>
        </w:rPr>
        <w:t xml:space="preserve">2. Position and Duties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Job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[JOB_TITLE]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Department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[DEPARTMENT]</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Reporting 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[LINE_MANAGER_TITLE]</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Work 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[WORK_LOCATION], Kingdom of Saudi Arabia (remote/hybrid as agreed)</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Contract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[FIXED-TERM / INDEFINITE] — [CONTRACT_DURATION_IF_FIXED]</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Start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[START_DATE]</w:t>
            </w:r>
          </w:p>
        </w:tc>
      </w:tr>
    </w:tbl>
    <w:p>
      <w:pPr>
        <w:spacing w:after="80" w:before="80"/>
      </w:pPr>
      <w:r>
        <w:t xml:space="preserve"/>
      </w:r>
    </w:p>
    <w:p>
      <w:pPr>
        <w:spacing w:after="60" w:before="60"/>
      </w:pPr>
      <w:r>
        <w:rPr>
          <w:rFonts w:ascii="Arial" w:cs="Arial" w:eastAsia="Arial" w:hAnsi="Arial"/>
          <w:sz w:val="22"/>
          <w:szCs w:val="22"/>
        </w:rPr>
        <w:t xml:space="preserve">The Employee shall perform the duties set out in the attached Job Description (Schedule 1) and such other duties as reasonably assigned by the Employer, consistent with the Employee role and qualifications. The Employee shall devote their full professional efforts to the Employer and shall not engage in other paid employment without prior written consent from the Employer.</w:t>
      </w:r>
    </w:p>
    <w:p>
      <w:r>
        <w:br w:type="page"/>
      </w:r>
    </w:p>
    <w:p>
      <w:pPr>
        <w:pStyle w:val="Heading1"/>
        <w:spacing w:after="120" w:before="300"/>
      </w:pPr>
      <w:r>
        <w:rPr>
          <w:rFonts w:ascii="Arial" w:cs="Arial" w:eastAsia="Arial" w:hAnsi="Arial"/>
          <w:b/>
          <w:bCs/>
          <w:color w:val="2D6E8A"/>
          <w:sz w:val="28"/>
          <w:szCs w:val="28"/>
        </w:rPr>
        <w:t xml:space="preserve">3. Probation Period</w:t>
      </w:r>
    </w:p>
    <w:p>
      <w:pPr>
        <w:spacing w:after="60" w:before="60"/>
      </w:pPr>
      <w:r>
        <w:rPr>
          <w:rFonts w:ascii="Arial" w:cs="Arial" w:eastAsia="Arial" w:hAnsi="Arial"/>
          <w:sz w:val="22"/>
          <w:szCs w:val="22"/>
        </w:rPr>
        <w:t xml:space="preserve">The Employee shall serve a probation period of ninety (90) calendar days from the Start Date (the "Probation Period"), unless otherwise agreed in writing. During the Probation Period:</w:t>
      </w:r>
    </w:p>
    <w:p>
      <w:pPr>
        <w:pStyle w:val="ListParagraph"/>
        <w:numPr>
          <w:ilvl w:val="0"/>
          <w:numId w:val="2"/>
        </w:numPr>
        <w:spacing w:after="40" w:before="40"/>
      </w:pPr>
      <w:r>
        <w:rPr>
          <w:rFonts w:ascii="Arial" w:cs="Arial" w:eastAsia="Arial" w:hAnsi="Arial"/>
          <w:sz w:val="22"/>
          <w:szCs w:val="22"/>
        </w:rPr>
        <w:t xml:space="preserve">Either Party may terminate this Contract without notice or compensation, subject to Saudi Labor Law Article 53</w:t>
      </w:r>
    </w:p>
    <w:p>
      <w:pPr>
        <w:pStyle w:val="ListParagraph"/>
        <w:numPr>
          <w:ilvl w:val="0"/>
          <w:numId w:val="2"/>
        </w:numPr>
        <w:spacing w:after="40" w:before="40"/>
      </w:pPr>
      <w:r>
        <w:rPr>
          <w:rFonts w:ascii="Arial" w:cs="Arial" w:eastAsia="Arial" w:hAnsi="Arial"/>
          <w:sz w:val="22"/>
          <w:szCs w:val="22"/>
        </w:rPr>
        <w:t xml:space="preserve">If the Probation Period is successfully completed, employment continues under the full terms of this Contract</w:t>
      </w:r>
    </w:p>
    <w:p>
      <w:pPr>
        <w:pStyle w:val="ListParagraph"/>
        <w:numPr>
          <w:ilvl w:val="0"/>
          <w:numId w:val="2"/>
        </w:numPr>
        <w:spacing w:after="40" w:before="40"/>
      </w:pPr>
      <w:r>
        <w:rPr>
          <w:rFonts w:ascii="Arial" w:cs="Arial" w:eastAsia="Arial" w:hAnsi="Arial"/>
          <w:sz w:val="22"/>
          <w:szCs w:val="22"/>
        </w:rPr>
        <w:t xml:space="preserve">The Probation Period may be extended once by written agreement for a further period not exceeding ninety (90) days</w:t>
      </w:r>
    </w:p>
    <w:p>
      <w:pPr>
        <w:spacing w:after="60" w:before="60"/>
      </w:pPr>
      <w:r>
        <w:rPr>
          <w:rFonts w:ascii="Arial" w:cs="Arial" w:eastAsia="Arial" w:hAnsi="Arial"/>
          <w:sz w:val="22"/>
          <w:szCs w:val="22"/>
        </w:rPr>
        <w:t xml:space="preserve">A new Probation Period may not be imposed for the same role after a successful completion.</w:t>
      </w:r>
    </w:p>
    <w:p>
      <w:r>
        <w:br w:type="page"/>
      </w:r>
    </w:p>
    <w:p>
      <w:pPr>
        <w:pStyle w:val="Heading1"/>
        <w:spacing w:after="120" w:before="300"/>
      </w:pPr>
      <w:r>
        <w:rPr>
          <w:rFonts w:ascii="Arial" w:cs="Arial" w:eastAsia="Arial" w:hAnsi="Arial"/>
          <w:b/>
          <w:bCs/>
          <w:color w:val="2D6E8A"/>
          <w:sz w:val="28"/>
          <w:szCs w:val="28"/>
        </w:rPr>
        <w:t xml:space="preserve">4. Compensation</w:t>
      </w:r>
    </w:p>
    <w:p>
      <w:pPr>
        <w:pStyle w:val="Heading2"/>
        <w:spacing w:after="80" w:before="200"/>
      </w:pPr>
      <w:r>
        <w:rPr>
          <w:rFonts w:ascii="Arial" w:cs="Arial" w:eastAsia="Arial" w:hAnsi="Arial"/>
          <w:b/>
          <w:bCs/>
          <w:color w:val="0A0E12"/>
          <w:sz w:val="24"/>
          <w:szCs w:val="24"/>
        </w:rPr>
        <w:t xml:space="preserve">4.1 Salary Structure</w:t>
      </w:r>
    </w:p>
    <w:p>
      <w:pPr>
        <w:spacing w:after="60" w:before="60"/>
      </w:pPr>
      <w:r>
        <w:rPr>
          <w:rFonts w:ascii="Arial" w:cs="Arial" w:eastAsia="Arial" w:hAnsi="Arial"/>
          <w:sz w:val="22"/>
          <w:szCs w:val="22"/>
        </w:rPr>
        <w:t xml:space="preserve">The Employee monthly compensation is structured as follows (all amounts in SAR per month):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Basic Salary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[BASIC_SALARY] SAR/month</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Housing Allowance (25% of Basic)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[HOUSING_ALLOWANCE] SAR/month</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Transportation Allowance (10% of Basic)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[TRANSPORT_ALLOWANCE] SAR/month</w:t>
            </w:r>
          </w:p>
        </w:tc>
      </w:tr>
      <w:tr>
        <w:tc>
          <w:tcPr>
            <w:tcW w:type="dxa" w:w="3000"/>
            <w:tcBorders>
              <w:top w:val="single" w:color="CCCCCC" w:sz="1"/>
              <w:left w:val="single" w:color="CCCCCC" w:sz="1"/>
              <w:bottom w:val="single" w:color="CCCCCC" w:sz="1"/>
              <w:right w:val="single" w:color="CCCCCC" w:sz="1"/>
            </w:tcBorders>
            <w:shd w:fill="F5F2ED" w:val="clear"/>
            <w:tcMar>
              <w:top w:type="dxa" w:w="80"/>
              <w:left w:type="dxa" w:w="120"/>
              <w:bottom w:type="dxa" w:w="80"/>
              <w:right w:type="dxa" w:w="120"/>
            </w:tcMar>
          </w:tcPr>
          <w:p>
            <w:r>
              <w:rPr>
                <w:rFonts w:ascii="Arial" w:cs="Arial" w:eastAsia="Arial" w:hAnsi="Arial"/>
                <w:b/>
                <w:bCs/>
                <w:sz w:val="22"/>
                <w:szCs w:val="22"/>
              </w:rPr>
              <w:t xml:space="preserve">Total Monthly Compensation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[TOTAL_MONTHLY] SAR/month</w:t>
            </w:r>
          </w:p>
        </w:tc>
      </w:tr>
    </w:tbl>
    <w:p>
      <w:pPr>
        <w:spacing w:after="80" w:before="80"/>
      </w:pPr>
      <w:r>
        <w:t xml:space="preserve"/>
      </w:r>
    </w:p>
    <w:p>
      <w:pPr>
        <w:spacing w:after="60" w:before="60"/>
      </w:pPr>
      <w:r>
        <w:rPr>
          <w:rFonts w:ascii="Arial" w:cs="Arial" w:eastAsia="Arial" w:hAnsi="Arial"/>
          <w:sz w:val="22"/>
          <w:szCs w:val="22"/>
        </w:rPr>
        <w:t xml:space="preserve">NOTE: End-of-Service Benefit (EOSB) and other statutory entitlements are calculated on the Basic Salary only, as required under Saudi Labor Law. The Housing and Transportation Allowances are excluded from EOSB calculations.</w:t>
      </w:r>
    </w:p>
    <w:p>
      <w:pPr>
        <w:pStyle w:val="Heading2"/>
        <w:spacing w:after="80" w:before="200"/>
      </w:pPr>
      <w:r>
        <w:rPr>
          <w:rFonts w:ascii="Arial" w:cs="Arial" w:eastAsia="Arial" w:hAnsi="Arial"/>
          <w:b/>
          <w:bCs/>
          <w:color w:val="0A0E12"/>
          <w:sz w:val="24"/>
          <w:szCs w:val="24"/>
        </w:rPr>
        <w:t xml:space="preserve">4.2 Payment</w:t>
      </w:r>
    </w:p>
    <w:p>
      <w:pPr>
        <w:spacing w:after="60" w:before="60"/>
      </w:pPr>
      <w:r>
        <w:rPr>
          <w:rFonts w:ascii="Arial" w:cs="Arial" w:eastAsia="Arial" w:hAnsi="Arial"/>
          <w:sz w:val="22"/>
          <w:szCs w:val="22"/>
        </w:rPr>
        <w:t xml:space="preserve">Salary shall be paid on or before the [DAY] day of each Gregorian calendar month via bank transfer to the Employee designated bank account ([BANK_NAME], IBAN: [IBAN_NUMBER]), through the Wage Protection System (WPS) as required by HRSD.</w:t>
      </w:r>
    </w:p>
    <w:p>
      <w:pPr>
        <w:pStyle w:val="Heading2"/>
        <w:spacing w:after="80" w:before="200"/>
      </w:pPr>
      <w:r>
        <w:rPr>
          <w:rFonts w:ascii="Arial" w:cs="Arial" w:eastAsia="Arial" w:hAnsi="Arial"/>
          <w:b/>
          <w:bCs/>
          <w:color w:val="0A0E12"/>
          <w:sz w:val="24"/>
          <w:szCs w:val="24"/>
        </w:rPr>
        <w:t xml:space="preserve">4.3 Salary Review</w:t>
      </w:r>
    </w:p>
    <w:p>
      <w:pPr>
        <w:spacing w:after="60" w:before="60"/>
      </w:pPr>
      <w:r>
        <w:rPr>
          <w:rFonts w:ascii="Arial" w:cs="Arial" w:eastAsia="Arial" w:hAnsi="Arial"/>
          <w:sz w:val="22"/>
          <w:szCs w:val="22"/>
        </w:rPr>
        <w:t xml:space="preserve">The Employee salary shall be reviewed annually, subject to Company performance and market conditions. Salary adjustments are at the Employer sole discretion and are not automatic.</w:t>
      </w:r>
    </w:p>
    <w:p>
      <w:r>
        <w:br w:type="page"/>
      </w:r>
    </w:p>
    <w:p>
      <w:pPr>
        <w:pStyle w:val="Heading1"/>
        <w:spacing w:after="120" w:before="300"/>
      </w:pPr>
      <w:r>
        <w:rPr>
          <w:rFonts w:ascii="Arial" w:cs="Arial" w:eastAsia="Arial" w:hAnsi="Arial"/>
          <w:b/>
          <w:bCs/>
          <w:color w:val="2D6E8A"/>
          <w:sz w:val="28"/>
          <w:szCs w:val="28"/>
        </w:rPr>
        <w:t xml:space="preserve">5. Working Hours</w:t>
      </w:r>
    </w:p>
    <w:p>
      <w:pPr>
        <w:spacing w:after="60" w:before="60"/>
      </w:pPr>
      <w:r>
        <w:rPr>
          <w:rFonts w:ascii="Arial" w:cs="Arial" w:eastAsia="Arial" w:hAnsi="Arial"/>
          <w:sz w:val="22"/>
          <w:szCs w:val="22"/>
        </w:rPr>
        <w:t xml:space="preserve">Standard working hours are forty-eight (48) hours per week, eight (8) hours per day, six (6) days per week, subject to applicable Saudi Labor Law. During the Holy Month of Ramadan, working hours for Muslim employees shall not exceed thirty-six (36) hours per week as required by law.</w:t>
      </w:r>
    </w:p>
    <w:p>
      <w:pPr>
        <w:spacing w:after="60" w:before="60"/>
      </w:pPr>
      <w:r>
        <w:rPr>
          <w:rFonts w:ascii="Arial" w:cs="Arial" w:eastAsia="Arial" w:hAnsi="Arial"/>
          <w:sz w:val="22"/>
          <w:szCs w:val="22"/>
        </w:rPr>
        <w:t xml:space="preserve">Overtime: Work beyond the standard hours shall be compensated at a rate of 150% of the ordinary hourly wage, or 200% on official public holidays, as required by Saudi Labor Law Article 107.</w:t>
      </w:r>
    </w:p>
    <w:p>
      <w:r>
        <w:br w:type="page"/>
      </w:r>
    </w:p>
    <w:p>
      <w:pPr>
        <w:pStyle w:val="Heading1"/>
        <w:spacing w:after="120" w:before="300"/>
      </w:pPr>
      <w:r>
        <w:rPr>
          <w:rFonts w:ascii="Arial" w:cs="Arial" w:eastAsia="Arial" w:hAnsi="Arial"/>
          <w:b/>
          <w:bCs/>
          <w:color w:val="2D6E8A"/>
          <w:sz w:val="28"/>
          <w:szCs w:val="28"/>
        </w:rPr>
        <w:t xml:space="preserve">6. Annual Leave</w:t>
      </w:r>
    </w:p>
    <w:p>
      <w:pPr>
        <w:spacing w:after="60" w:before="60"/>
      </w:pPr>
      <w:r>
        <w:rPr>
          <w:rFonts w:ascii="Arial" w:cs="Arial" w:eastAsia="Arial" w:hAnsi="Arial"/>
          <w:sz w:val="22"/>
          <w:szCs w:val="22"/>
        </w:rPr>
        <w:t xml:space="preserve">The Employee is entitled to annual paid leave as follows:</w:t>
      </w:r>
    </w:p>
    <w:p>
      <w:pPr>
        <w:pStyle w:val="ListParagraph"/>
        <w:numPr>
          <w:ilvl w:val="0"/>
          <w:numId w:val="2"/>
        </w:numPr>
        <w:spacing w:after="40" w:before="40"/>
      </w:pPr>
      <w:r>
        <w:rPr>
          <w:rFonts w:ascii="Arial" w:cs="Arial" w:eastAsia="Arial" w:hAnsi="Arial"/>
          <w:sz w:val="22"/>
          <w:szCs w:val="22"/>
        </w:rPr>
        <w:t xml:space="preserve">First five (5) years of service: twenty-one (21) calendar days per year</w:t>
      </w:r>
    </w:p>
    <w:p>
      <w:pPr>
        <w:pStyle w:val="ListParagraph"/>
        <w:numPr>
          <w:ilvl w:val="0"/>
          <w:numId w:val="2"/>
        </w:numPr>
        <w:spacing w:after="40" w:before="40"/>
      </w:pPr>
      <w:r>
        <w:rPr>
          <w:rFonts w:ascii="Arial" w:cs="Arial" w:eastAsia="Arial" w:hAnsi="Arial"/>
          <w:sz w:val="22"/>
          <w:szCs w:val="22"/>
        </w:rPr>
        <w:t xml:space="preserve">After five (5) years of service: thirty (30) calendar days per year</w:t>
      </w:r>
    </w:p>
    <w:p>
      <w:pPr>
        <w:spacing w:after="60" w:before="60"/>
      </w:pPr>
      <w:r>
        <w:rPr>
          <w:rFonts w:ascii="Arial" w:cs="Arial" w:eastAsia="Arial" w:hAnsi="Arial"/>
          <w:sz w:val="22"/>
          <w:szCs w:val="22"/>
        </w:rPr>
        <w:t xml:space="preserve">Annual leave shall be taken at a time agreed between the Employer and Employee, with reasonable notice. Unused annual leave may be carried forward by a maximum of one year or paid out upon termination. Leave scheduling shall not unreasonably disrupt the Employer operations.</w:t>
      </w:r>
    </w:p>
    <w:p>
      <w:r>
        <w:br w:type="page"/>
      </w:r>
    </w:p>
    <w:p>
      <w:pPr>
        <w:pStyle w:val="Heading1"/>
        <w:spacing w:after="120" w:before="300"/>
      </w:pPr>
      <w:r>
        <w:rPr>
          <w:rFonts w:ascii="Arial" w:cs="Arial" w:eastAsia="Arial" w:hAnsi="Arial"/>
          <w:b/>
          <w:bCs/>
          <w:color w:val="2D6E8A"/>
          <w:sz w:val="28"/>
          <w:szCs w:val="28"/>
        </w:rPr>
        <w:t xml:space="preserve">7. Sick Leave</w:t>
      </w:r>
    </w:p>
    <w:p>
      <w:pPr>
        <w:spacing w:after="60" w:before="60"/>
      </w:pPr>
      <w:r>
        <w:rPr>
          <w:rFonts w:ascii="Arial" w:cs="Arial" w:eastAsia="Arial" w:hAnsi="Arial"/>
          <w:sz w:val="22"/>
          <w:szCs w:val="22"/>
        </w:rPr>
        <w:t xml:space="preserve">The Employee is entitled to paid sick leave per annum in accordance with Saudi Labor Law Article 117:</w:t>
      </w:r>
    </w:p>
    <w:p>
      <w:pPr>
        <w:pStyle w:val="ListParagraph"/>
        <w:numPr>
          <w:ilvl w:val="0"/>
          <w:numId w:val="2"/>
        </w:numPr>
        <w:spacing w:after="40" w:before="40"/>
      </w:pPr>
      <w:r>
        <w:rPr>
          <w:rFonts w:ascii="Arial" w:cs="Arial" w:eastAsia="Arial" w:hAnsi="Arial"/>
          <w:sz w:val="22"/>
          <w:szCs w:val="22"/>
        </w:rPr>
        <w:t xml:space="preserve">First thirty (30) days: full basic salary plus allowances</w:t>
      </w:r>
    </w:p>
    <w:p>
      <w:pPr>
        <w:pStyle w:val="ListParagraph"/>
        <w:numPr>
          <w:ilvl w:val="0"/>
          <w:numId w:val="2"/>
        </w:numPr>
        <w:spacing w:after="40" w:before="40"/>
      </w:pPr>
      <w:r>
        <w:rPr>
          <w:rFonts w:ascii="Arial" w:cs="Arial" w:eastAsia="Arial" w:hAnsi="Arial"/>
          <w:sz w:val="22"/>
          <w:szCs w:val="22"/>
        </w:rPr>
        <w:t xml:space="preserve">Next sixty (60) days: 75% of basic salary plus allowances</w:t>
      </w:r>
    </w:p>
    <w:p>
      <w:pPr>
        <w:pStyle w:val="ListParagraph"/>
        <w:numPr>
          <w:ilvl w:val="0"/>
          <w:numId w:val="2"/>
        </w:numPr>
        <w:spacing w:after="40" w:before="40"/>
      </w:pPr>
      <w:r>
        <w:rPr>
          <w:rFonts w:ascii="Arial" w:cs="Arial" w:eastAsia="Arial" w:hAnsi="Arial"/>
          <w:sz w:val="22"/>
          <w:szCs w:val="22"/>
        </w:rPr>
        <w:t xml:space="preserve">Next thirty (30) days: unpaid (subject to Employer discretion)</w:t>
      </w:r>
    </w:p>
    <w:p>
      <w:pPr>
        <w:spacing w:after="60" w:before="60"/>
      </w:pPr>
      <w:r>
        <w:rPr>
          <w:rFonts w:ascii="Arial" w:cs="Arial" w:eastAsia="Arial" w:hAnsi="Arial"/>
          <w:sz w:val="22"/>
          <w:szCs w:val="22"/>
        </w:rPr>
        <w:t xml:space="preserve">Sick leave must be supported by a medical certificate from a licensed Saudi healthcare provider. The Employer reserves the right to require an independent medical examination. Continuous sick absence exceeding one hundred and twenty (120) days may be grounds for termination per Saudi Labor Law.</w:t>
      </w:r>
    </w:p>
    <w:p>
      <w:r>
        <w:br w:type="page"/>
      </w:r>
    </w:p>
    <w:p>
      <w:pPr>
        <w:pStyle w:val="Heading1"/>
        <w:spacing w:after="120" w:before="300"/>
      </w:pPr>
      <w:r>
        <w:rPr>
          <w:rFonts w:ascii="Arial" w:cs="Arial" w:eastAsia="Arial" w:hAnsi="Arial"/>
          <w:b/>
          <w:bCs/>
          <w:color w:val="2D6E8A"/>
          <w:sz w:val="28"/>
          <w:szCs w:val="28"/>
        </w:rPr>
        <w:t xml:space="preserve">8. Public Holidays</w:t>
      </w:r>
    </w:p>
    <w:p>
      <w:pPr>
        <w:spacing w:after="60" w:before="60"/>
      </w:pPr>
      <w:r>
        <w:rPr>
          <w:rFonts w:ascii="Arial" w:cs="Arial" w:eastAsia="Arial" w:hAnsi="Arial"/>
          <w:sz w:val="22"/>
          <w:szCs w:val="22"/>
        </w:rPr>
        <w:t xml:space="preserve">The Employee is entitled to paid leave on all official Saudi public holidays as gazetted by the Government of Saudi Arabia, including:</w:t>
      </w:r>
    </w:p>
    <w:p>
      <w:pPr>
        <w:pStyle w:val="ListParagraph"/>
        <w:numPr>
          <w:ilvl w:val="0"/>
          <w:numId w:val="2"/>
        </w:numPr>
        <w:spacing w:after="40" w:before="40"/>
      </w:pPr>
      <w:r>
        <w:rPr>
          <w:rFonts w:ascii="Arial" w:cs="Arial" w:eastAsia="Arial" w:hAnsi="Arial"/>
          <w:sz w:val="22"/>
          <w:szCs w:val="22"/>
        </w:rPr>
        <w:t xml:space="preserve">Eid Al-Fitr: ten (10) days</w:t>
      </w:r>
    </w:p>
    <w:p>
      <w:pPr>
        <w:pStyle w:val="ListParagraph"/>
        <w:numPr>
          <w:ilvl w:val="0"/>
          <w:numId w:val="2"/>
        </w:numPr>
        <w:spacing w:after="40" w:before="40"/>
      </w:pPr>
      <w:r>
        <w:rPr>
          <w:rFonts w:ascii="Arial" w:cs="Arial" w:eastAsia="Arial" w:hAnsi="Arial"/>
          <w:sz w:val="22"/>
          <w:szCs w:val="22"/>
        </w:rPr>
        <w:t xml:space="preserve">Eid Al-Adha: ten (10) days</w:t>
      </w:r>
    </w:p>
    <w:p>
      <w:pPr>
        <w:pStyle w:val="ListParagraph"/>
        <w:numPr>
          <w:ilvl w:val="0"/>
          <w:numId w:val="2"/>
        </w:numPr>
        <w:spacing w:after="40" w:before="40"/>
      </w:pPr>
      <w:r>
        <w:rPr>
          <w:rFonts w:ascii="Arial" w:cs="Arial" w:eastAsia="Arial" w:hAnsi="Arial"/>
          <w:sz w:val="22"/>
          <w:szCs w:val="22"/>
        </w:rPr>
        <w:t xml:space="preserve">Saudi National Day (23 September): one (1) day</w:t>
      </w:r>
    </w:p>
    <w:p>
      <w:pPr>
        <w:pStyle w:val="ListParagraph"/>
        <w:numPr>
          <w:ilvl w:val="0"/>
          <w:numId w:val="2"/>
        </w:numPr>
        <w:spacing w:after="40" w:before="40"/>
      </w:pPr>
      <w:r>
        <w:rPr>
          <w:rFonts w:ascii="Arial" w:cs="Arial" w:eastAsia="Arial" w:hAnsi="Arial"/>
          <w:sz w:val="22"/>
          <w:szCs w:val="22"/>
        </w:rPr>
        <w:t xml:space="preserve">Founding Day (22 February): one (1) day</w:t>
      </w:r>
    </w:p>
    <w:p>
      <w:pPr>
        <w:spacing w:after="60" w:before="60"/>
      </w:pPr>
      <w:r>
        <w:rPr>
          <w:rFonts w:ascii="Arial" w:cs="Arial" w:eastAsia="Arial" w:hAnsi="Arial"/>
          <w:sz w:val="22"/>
          <w:szCs w:val="22"/>
        </w:rPr>
        <w:t xml:space="preserve">Additional public holidays may be declared by Royal Decree from time to time.</w:t>
      </w:r>
    </w:p>
    <w:p>
      <w:r>
        <w:br w:type="page"/>
      </w:r>
    </w:p>
    <w:p>
      <w:pPr>
        <w:pStyle w:val="Heading1"/>
        <w:spacing w:after="120" w:before="300"/>
      </w:pPr>
      <w:r>
        <w:rPr>
          <w:rFonts w:ascii="Arial" w:cs="Arial" w:eastAsia="Arial" w:hAnsi="Arial"/>
          <w:b/>
          <w:bCs/>
          <w:color w:val="2D6E8A"/>
          <w:sz w:val="28"/>
          <w:szCs w:val="28"/>
        </w:rPr>
        <w:t xml:space="preserve">9. End-of-Service Benefit (EOSB)</w:t>
      </w:r>
    </w:p>
    <w:p>
      <w:pPr>
        <w:spacing w:after="60" w:before="60"/>
      </w:pPr>
      <w:r>
        <w:rPr>
          <w:rFonts w:ascii="Arial" w:cs="Arial" w:eastAsia="Arial" w:hAnsi="Arial"/>
          <w:sz w:val="22"/>
          <w:szCs w:val="22"/>
        </w:rPr>
        <w:t xml:space="preserve">Upon termination of employment (for any reason other than resignation within the first two years, or dismissal for cause under Article 80), the Employee is entitled to EOSB calculated on the Basic Salary only:</w:t>
      </w:r>
    </w:p>
    <w:p>
      <w:pPr>
        <w:pStyle w:val="ListParagraph"/>
        <w:numPr>
          <w:ilvl w:val="0"/>
          <w:numId w:val="2"/>
        </w:numPr>
        <w:spacing w:after="40" w:before="40"/>
      </w:pPr>
      <w:r>
        <w:rPr>
          <w:rFonts w:ascii="Arial" w:cs="Arial" w:eastAsia="Arial" w:hAnsi="Arial"/>
          <w:sz w:val="22"/>
          <w:szCs w:val="22"/>
        </w:rPr>
        <w:t xml:space="preserve">For each of the first five (5) years of service: 0.5 (half) month of Basic Salary per year</w:t>
      </w:r>
    </w:p>
    <w:p>
      <w:pPr>
        <w:pStyle w:val="ListParagraph"/>
        <w:numPr>
          <w:ilvl w:val="0"/>
          <w:numId w:val="2"/>
        </w:numPr>
        <w:spacing w:after="40" w:before="40"/>
      </w:pPr>
      <w:r>
        <w:rPr>
          <w:rFonts w:ascii="Arial" w:cs="Arial" w:eastAsia="Arial" w:hAnsi="Arial"/>
          <w:sz w:val="22"/>
          <w:szCs w:val="22"/>
        </w:rPr>
        <w:t xml:space="preserve">For each year of service beyond five (5) years: 1 (one) full month of Basic Salary per year</w:t>
      </w:r>
    </w:p>
    <w:p>
      <w:pPr>
        <w:spacing w:after="80" w:before="80"/>
      </w:pPr>
      <w:r>
        <w:t xml:space="preserve"/>
      </w:r>
    </w:p>
    <w:p>
      <w:pPr>
        <w:spacing w:after="60" w:before="60"/>
      </w:pPr>
      <w:r>
        <w:rPr>
          <w:rFonts w:ascii="Arial" w:cs="Arial" w:eastAsia="Arial" w:hAnsi="Arial"/>
          <w:sz w:val="22"/>
          <w:szCs w:val="22"/>
        </w:rPr>
        <w:t xml:space="preserve">Example: An employee with 7 years of service at a basic salary of 10,000 SAR/month: (5 x 5,000) + (2 x 10,000) = 25,000 + 20,000 = 45,000 SAR EOSB.</w:t>
      </w:r>
    </w:p>
    <w:p>
      <w:pPr>
        <w:spacing w:after="80" w:before="80"/>
      </w:pPr>
      <w:r>
        <w:t xml:space="preserve"/>
      </w:r>
    </w:p>
    <w:p>
      <w:pPr>
        <w:spacing w:after="60" w:before="60"/>
      </w:pPr>
      <w:r>
        <w:rPr>
          <w:rFonts w:ascii="Arial" w:cs="Arial" w:eastAsia="Arial" w:hAnsi="Arial"/>
          <w:sz w:val="22"/>
          <w:szCs w:val="22"/>
        </w:rPr>
        <w:t xml:space="preserve">Partial years are calculated pro rata. In case of resignation, the following EOSB fractions apply under Saudi Labor Law:</w:t>
      </w:r>
    </w:p>
    <w:p>
      <w:pPr>
        <w:pStyle w:val="ListParagraph"/>
        <w:numPr>
          <w:ilvl w:val="0"/>
          <w:numId w:val="2"/>
        </w:numPr>
        <w:spacing w:after="40" w:before="40"/>
      </w:pPr>
      <w:r>
        <w:rPr>
          <w:rFonts w:ascii="Arial" w:cs="Arial" w:eastAsia="Arial" w:hAnsi="Arial"/>
          <w:sz w:val="22"/>
          <w:szCs w:val="22"/>
        </w:rPr>
        <w:t xml:space="preserve">Resignation after 2 but less than 5 years: 1/3 of EOSB</w:t>
      </w:r>
    </w:p>
    <w:p>
      <w:pPr>
        <w:pStyle w:val="ListParagraph"/>
        <w:numPr>
          <w:ilvl w:val="0"/>
          <w:numId w:val="2"/>
        </w:numPr>
        <w:spacing w:after="40" w:before="40"/>
      </w:pPr>
      <w:r>
        <w:rPr>
          <w:rFonts w:ascii="Arial" w:cs="Arial" w:eastAsia="Arial" w:hAnsi="Arial"/>
          <w:sz w:val="22"/>
          <w:szCs w:val="22"/>
        </w:rPr>
        <w:t xml:space="preserve">Resignation after 5 but less than 10 years: 2/3 of EOSB</w:t>
      </w:r>
    </w:p>
    <w:p>
      <w:pPr>
        <w:pStyle w:val="ListParagraph"/>
        <w:numPr>
          <w:ilvl w:val="0"/>
          <w:numId w:val="2"/>
        </w:numPr>
        <w:spacing w:after="40" w:before="40"/>
      </w:pPr>
      <w:r>
        <w:rPr>
          <w:rFonts w:ascii="Arial" w:cs="Arial" w:eastAsia="Arial" w:hAnsi="Arial"/>
          <w:sz w:val="22"/>
          <w:szCs w:val="22"/>
        </w:rPr>
        <w:t xml:space="preserve">Resignation after 10 or more years: full EOSB</w:t>
      </w:r>
    </w:p>
    <w:p>
      <w:pPr>
        <w:spacing w:after="60" w:before="60"/>
      </w:pPr>
      <w:r>
        <w:rPr>
          <w:rFonts w:ascii="Arial" w:cs="Arial" w:eastAsia="Arial" w:hAnsi="Arial"/>
          <w:sz w:val="22"/>
          <w:szCs w:val="22"/>
        </w:rPr>
        <w:t xml:space="preserve">The Employer shall enroll the Employee in the GOSI (General Organization for Social Insurance) system. GOSI contributions do not reduce the EOSB entitlement.</w:t>
      </w:r>
    </w:p>
    <w:p>
      <w:r>
        <w:br w:type="page"/>
      </w:r>
    </w:p>
    <w:p>
      <w:pPr>
        <w:pStyle w:val="Heading1"/>
        <w:spacing w:after="120" w:before="300"/>
      </w:pPr>
      <w:r>
        <w:rPr>
          <w:rFonts w:ascii="Arial" w:cs="Arial" w:eastAsia="Arial" w:hAnsi="Arial"/>
          <w:b/>
          <w:bCs/>
          <w:color w:val="2D6E8A"/>
          <w:sz w:val="28"/>
          <w:szCs w:val="28"/>
        </w:rPr>
        <w:t xml:space="preserve">10. Notice Period</w:t>
      </w:r>
    </w:p>
    <w:p>
      <w:pPr>
        <w:spacing w:after="60" w:before="60"/>
      </w:pPr>
      <w:r>
        <w:rPr>
          <w:rFonts w:ascii="Arial" w:cs="Arial" w:eastAsia="Arial" w:hAnsi="Arial"/>
          <w:sz w:val="22"/>
          <w:szCs w:val="22"/>
        </w:rPr>
        <w:t xml:space="preserve">Following the Probation Period, either Party may terminate this Contract by providing:</w:t>
      </w:r>
    </w:p>
    <w:p>
      <w:pPr>
        <w:pStyle w:val="ListParagraph"/>
        <w:numPr>
          <w:ilvl w:val="0"/>
          <w:numId w:val="2"/>
        </w:numPr>
        <w:spacing w:after="40" w:before="40"/>
      </w:pPr>
      <w:r>
        <w:rPr>
          <w:rFonts w:ascii="Arial" w:cs="Arial" w:eastAsia="Arial" w:hAnsi="Arial"/>
          <w:sz w:val="22"/>
          <w:szCs w:val="22"/>
        </w:rPr>
        <w:t xml:space="preserve">Sixty (60) calendar days written notice for indefinite-term contracts</w:t>
      </w:r>
    </w:p>
    <w:p>
      <w:pPr>
        <w:pStyle w:val="ListParagraph"/>
        <w:numPr>
          <w:ilvl w:val="0"/>
          <w:numId w:val="2"/>
        </w:numPr>
        <w:spacing w:after="40" w:before="40"/>
      </w:pPr>
      <w:r>
        <w:rPr>
          <w:rFonts w:ascii="Arial" w:cs="Arial" w:eastAsia="Arial" w:hAnsi="Arial"/>
          <w:sz w:val="22"/>
          <w:szCs w:val="22"/>
        </w:rPr>
        <w:t xml:space="preserve">[NOTICE_PERIOD_FIXED_TERM] for fixed-term contracts (as specified in Section 2)</w:t>
      </w:r>
    </w:p>
    <w:p>
      <w:pPr>
        <w:spacing w:after="60" w:before="60"/>
      </w:pPr>
      <w:r>
        <w:rPr>
          <w:rFonts w:ascii="Arial" w:cs="Arial" w:eastAsia="Arial" w:hAnsi="Arial"/>
          <w:sz w:val="22"/>
          <w:szCs w:val="22"/>
        </w:rPr>
        <w:t xml:space="preserve">The Employer may, at its discretion, elect to pay the Employee in lieu of notice at the Employee full monthly compensation rate for the notice period. This right is in addition to any applicable EOSB.</w:t>
      </w:r>
    </w:p>
    <w:p>
      <w:pPr>
        <w:spacing w:after="60" w:before="60"/>
      </w:pPr>
      <w:r>
        <w:rPr>
          <w:rFonts w:ascii="Arial" w:cs="Arial" w:eastAsia="Arial" w:hAnsi="Arial"/>
          <w:sz w:val="22"/>
          <w:szCs w:val="22"/>
        </w:rPr>
        <w:t xml:space="preserve">Dismissal for Cause under Saudi Labor Law Article 80 may be immediate and without notice or compensation (other than accrued but unpaid salary and pro-rata leave balance). Grounds include: falsifying documents, causing serious financial damage, repeated serious misconduct, absence without excuse exceeding twenty (20) days per year or ten (10) consecutive days.</w:t>
      </w:r>
    </w:p>
    <w:p>
      <w:r>
        <w:br w:type="page"/>
      </w:r>
    </w:p>
    <w:p>
      <w:pPr>
        <w:pStyle w:val="Heading1"/>
        <w:spacing w:after="120" w:before="300"/>
      </w:pPr>
      <w:r>
        <w:rPr>
          <w:rFonts w:ascii="Arial" w:cs="Arial" w:eastAsia="Arial" w:hAnsi="Arial"/>
          <w:b/>
          <w:bCs/>
          <w:color w:val="2D6E8A"/>
          <w:sz w:val="28"/>
          <w:szCs w:val="28"/>
        </w:rPr>
        <w:t xml:space="preserve">11. Confidentiality</w:t>
      </w:r>
    </w:p>
    <w:p>
      <w:pPr>
        <w:spacing w:after="60" w:before="60"/>
      </w:pPr>
      <w:r>
        <w:rPr>
          <w:rFonts w:ascii="Arial" w:cs="Arial" w:eastAsia="Arial" w:hAnsi="Arial"/>
          <w:sz w:val="22"/>
          <w:szCs w:val="22"/>
        </w:rPr>
        <w:t xml:space="preserve">The Employee agrees to maintain strict confidentiality with respect to all Confidential Information of the Employer during and after the employment term. "Confidential Information" includes all non-public technical, business, financial, and personal data the Employee accesses in the course of employment. This obligation shall survive termination of employment indefinitely with respect to trade secrets and for five (5) years with respect to general confidential information.</w:t>
      </w:r>
    </w:p>
    <w:p>
      <w:r>
        <w:br w:type="page"/>
      </w:r>
    </w:p>
    <w:p>
      <w:pPr>
        <w:pStyle w:val="Heading1"/>
        <w:spacing w:after="120" w:before="300"/>
      </w:pPr>
      <w:r>
        <w:rPr>
          <w:rFonts w:ascii="Arial" w:cs="Arial" w:eastAsia="Arial" w:hAnsi="Arial"/>
          <w:b/>
          <w:bCs/>
          <w:color w:val="2D6E8A"/>
          <w:sz w:val="28"/>
          <w:szCs w:val="28"/>
        </w:rPr>
        <w:t xml:space="preserve">12. Intellectual Property</w:t>
      </w:r>
    </w:p>
    <w:p>
      <w:pPr>
        <w:spacing w:after="60" w:before="60"/>
      </w:pPr>
      <w:r>
        <w:rPr>
          <w:rFonts w:ascii="Arial" w:cs="Arial" w:eastAsia="Arial" w:hAnsi="Arial"/>
          <w:sz w:val="22"/>
          <w:szCs w:val="22"/>
        </w:rPr>
        <w:t xml:space="preserve">The Employee agrees that all Work Product created in the course of employment is assigned to the Employer pursuant to the IP Assignment Agreement executed simultaneously herewith and incorporated herein by reference. In case of any conflict between this clause and the IP Assignment Agreement, the IP Assignment Agreement shall prevail.</w:t>
      </w:r>
    </w:p>
    <w:p>
      <w:r>
        <w:br w:type="page"/>
      </w:r>
    </w:p>
    <w:p>
      <w:pPr>
        <w:pStyle w:val="Heading1"/>
        <w:spacing w:after="120" w:before="300"/>
      </w:pPr>
      <w:r>
        <w:rPr>
          <w:rFonts w:ascii="Arial" w:cs="Arial" w:eastAsia="Arial" w:hAnsi="Arial"/>
          <w:b/>
          <w:bCs/>
          <w:color w:val="2D6E8A"/>
          <w:sz w:val="28"/>
          <w:szCs w:val="28"/>
        </w:rPr>
        <w:t xml:space="preserve">13. Non-Compete</w:t>
      </w:r>
    </w:p>
    <w:p>
      <w:pPr>
        <w:spacing w:after="60" w:before="60"/>
      </w:pPr>
      <w:r>
        <w:rPr>
          <w:rFonts w:ascii="Arial" w:cs="Arial" w:eastAsia="Arial" w:hAnsi="Arial"/>
          <w:sz w:val="22"/>
          <w:szCs w:val="22"/>
        </w:rPr>
        <w:t xml:space="preserve">For a period of twelve (12) months following the termination of employment, the Employee shall not, directly or indirectly, engage in or assist any business in the Kingdom of Saudi Arabia that competes materially with the Employer aviation EdTech and RegTech business.</w:t>
      </w:r>
    </w:p>
    <w:p>
      <w:pPr>
        <w:spacing w:after="60" w:before="60"/>
      </w:pPr>
      <w:r>
        <w:rPr>
          <w:rFonts w:ascii="Arial" w:cs="Arial" w:eastAsia="Arial" w:hAnsi="Arial"/>
          <w:sz w:val="22"/>
          <w:szCs w:val="22"/>
        </w:rPr>
        <w:t xml:space="preserve">NOTE: Saudi labor courts generally enforce non-compete clauses only to the extent they are reasonable in geographic scope, temporal duration, and functional scope, and where the Employer can demonstrate a legitimate business interest. This clause is subject to judicial review and may be modified by a competent labor court. The Employee is encouraged to seek independent legal advice.</w:t>
      </w:r>
    </w:p>
    <w:p>
      <w:r>
        <w:br w:type="page"/>
      </w:r>
    </w:p>
    <w:p>
      <w:pPr>
        <w:pStyle w:val="Heading1"/>
        <w:spacing w:after="120" w:before="300"/>
      </w:pPr>
      <w:r>
        <w:rPr>
          <w:rFonts w:ascii="Arial" w:cs="Arial" w:eastAsia="Arial" w:hAnsi="Arial"/>
          <w:b/>
          <w:bCs/>
          <w:color w:val="2D6E8A"/>
          <w:sz w:val="28"/>
          <w:szCs w:val="28"/>
        </w:rPr>
        <w:t xml:space="preserve">14. Termination Conditions</w:t>
      </w:r>
    </w:p>
    <w:p>
      <w:pPr>
        <w:pStyle w:val="Heading2"/>
        <w:spacing w:after="80" w:before="200"/>
      </w:pPr>
      <w:r>
        <w:rPr>
          <w:rFonts w:ascii="Arial" w:cs="Arial" w:eastAsia="Arial" w:hAnsi="Arial"/>
          <w:b/>
          <w:bCs/>
          <w:color w:val="0A0E12"/>
          <w:sz w:val="24"/>
          <w:szCs w:val="24"/>
        </w:rPr>
        <w:t xml:space="preserve">14.1 Termination by Employee (Resignation)</w:t>
      </w:r>
    </w:p>
    <w:p>
      <w:pPr>
        <w:spacing w:after="60" w:before="60"/>
      </w:pPr>
      <w:r>
        <w:rPr>
          <w:rFonts w:ascii="Arial" w:cs="Arial" w:eastAsia="Arial" w:hAnsi="Arial"/>
          <w:sz w:val="22"/>
          <w:szCs w:val="22"/>
        </w:rPr>
        <w:t xml:space="preserve">The Employee may resign upon sixty (60) calendar days written notice to the Employer following the Probation Period. If the Employee fails to provide adequate notice, the Employer may deduct from the Employee final settlement the equivalent of the notice period compensation.</w:t>
      </w:r>
    </w:p>
    <w:p>
      <w:pPr>
        <w:pStyle w:val="Heading2"/>
        <w:spacing w:after="80" w:before="200"/>
      </w:pPr>
      <w:r>
        <w:rPr>
          <w:rFonts w:ascii="Arial" w:cs="Arial" w:eastAsia="Arial" w:hAnsi="Arial"/>
          <w:b/>
          <w:bCs/>
          <w:color w:val="0A0E12"/>
          <w:sz w:val="24"/>
          <w:szCs w:val="24"/>
        </w:rPr>
        <w:t xml:space="preserve">14.2 Termination by Employer Without Cause</w:t>
      </w:r>
    </w:p>
    <w:p>
      <w:pPr>
        <w:spacing w:after="60" w:before="60"/>
      </w:pPr>
      <w:r>
        <w:rPr>
          <w:rFonts w:ascii="Arial" w:cs="Arial" w:eastAsia="Arial" w:hAnsi="Arial"/>
          <w:sz w:val="22"/>
          <w:szCs w:val="22"/>
        </w:rPr>
        <w:t xml:space="preserve">The Employer may terminate employment without cause by providing sixty (60) calendar days written notice or payment in lieu, plus full EOSB as set out in Section 9.</w:t>
      </w:r>
    </w:p>
    <w:p>
      <w:pPr>
        <w:pStyle w:val="Heading2"/>
        <w:spacing w:after="80" w:before="200"/>
      </w:pPr>
      <w:r>
        <w:rPr>
          <w:rFonts w:ascii="Arial" w:cs="Arial" w:eastAsia="Arial" w:hAnsi="Arial"/>
          <w:b/>
          <w:bCs/>
          <w:color w:val="0A0E12"/>
          <w:sz w:val="24"/>
          <w:szCs w:val="24"/>
        </w:rPr>
        <w:t xml:space="preserve">14.3 Termination for Cause</w:t>
      </w:r>
    </w:p>
    <w:p>
      <w:pPr>
        <w:spacing w:after="60" w:before="60"/>
      </w:pPr>
      <w:r>
        <w:rPr>
          <w:rFonts w:ascii="Arial" w:cs="Arial" w:eastAsia="Arial" w:hAnsi="Arial"/>
          <w:sz w:val="22"/>
          <w:szCs w:val="22"/>
        </w:rPr>
        <w:t xml:space="preserve">The Employer may terminate employment immediately without notice or compensation in cases of gross misconduct as enumerated under Saudi Labor Law Article 80, including those cited in Section 10 above.</w:t>
      </w:r>
    </w:p>
    <w:p>
      <w:r>
        <w:br w:type="page"/>
      </w:r>
    </w:p>
    <w:p>
      <w:pPr>
        <w:pStyle w:val="Heading1"/>
        <w:spacing w:after="120" w:before="300"/>
      </w:pPr>
      <w:r>
        <w:rPr>
          <w:rFonts w:ascii="Arial" w:cs="Arial" w:eastAsia="Arial" w:hAnsi="Arial"/>
          <w:b/>
          <w:bCs/>
          <w:color w:val="2D6E8A"/>
          <w:sz w:val="28"/>
          <w:szCs w:val="28"/>
        </w:rPr>
        <w:t xml:space="preserve">15. Governing Law and Dispute Resolution</w:t>
      </w:r>
    </w:p>
    <w:p>
      <w:pPr>
        <w:spacing w:after="60" w:before="60"/>
      </w:pPr>
      <w:r>
        <w:rPr>
          <w:rFonts w:ascii="Arial" w:cs="Arial" w:eastAsia="Arial" w:hAnsi="Arial"/>
          <w:sz w:val="22"/>
          <w:szCs w:val="22"/>
        </w:rPr>
        <w:t xml:space="preserve">This Contract is governed by Saudi Labor Law (Royal Decree No. M/51) and its executive regulations. All disputes shall be referred first to an internal grievance process, then to the relevant Saudi Labor Courts in the city of the Employee work location. The Parties acknowledge that Saudi labor courts have exclusive jurisdiction over individual employment disputes; SCCA arbitration is not available for individual employment claims under Saudi law.</w:t>
      </w:r>
    </w:p>
    <w:p>
      <w:pPr>
        <w:pStyle w:val="Heading1"/>
        <w:spacing w:after="120" w:before="300"/>
      </w:pPr>
      <w:r>
        <w:rPr>
          <w:rFonts w:ascii="Arial" w:cs="Arial" w:eastAsia="Arial" w:hAnsi="Arial"/>
          <w:b/>
          <w:bCs/>
          <w:color w:val="2D6E8A"/>
          <w:sz w:val="28"/>
          <w:szCs w:val="28"/>
        </w:rPr>
        <w:t xml:space="preserve">16. General Provisions</w:t>
      </w:r>
    </w:p>
    <w:p>
      <w:pPr>
        <w:pStyle w:val="ListParagraph"/>
        <w:numPr>
          <w:ilvl w:val="0"/>
          <w:numId w:val="2"/>
        </w:numPr>
        <w:spacing w:after="40" w:before="40"/>
      </w:pPr>
      <w:r>
        <w:rPr>
          <w:rFonts w:ascii="Arial" w:cs="Arial" w:eastAsia="Arial" w:hAnsi="Arial"/>
          <w:sz w:val="22"/>
          <w:szCs w:val="22"/>
        </w:rPr>
        <w:t xml:space="preserve">Language: This Contract is executed in English; an Arabic version shall be prepared and shall prevail in the event of conflict before Saudi labor authorities</w:t>
      </w:r>
    </w:p>
    <w:p>
      <w:pPr>
        <w:pStyle w:val="ListParagraph"/>
        <w:numPr>
          <w:ilvl w:val="0"/>
          <w:numId w:val="2"/>
        </w:numPr>
        <w:spacing w:after="40" w:before="40"/>
      </w:pPr>
      <w:r>
        <w:rPr>
          <w:rFonts w:ascii="Arial" w:cs="Arial" w:eastAsia="Arial" w:hAnsi="Arial"/>
          <w:sz w:val="22"/>
          <w:szCs w:val="22"/>
        </w:rPr>
        <w:t xml:space="preserve">Entire Agreement: This Contract, the Job Description (Schedule 1), and the IP Assignment Agreement constitute the entire agreement between the Parties regarding employment</w:t>
      </w:r>
    </w:p>
    <w:p>
      <w:pPr>
        <w:pStyle w:val="ListParagraph"/>
        <w:numPr>
          <w:ilvl w:val="0"/>
          <w:numId w:val="2"/>
        </w:numPr>
        <w:spacing w:after="40" w:before="40"/>
      </w:pPr>
      <w:r>
        <w:rPr>
          <w:rFonts w:ascii="Arial" w:cs="Arial" w:eastAsia="Arial" w:hAnsi="Arial"/>
          <w:sz w:val="22"/>
          <w:szCs w:val="22"/>
        </w:rPr>
        <w:t xml:space="preserve">Amendments: Any amendment must be in writing signed by both Parties</w:t>
      </w:r>
    </w:p>
    <w:p>
      <w:pPr>
        <w:pStyle w:val="ListParagraph"/>
        <w:numPr>
          <w:ilvl w:val="0"/>
          <w:numId w:val="2"/>
        </w:numPr>
        <w:spacing w:after="40" w:before="40"/>
      </w:pPr>
      <w:r>
        <w:rPr>
          <w:rFonts w:ascii="Arial" w:cs="Arial" w:eastAsia="Arial" w:hAnsi="Arial"/>
          <w:sz w:val="22"/>
          <w:szCs w:val="22"/>
        </w:rPr>
        <w:t xml:space="preserve">Severability: Any provision inconsistent with Saudi Labor Law is superseded by the applicable statutory provision; the remainder of the Contract remains in full force</w:t>
      </w:r>
    </w:p>
    <w:p>
      <w:r>
        <w:br w:type="page"/>
      </w:r>
    </w:p>
    <w:p>
      <w:pPr>
        <w:pStyle w:val="Heading1"/>
        <w:spacing w:after="120" w:before="300"/>
      </w:pPr>
      <w:r>
        <w:rPr>
          <w:rFonts w:ascii="Arial" w:cs="Arial" w:eastAsia="Arial" w:hAnsi="Arial"/>
          <w:b/>
          <w:bCs/>
          <w:color w:val="2D6E8A"/>
          <w:sz w:val="28"/>
          <w:szCs w:val="28"/>
        </w:rPr>
        <w:t xml:space="preserve">Schedule 1 — Job Description</w:t>
      </w:r>
    </w:p>
    <w:p>
      <w:pPr>
        <w:spacing w:after="60" w:before="60"/>
      </w:pPr>
      <w:r>
        <w:rPr>
          <w:rFonts w:ascii="Arial" w:cs="Arial" w:eastAsia="Arial" w:hAnsi="Arial"/>
          <w:sz w:val="22"/>
          <w:szCs w:val="22"/>
        </w:rPr>
        <w:t xml:space="preserve">Job Title: [JOB_TITLE]</w:t>
      </w:r>
    </w:p>
    <w:p>
      <w:pPr>
        <w:spacing w:after="60" w:before="60"/>
      </w:pPr>
      <w:r>
        <w:rPr>
          <w:rFonts w:ascii="Arial" w:cs="Arial" w:eastAsia="Arial" w:hAnsi="Arial"/>
          <w:sz w:val="22"/>
          <w:szCs w:val="22"/>
        </w:rPr>
        <w:t xml:space="preserve">Department: [DEPARTMENT]</w:t>
      </w:r>
    </w:p>
    <w:p>
      <w:pPr>
        <w:spacing w:after="60" w:before="60"/>
      </w:pPr>
      <w:r>
        <w:rPr>
          <w:rFonts w:ascii="Arial" w:cs="Arial" w:eastAsia="Arial" w:hAnsi="Arial"/>
          <w:sz w:val="22"/>
          <w:szCs w:val="22"/>
        </w:rPr>
        <w:t xml:space="preserve">Reports to: [LINE_MANAGER_TITLE]</w:t>
      </w:r>
    </w:p>
    <w:p>
      <w:pPr>
        <w:spacing w:after="60" w:before="60"/>
      </w:pPr>
      <w:r>
        <w:rPr>
          <w:rFonts w:ascii="Arial" w:cs="Arial" w:eastAsia="Arial" w:hAnsi="Arial"/>
          <w:sz w:val="22"/>
          <w:szCs w:val="22"/>
        </w:rPr>
        <w:t xml:space="preserve">Key Responsibilities:</w:t>
      </w:r>
    </w:p>
    <w:p>
      <w:pPr>
        <w:pStyle w:val="ListParagraph"/>
        <w:numPr>
          <w:ilvl w:val="0"/>
          <w:numId w:val="2"/>
        </w:numPr>
        <w:spacing w:after="40" w:before="40"/>
      </w:pPr>
      <w:r>
        <w:rPr>
          <w:rFonts w:ascii="Arial" w:cs="Arial" w:eastAsia="Arial" w:hAnsi="Arial"/>
          <w:sz w:val="22"/>
          <w:szCs w:val="22"/>
        </w:rPr>
        <w:t xml:space="preserve">[PRIMARY_RESPONSIBILITY_1]</w:t>
      </w:r>
    </w:p>
    <w:p>
      <w:pPr>
        <w:pStyle w:val="ListParagraph"/>
        <w:numPr>
          <w:ilvl w:val="0"/>
          <w:numId w:val="2"/>
        </w:numPr>
        <w:spacing w:after="40" w:before="40"/>
      </w:pPr>
      <w:r>
        <w:rPr>
          <w:rFonts w:ascii="Arial" w:cs="Arial" w:eastAsia="Arial" w:hAnsi="Arial"/>
          <w:sz w:val="22"/>
          <w:szCs w:val="22"/>
        </w:rPr>
        <w:t xml:space="preserve">[PRIMARY_RESPONSIBILITY_2]</w:t>
      </w:r>
    </w:p>
    <w:p>
      <w:pPr>
        <w:pStyle w:val="ListParagraph"/>
        <w:numPr>
          <w:ilvl w:val="0"/>
          <w:numId w:val="2"/>
        </w:numPr>
        <w:spacing w:after="40" w:before="40"/>
      </w:pPr>
      <w:r>
        <w:rPr>
          <w:rFonts w:ascii="Arial" w:cs="Arial" w:eastAsia="Arial" w:hAnsi="Arial"/>
          <w:sz w:val="22"/>
          <w:szCs w:val="22"/>
        </w:rPr>
        <w:t xml:space="preserve">[PRIMARY_RESPONSIBILITY_3]</w:t>
      </w:r>
    </w:p>
    <w:p>
      <w:pPr>
        <w:spacing w:after="60" w:before="60"/>
      </w:pPr>
      <w:r>
        <w:rPr>
          <w:rFonts w:ascii="Arial" w:cs="Arial" w:eastAsia="Arial" w:hAnsi="Arial"/>
          <w:sz w:val="22"/>
          <w:szCs w:val="22"/>
        </w:rPr>
        <w:t xml:space="preserve">Required Qualifications: [QUALIFICATIONS]</w:t>
      </w:r>
    </w:p>
    <w:p>
      <w:pPr>
        <w:spacing w:after="60" w:before="60"/>
      </w:pPr>
      <w:r>
        <w:rPr>
          <w:rFonts w:ascii="Arial" w:cs="Arial" w:eastAsia="Arial" w:hAnsi="Arial"/>
          <w:sz w:val="22"/>
          <w:szCs w:val="22"/>
        </w:rPr>
        <w:t xml:space="preserve">Key Performance Indicators: [KPIs]</w:t>
      </w:r>
    </w:p>
    <w:p>
      <w:r>
        <w:br w:type="page"/>
      </w:r>
    </w:p>
    <w:p>
      <w:pPr>
        <w:spacing w:after="80" w:before="80"/>
      </w:pPr>
      <w:r>
        <w:t xml:space="preserve"/>
      </w:r>
    </w:p>
    <w:p>
      <w:pPr>
        <w:pStyle w:val="Heading2"/>
        <w:spacing w:after="80" w:before="200"/>
      </w:pPr>
      <w:r>
        <w:rPr>
          <w:rFonts w:ascii="Arial" w:cs="Arial" w:eastAsia="Arial" w:hAnsi="Arial"/>
          <w:b/>
          <w:bCs/>
          <w:color w:val="0A0E12"/>
          <w:sz w:val="24"/>
          <w:szCs w:val="24"/>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EMPLOYER: FLY GACA SAUDI ARABIA (LLC)</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c>
          <w:tcPr>
            <w:tcW w:type="dxa" w:w="240"/>
            <w:tcBorders>
              <w:top w:val="none"/>
              <w:left w:val="none"/>
              <w:bottom w:val="none"/>
              <w:right w:val="none"/>
            </w:tcBorders>
            <w:tcMar>
              <w:top w:type="dxa" w:w="0"/>
              <w:left w:type="dxa" w:w="0"/>
              <w:bottom w:type="dxa" w:w="0"/>
              <w:right w:type="dxa" w:w="0"/>
            </w:tcMar>
          </w:tcPr>
          <w:p>
            <w: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EMPLOYEE: [FULL_NAME]</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r>
    </w:tbl>
    <w:p>
      <w:pPr>
        <w:spacing w:after="80" w:before="80"/>
      </w:pPr>
      <w:r>
        <w:t xml:space="preserve"/>
      </w:r>
    </w:p>
    <w:p>
      <w:pPr>
        <w:spacing w:after="60" w:before="60"/>
      </w:pPr>
      <w:r>
        <w:rPr>
          <w:rFonts w:ascii="Arial" w:cs="Arial" w:eastAsia="Arial" w:hAnsi="Arial"/>
          <w:i/>
          <w:iCs/>
          <w:sz w:val="22"/>
          <w:szCs w:val="22"/>
        </w:rPr>
        <w:t xml:space="preserve">Witness (if required): ___________________________ Date: 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590"/>
        <w:sz w:val="18"/>
        <w:szCs w:val="18"/>
      </w:rPr>
      <w:t xml:space="preserve">Fly GACA · Confidential · TEMPLATE	</w:t>
    </w:r>
    <w:r>
      <w:rPr>
        <w:rFonts w:ascii="Arial" w:cs="Arial" w:eastAsia="Arial" w:hAnsi="Arial"/>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2026-05-05T01:39:01.468Z</dcterms:created>
  <dcterms:modified xsi:type="dcterms:W3CDTF">2026-05-05T01:39:01.468Z</dcterms:modified>
</cp:coreProperties>
</file>

<file path=docProps/custom.xml><?xml version="1.0" encoding="utf-8"?>
<Properties xmlns="http://schemas.openxmlformats.org/officeDocument/2006/custom-properties" xmlns:vt="http://schemas.openxmlformats.org/officeDocument/2006/docPropsVTypes"/>
</file>