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val="clear"/>
        <w:spacing w:after="120" w:before="0"/>
      </w:pPr>
      <w:r>
        <w:rPr>
          <w:rFonts w:ascii="Arial" w:cs="Arial" w:eastAsia="Arial" w:hAnsi="Arial"/>
          <w:b/>
          <w:bCs/>
          <w:color w:val="C8A04A"/>
          <w:sz w:val="56"/>
          <w:szCs w:val="56"/>
        </w:rPr>
        <w:t xml:space="preserve">FLY GACA</w:t>
      </w:r>
    </w:p>
    <w:p>
      <w:pPr>
        <w:shd w:fill="2D6E8A" w:val="clear"/>
        <w:spacing w:after="80" w:before="0"/>
      </w:pPr>
      <w:r>
        <w:rPr>
          <w:rFonts w:ascii="Arial" w:cs="Arial" w:eastAsia="Arial" w:hAnsi="Arial"/>
          <w:b/>
          <w:bCs/>
          <w:color w:val="FFFFFF"/>
          <w:sz w:val="44"/>
          <w:szCs w:val="44"/>
        </w:rPr>
        <w:t xml:space="preserve">Crisis Communications Playbook</w:t>
      </w:r>
    </w:p>
    <w:p>
      <w:pPr>
        <w:shd w:fill="2D6E8A" w:val="clear"/>
        <w:spacing w:after="400" w:before="0"/>
      </w:pPr>
      <w:r>
        <w:rPr>
          <w:rFonts w:ascii="Arial" w:cs="Arial" w:eastAsia="Arial" w:hAnsi="Arial"/>
          <w:color w:val="C8A04A"/>
          <w:sz w:val="22"/>
          <w:szCs w:val="22"/>
        </w:rPr>
        <w:t xml:space="preserve">Marketing &amp; PR  ·  v1.0  ·  May 2026</w:t>
      </w:r>
    </w:p>
    <w:p>
      <w:pPr>
        <w:shd w:fill="B5DDC2" w:val="clear"/>
        <w:spacing w:after="200" w:before="200"/>
      </w:pPr>
      <w:r>
        <w:rPr>
          <w:rFonts w:ascii="Arial" w:cs="Arial" w:eastAsia="Arial" w:hAnsi="Arial"/>
          <w:b/>
          <w:bCs/>
          <w:color w:val="0A0E12"/>
          <w:sz w:val="22"/>
          <w:szCs w:val="22"/>
        </w:rPr>
        <w:t xml:space="preserve">Why This Matters: </w:t>
      </w:r>
      <w:r>
        <w:rPr>
          <w:rFonts w:ascii="Arial" w:cs="Arial" w:eastAsia="Arial" w:hAnsi="Arial"/>
          <w:color w:val="0A0E12"/>
          <w:sz w:val="22"/>
          <w:szCs w:val="22"/>
        </w:rPr>
        <w:t xml:space="preserve">INTERNAL USE ONLY. Do not share externally. If a crisis is active, go directly to Section 4 (First 60 Minutes) and call the Founder: +966 51 096 6969.</w:t>
      </w:r>
    </w:p>
    <w:p>
      <w:pPr>
        <w:spacing w:after="80" w:before="60"/>
      </w:pPr>
      <w:r>
        <w:rPr>
          <w:rFonts w:ascii="Arial" w:cs="Arial" w:eastAsia="Arial" w:hAnsi="Arial"/>
          <w:color w:val="0A0E12"/>
          <w:sz w:val="22"/>
          <w:szCs w:val="22"/>
        </w:rPr>
        <w:t xml:space="preserve">Version 1.0  |  May 2026  |  Owner: Founder &amp; CEO  |  Review: Every 6 months or after any L3/L4 event</w:t>
      </w:r>
    </w:p>
    <w:p>
      <w:pPr>
        <w:spacing w:after="120" w:before="320"/>
      </w:pPr>
      <w:r>
        <w:rPr>
          <w:rFonts w:ascii="Arial" w:cs="Arial" w:eastAsia="Arial" w:hAnsi="Arial"/>
          <w:b/>
          <w:bCs/>
          <w:color w:val="2D6E8A"/>
          <w:sz w:val="28"/>
          <w:szCs w:val="28"/>
        </w:rPr>
        <w:t xml:space="preserve">1. Crisis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Primary Risk</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Security Breach / PDPL</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Unauthorized access to user data, PII exposure, database compromise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Regulatory (PDPL 72-hr); Reputational: user trust</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AI Hallucination — Public</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Captain Adel AI provides materially incorrect regulatory info that is screenshotted publicly</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Safety / Regulatory; Reputational: credibility</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Regulatory Action by GACA</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GACA issues notice, cease-and-desist, or public statement about Fly GACA content or operations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Regulatory: operational; Reputational</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Customer Harm</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 pilot or cadet claims to have acted on incorrect Fly GACA information with a real-world consequence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Legal: liability; Regulatory: GACA; Reputational</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Founder Personal Scandal</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Negative personal news about Captain Adel Yahya A. Madkhali becomes public</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Reputational: brand tied to founder identity</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Technical Outage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Platform unavailable &gt;1 hour during exam season or peak usage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Reputational: subscriber trust; Commercial: churn</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Competitor Smear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 competitor or anonymous account publishes false negative claims about Fly GACA</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Reputational: first-mover narrative</w:t>
            </w:r>
          </w:p>
        </w:tc>
      </w:tr>
    </w:tbl>
    <w:p>
      <w:pPr>
        <w:spacing w:after="120" w:before="320"/>
      </w:pPr>
      <w:r>
        <w:rPr>
          <w:rFonts w:ascii="Arial" w:cs="Arial" w:eastAsia="Arial" w:hAnsi="Arial"/>
          <w:b/>
          <w:bCs/>
          <w:color w:val="2D6E8A"/>
          <w:sz w:val="28"/>
          <w:szCs w:val="28"/>
        </w:rPr>
        <w:t xml:space="preserve">2.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Response Target</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L1</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Contained</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Internal; no public exposure; &lt;10 users; no regulatory notification</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Resolve within 4 hours; document; no public statement needed</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L2</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Minor Public</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Publicly visible; &lt;100 users; no regulatory notification required</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Acknowledge within 2 hours; resolve within 12 hours; targeted user comms</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L3</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Major Public</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Media/social traction; &gt;100 users or regulatory notification required; reputational risk</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Founder within 1 hour; public statement within 4 hours; legal notified</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L4</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Existential</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Threat to company survival: major PDPL breach, criminal allegation, GACA enforcement, severe customer harm</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All-hands; Counsel on first call; public statement within 2 hours; regulatory notification same day</w:t>
            </w:r>
          </w:p>
        </w:tc>
      </w:tr>
    </w:tbl>
    <w:p>
      <w:pPr>
        <w:spacing w:after="120" w:before="320"/>
      </w:pPr>
      <w:r>
        <w:rPr>
          <w:rFonts w:ascii="Arial" w:cs="Arial" w:eastAsia="Arial" w:hAnsi="Arial"/>
          <w:b/>
          <w:bCs/>
          <w:color w:val="2D6E8A"/>
          <w:sz w:val="28"/>
          <w:szCs w:val="28"/>
        </w:rPr>
        <w:t xml:space="preserve">3. Response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Incident Commander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Captain Adel Yahya A. Madkhali (Founder)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+966 51 096 6969  |  i@flygaca.com</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Final decision authority on all external statements</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Legal Counsel</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[COUNSEL NAME / FIRM — PLACEHOLDER]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[PHONE]  |  [EMAIL]</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Liability review; regulatory notifications; statement vetting</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PR Advisor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[PR ADVISOR NAME — PLACEHOLDER]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[PHONE]  |  [EMAIL]</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Media relations; statement drafting; journalist call management</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Senior Engineer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[ENGINEER NAME — PLACEHOLDER]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[PHONE]  |  [EMAIL]</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Technical containment; outage triage; data breach assessment</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Content Lead</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[CONTENT LEAD NAME — PLACEHOLDER]</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[PHONE]  |  [EMAIL]</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Social monitoring; post management; scheduled content pause</w:t>
            </w:r>
          </w:p>
        </w:tc>
      </w:tr>
    </w:tbl>
    <w:p>
      <w:pPr>
        <w:spacing w:after="80" w:before="60"/>
      </w:pPr>
      <w:r>
        <w:rPr>
          <w:rFonts w:ascii="Arial" w:cs="Arial" w:eastAsia="Arial" w:hAnsi="Arial"/>
          <w:color w:val="0A0E12"/>
          <w:sz w:val="22"/>
          <w:szCs w:val="22"/>
        </w:rPr>
        <w:t xml:space="preserve">L1/L2 events: Incident Commander may handle alone or with Senior Engineer. L3/L4 events require full team activation.</w:t>
      </w:r>
    </w:p>
    <w:p>
      <w:pPr>
        <w:spacing w:after="120" w:before="320"/>
      </w:pPr>
      <w:r>
        <w:rPr>
          <w:rFonts w:ascii="Arial" w:cs="Arial" w:eastAsia="Arial" w:hAnsi="Arial"/>
          <w:b/>
          <w:bCs/>
          <w:color w:val="2D6E8A"/>
          <w:sz w:val="28"/>
          <w:szCs w:val="28"/>
        </w:rPr>
        <w:t xml:space="preserve">4. First 60 Minutes Checklist</w:t>
      </w:r>
    </w:p>
    <w:p>
      <w:pPr>
        <w:spacing w:after="80" w:before="240"/>
      </w:pPr>
      <w:r>
        <w:rPr>
          <w:rFonts w:ascii="Arial" w:cs="Arial" w:eastAsia="Arial" w:hAnsi="Arial"/>
          <w:b/>
          <w:bCs/>
          <w:color w:val="0A0E12"/>
          <w:sz w:val="24"/>
          <w:szCs w:val="24"/>
        </w:rPr>
        <w:t xml:space="preserve">ASSESS</w:t>
      </w:r>
    </w:p>
    <w:p>
      <w:pPr>
        <w:pStyle w:val="ListParagraph"/>
        <w:numPr>
          <w:ilvl w:val="0"/>
          <w:numId w:val="1"/>
        </w:numPr>
        <w:spacing w:after="40" w:before="40"/>
      </w:pPr>
      <w:r>
        <w:rPr>
          <w:rFonts w:ascii="Arial" w:cs="Arial" w:eastAsia="Arial" w:hAnsi="Arial"/>
          <w:color w:val="0A0E12"/>
          <w:sz w:val="22"/>
          <w:szCs w:val="22"/>
        </w:rPr>
        <w:t xml:space="preserve">Identify the nature of the crisis (Section 1) and assign severity level (Section 2).</w:t>
      </w:r>
    </w:p>
    <w:p>
      <w:pPr>
        <w:pStyle w:val="ListParagraph"/>
        <w:numPr>
          <w:ilvl w:val="0"/>
          <w:numId w:val="1"/>
        </w:numPr>
        <w:spacing w:after="40" w:before="40"/>
      </w:pPr>
      <w:r>
        <w:rPr>
          <w:rFonts w:ascii="Arial" w:cs="Arial" w:eastAsia="Arial" w:hAnsi="Arial"/>
          <w:color w:val="0A0E12"/>
          <w:sz w:val="22"/>
          <w:szCs w:val="22"/>
        </w:rPr>
        <w:t xml:space="preserve">Determine who is affected: number of users, type of data, geographic scope.</w:t>
      </w:r>
    </w:p>
    <w:p>
      <w:pPr>
        <w:spacing w:after="80" w:before="240"/>
      </w:pPr>
      <w:r>
        <w:rPr>
          <w:rFonts w:ascii="Arial" w:cs="Arial" w:eastAsia="Arial" w:hAnsi="Arial"/>
          <w:b/>
          <w:bCs/>
          <w:color w:val="0A0E12"/>
          <w:sz w:val="24"/>
          <w:szCs w:val="24"/>
        </w:rPr>
        <w:t xml:space="preserve">CONTAIN</w:t>
      </w:r>
    </w:p>
    <w:p>
      <w:pPr>
        <w:pStyle w:val="ListParagraph"/>
        <w:numPr>
          <w:ilvl w:val="0"/>
          <w:numId w:val="1"/>
        </w:numPr>
        <w:spacing w:after="40" w:before="40"/>
      </w:pPr>
      <w:r>
        <w:rPr>
          <w:rFonts w:ascii="Arial" w:cs="Arial" w:eastAsia="Arial" w:hAnsi="Arial"/>
          <w:color w:val="0A0E12"/>
          <w:sz w:val="22"/>
          <w:szCs w:val="22"/>
        </w:rPr>
        <w:t xml:space="preserve">If technical: Senior Engineer begins containment immediately.</w:t>
      </w:r>
    </w:p>
    <w:p>
      <w:pPr>
        <w:pStyle w:val="ListParagraph"/>
        <w:numPr>
          <w:ilvl w:val="0"/>
          <w:numId w:val="1"/>
        </w:numPr>
        <w:spacing w:after="40" w:before="40"/>
      </w:pPr>
      <w:r>
        <w:rPr>
          <w:rFonts w:ascii="Arial" w:cs="Arial" w:eastAsia="Arial" w:hAnsi="Arial"/>
          <w:color w:val="0A0E12"/>
          <w:sz w:val="22"/>
          <w:szCs w:val="22"/>
        </w:rPr>
        <w:t xml:space="preserve">If content-related: pause all scheduled social media posts immediately.</w:t>
      </w:r>
    </w:p>
    <w:p>
      <w:pPr>
        <w:pStyle w:val="ListParagraph"/>
        <w:numPr>
          <w:ilvl w:val="0"/>
          <w:numId w:val="1"/>
        </w:numPr>
        <w:spacing w:after="40" w:before="40"/>
      </w:pPr>
      <w:r>
        <w:rPr>
          <w:rFonts w:ascii="Arial" w:cs="Arial" w:eastAsia="Arial" w:hAnsi="Arial"/>
          <w:color w:val="0A0E12"/>
          <w:sz w:val="22"/>
          <w:szCs w:val="22"/>
        </w:rPr>
        <w:t xml:space="preserve">If PDPL/data breach: preserve all logs; do not delete anything.</w:t>
      </w:r>
    </w:p>
    <w:p>
      <w:pPr>
        <w:spacing w:after="80" w:before="240"/>
      </w:pPr>
      <w:r>
        <w:rPr>
          <w:rFonts w:ascii="Arial" w:cs="Arial" w:eastAsia="Arial" w:hAnsi="Arial"/>
          <w:b/>
          <w:bCs/>
          <w:color w:val="0A0E12"/>
          <w:sz w:val="24"/>
          <w:szCs w:val="24"/>
        </w:rPr>
        <w:t xml:space="preserve">DOCUMENT</w:t>
      </w:r>
    </w:p>
    <w:p>
      <w:pPr>
        <w:pStyle w:val="ListParagraph"/>
        <w:numPr>
          <w:ilvl w:val="0"/>
          <w:numId w:val="1"/>
        </w:numPr>
        <w:spacing w:after="40" w:before="40"/>
      </w:pPr>
      <w:r>
        <w:rPr>
          <w:rFonts w:ascii="Arial" w:cs="Arial" w:eastAsia="Arial" w:hAnsi="Arial"/>
          <w:color w:val="0A0E12"/>
          <w:sz w:val="22"/>
          <w:szCs w:val="22"/>
        </w:rPr>
        <w:t xml:space="preserve">Open a crisis log (time-stamped): record every action, decision, and communication.</w:t>
      </w:r>
    </w:p>
    <w:p>
      <w:pPr>
        <w:pStyle w:val="ListParagraph"/>
        <w:numPr>
          <w:ilvl w:val="0"/>
          <w:numId w:val="1"/>
        </w:numPr>
        <w:spacing w:after="40" w:before="40"/>
      </w:pPr>
      <w:r>
        <w:rPr>
          <w:rFonts w:ascii="Arial" w:cs="Arial" w:eastAsia="Arial" w:hAnsi="Arial"/>
          <w:color w:val="0A0E12"/>
          <w:sz w:val="22"/>
          <w:szCs w:val="22"/>
        </w:rPr>
        <w:t xml:space="preserve">Screenshot any public-facing content related to the crisis before it is altered.</w:t>
      </w:r>
    </w:p>
    <w:p>
      <w:pPr>
        <w:spacing w:after="80" w:before="240"/>
      </w:pPr>
      <w:r>
        <w:rPr>
          <w:rFonts w:ascii="Arial" w:cs="Arial" w:eastAsia="Arial" w:hAnsi="Arial"/>
          <w:b/>
          <w:bCs/>
          <w:color w:val="0A0E12"/>
          <w:sz w:val="24"/>
          <w:szCs w:val="24"/>
        </w:rPr>
        <w:t xml:space="preserve">BRIEF TEAM</w:t>
      </w:r>
    </w:p>
    <w:p>
      <w:pPr>
        <w:pStyle w:val="ListParagraph"/>
        <w:numPr>
          <w:ilvl w:val="0"/>
          <w:numId w:val="1"/>
        </w:numPr>
        <w:spacing w:after="40" w:before="40"/>
      </w:pPr>
      <w:r>
        <w:rPr>
          <w:rFonts w:ascii="Arial" w:cs="Arial" w:eastAsia="Arial" w:hAnsi="Arial"/>
          <w:color w:val="0A0E12"/>
          <w:sz w:val="22"/>
          <w:szCs w:val="22"/>
        </w:rPr>
        <w:t xml:space="preserve">Call or message the Response Team per severity level.</w:t>
      </w:r>
    </w:p>
    <w:p>
      <w:pPr>
        <w:pStyle w:val="ListParagraph"/>
        <w:numPr>
          <w:ilvl w:val="0"/>
          <w:numId w:val="1"/>
        </w:numPr>
        <w:spacing w:after="40" w:before="40"/>
      </w:pPr>
      <w:r>
        <w:rPr>
          <w:rFonts w:ascii="Arial" w:cs="Arial" w:eastAsia="Arial" w:hAnsi="Arial"/>
          <w:color w:val="0A0E12"/>
          <w:sz w:val="22"/>
          <w:szCs w:val="22"/>
        </w:rPr>
        <w:t xml:space="preserve">Share crisis log link with all team members.</w:t>
      </w:r>
    </w:p>
    <w:p>
      <w:pPr>
        <w:pStyle w:val="ListParagraph"/>
        <w:numPr>
          <w:ilvl w:val="0"/>
          <w:numId w:val="1"/>
        </w:numPr>
        <w:spacing w:after="40" w:before="40"/>
      </w:pPr>
      <w:r>
        <w:rPr>
          <w:rFonts w:ascii="Arial" w:cs="Arial" w:eastAsia="Arial" w:hAnsi="Arial"/>
          <w:color w:val="0A0E12"/>
          <w:sz w:val="22"/>
          <w:szCs w:val="22"/>
        </w:rPr>
        <w:t xml:space="preserve">Assign next steps with owners and deadlines.</w:t>
      </w:r>
    </w:p>
    <w:p>
      <w:pPr>
        <w:spacing w:after="120" w:before="320"/>
      </w:pPr>
      <w:r>
        <w:rPr>
          <w:rFonts w:ascii="Arial" w:cs="Arial" w:eastAsia="Arial" w:hAnsi="Arial"/>
          <w:b/>
          <w:bCs/>
          <w:color w:val="2D6E8A"/>
          <w:sz w:val="28"/>
          <w:szCs w:val="28"/>
        </w:rPr>
        <w:t xml:space="preserve">5. First 24 Hours</w:t>
      </w:r>
    </w:p>
    <w:p>
      <w:pPr>
        <w:spacing w:after="80" w:before="240"/>
      </w:pPr>
      <w:r>
        <w:rPr>
          <w:rFonts w:ascii="Arial" w:cs="Arial" w:eastAsia="Arial" w:hAnsi="Arial"/>
          <w:b/>
          <w:bCs/>
          <w:color w:val="0A0E12"/>
          <w:sz w:val="24"/>
          <w:szCs w:val="24"/>
        </w:rPr>
        <w:t xml:space="preserve">Affected Users</w:t>
      </w:r>
    </w:p>
    <w:p>
      <w:pPr>
        <w:spacing w:after="80" w:before="60"/>
      </w:pPr>
      <w:r>
        <w:rPr>
          <w:rFonts w:ascii="Arial" w:cs="Arial" w:eastAsia="Arial" w:hAnsi="Arial"/>
          <w:color w:val="0A0E12"/>
          <w:sz w:val="22"/>
          <w:szCs w:val="22"/>
        </w:rPr>
        <w:t xml:space="preserve">Draft direct communication to affected users within 4 hours of confirmation. Include: what happened, what data was affected, what Fly GACA is doing, what users should do, and a contact (support@flygaca.com).</w:t>
      </w:r>
    </w:p>
    <w:p>
      <w:pPr>
        <w:spacing w:after="80" w:before="240"/>
      </w:pPr>
      <w:r>
        <w:rPr>
          <w:rFonts w:ascii="Arial" w:cs="Arial" w:eastAsia="Arial" w:hAnsi="Arial"/>
          <w:b/>
          <w:bCs/>
          <w:color w:val="0A0E12"/>
          <w:sz w:val="24"/>
          <w:szCs w:val="24"/>
        </w:rPr>
        <w:t xml:space="preserve">Public Statement</w:t>
      </w:r>
    </w:p>
    <w:p>
      <w:pPr>
        <w:spacing w:after="80" w:before="60"/>
      </w:pPr>
      <w:r>
        <w:rPr>
          <w:rFonts w:ascii="Arial" w:cs="Arial" w:eastAsia="Arial" w:hAnsi="Arial"/>
          <w:color w:val="0A0E12"/>
          <w:sz w:val="22"/>
          <w:szCs w:val="22"/>
        </w:rPr>
        <w:t xml:space="preserve">If incident is publicly known (L3/L4): issue holding statement within 2 hours of going public (Section 6). Issue full fact statement within 24 hours.</w:t>
      </w:r>
    </w:p>
    <w:p>
      <w:pPr>
        <w:spacing w:after="80" w:before="240"/>
      </w:pPr>
      <w:r>
        <w:rPr>
          <w:rFonts w:ascii="Arial" w:cs="Arial" w:eastAsia="Arial" w:hAnsi="Arial"/>
          <w:b/>
          <w:bCs/>
          <w:color w:val="0A0E12"/>
          <w:sz w:val="24"/>
          <w:szCs w:val="24"/>
        </w:rPr>
        <w:t xml:space="preserve">Regulatory Notifications</w:t>
      </w:r>
    </w:p>
    <w:p>
      <w:pPr>
        <w:pStyle w:val="ListParagraph"/>
        <w:numPr>
          <w:ilvl w:val="0"/>
          <w:numId w:val="1"/>
        </w:numPr>
        <w:spacing w:after="40" w:before="40"/>
      </w:pPr>
      <w:r>
        <w:rPr>
          <w:rFonts w:ascii="Arial" w:cs="Arial" w:eastAsia="Arial" w:hAnsi="Arial"/>
          <w:color w:val="0A0E12"/>
          <w:sz w:val="22"/>
          <w:szCs w:val="22"/>
        </w:rPr>
        <w:t xml:space="preserve">PDPL: If personal data breached, notify SDAIA within 72 hours of discovery. Counsel to lead.</w:t>
      </w:r>
    </w:p>
    <w:p>
      <w:pPr>
        <w:pStyle w:val="ListParagraph"/>
        <w:numPr>
          <w:ilvl w:val="0"/>
          <w:numId w:val="1"/>
        </w:numPr>
        <w:spacing w:after="40" w:before="40"/>
      </w:pPr>
      <w:r>
        <w:rPr>
          <w:rFonts w:ascii="Arial" w:cs="Arial" w:eastAsia="Arial" w:hAnsi="Arial"/>
          <w:color w:val="0A0E12"/>
          <w:sz w:val="22"/>
          <w:szCs w:val="22"/>
        </w:rPr>
        <w:t xml:space="preserve">GACA: If crisis touches GACA-regulated content or aviation safety, notify GACA same day. Do not wait.</w:t>
      </w:r>
    </w:p>
    <w:p>
      <w:pPr>
        <w:spacing w:after="120" w:before="320"/>
      </w:pPr>
      <w:r>
        <w:rPr>
          <w:rFonts w:ascii="Arial" w:cs="Arial" w:eastAsia="Arial" w:hAnsi="Arial"/>
          <w:b/>
          <w:bCs/>
          <w:color w:val="2D6E8A"/>
          <w:sz w:val="28"/>
          <w:szCs w:val="28"/>
        </w:rPr>
        <w:t xml:space="preserve">6. Communication Templates</w:t>
      </w:r>
    </w:p>
    <w:p>
      <w:pPr>
        <w:spacing w:after="80" w:before="240"/>
      </w:pPr>
      <w:r>
        <w:rPr>
          <w:rFonts w:ascii="Arial" w:cs="Arial" w:eastAsia="Arial" w:hAnsi="Arial"/>
          <w:b/>
          <w:bCs/>
          <w:color w:val="0A0E12"/>
          <w:sz w:val="24"/>
          <w:szCs w:val="24"/>
        </w:rPr>
        <w:t xml:space="preserve">Template A — Holding Statement (EN)</w:t>
      </w:r>
    </w:p>
    <w:p>
      <w:pPr>
        <w:shd w:fill="F5F2ED" w:val="clear"/>
        <w:spacing w:after="100" w:before="100"/>
      </w:pPr>
      <w:r>
        <w:rPr>
          <w:rFonts w:ascii="Arial" w:cs="Arial" w:eastAsia="Arial" w:hAnsi="Arial"/>
          <w:i/>
          <w:iCs/>
          <w:color w:val="0A0E12"/>
          <w:sz w:val="22"/>
          <w:szCs w:val="22"/>
        </w:rPr>
        <w:t xml:space="preserve">“We are aware of [brief, non-specific description] and are investigating urgently. The safety and trust of our users is our first priority. We will share a full update within [TIMEFRAME]. Questions: support@flygaca.com. — Captain Adel Yahya A. Madkhali, Founder, Fly GACA”</w:t>
      </w:r>
    </w:p>
    <w:p>
      <w:pPr>
        <w:spacing w:after="80" w:before="240"/>
      </w:pPr>
      <w:r>
        <w:rPr>
          <w:rFonts w:ascii="Arial" w:cs="Arial" w:eastAsia="Arial" w:hAnsi="Arial"/>
          <w:b/>
          <w:bCs/>
          <w:color w:val="0A0E12"/>
          <w:sz w:val="24"/>
          <w:szCs w:val="24"/>
        </w:rPr>
        <w:t xml:space="preserve">Template A — Holding Statement (AR)</w:t>
      </w:r>
    </w:p>
    <w:p>
      <w:pPr>
        <w:shd w:fill="F5F2ED" w:val="clear"/>
        <w:spacing w:after="100" w:before="100"/>
      </w:pPr>
      <w:r>
        <w:rPr>
          <w:rFonts w:ascii="Arial" w:cs="Arial" w:eastAsia="Arial" w:hAnsi="Arial"/>
          <w:i/>
          <w:iCs/>
          <w:color w:val="0A0E12"/>
          <w:sz w:val="22"/>
          <w:szCs w:val="22"/>
        </w:rPr>
        <w:t xml:space="preserve">«أحطنا علماً بـ[وصف موجز غير تفصيلي] وبدأنا التحقيق بشكل عاجل. سلامة مستخدمينا وثقتهم أولويتنا الأولى. سنشارككم تحديثاً كاملاً خلال [الإطار الزمني]. support@flygaca.com. — الكابتن عادل يحيى أ. مدخلي، مؤسس فلاي غاكا»</w:t>
      </w:r>
    </w:p>
    <w:p>
      <w:pPr>
        <w:spacing w:after="80" w:before="240"/>
      </w:pPr>
      <w:r>
        <w:rPr>
          <w:rFonts w:ascii="Arial" w:cs="Arial" w:eastAsia="Arial" w:hAnsi="Arial"/>
          <w:b/>
          <w:bCs/>
          <w:color w:val="0A0E12"/>
          <w:sz w:val="24"/>
          <w:szCs w:val="24"/>
        </w:rPr>
        <w:t xml:space="preserve">Template B — Fact Statement (EN)</w:t>
      </w:r>
    </w:p>
    <w:p>
      <w:pPr>
        <w:shd w:fill="F5F2ED" w:val="clear"/>
        <w:spacing w:after="100" w:before="100"/>
      </w:pPr>
      <w:r>
        <w:rPr>
          <w:rFonts w:ascii="Arial" w:cs="Arial" w:eastAsia="Arial" w:hAnsi="Arial"/>
          <w:i/>
          <w:iCs/>
          <w:color w:val="0A0E12"/>
          <w:sz w:val="22"/>
          <w:szCs w:val="22"/>
        </w:rPr>
        <w:t xml:space="preserve">“On [DATE], we became aware of [factual description]. We can confirm [what is known: users affected / data type / duration]. We immediately took: [action 1]; [action 2]; [action 3]. We have notified [relevant authorities] as required. We sincerely apologize to those affected. If your account was impacted, please [specific action]. We remain committed to [mission-aligned closing]. — Captain Adel Yahya A. Madkhali, Founder, Fly GACA”</w:t>
      </w:r>
    </w:p>
    <w:p>
      <w:pPr>
        <w:spacing w:after="80" w:before="240"/>
      </w:pPr>
      <w:r>
        <w:rPr>
          <w:rFonts w:ascii="Arial" w:cs="Arial" w:eastAsia="Arial" w:hAnsi="Arial"/>
          <w:b/>
          <w:bCs/>
          <w:color w:val="0A0E12"/>
          <w:sz w:val="24"/>
          <w:szCs w:val="24"/>
        </w:rPr>
        <w:t xml:space="preserve">Template C — Resolution Statement (EN)</w:t>
      </w:r>
    </w:p>
    <w:p>
      <w:pPr>
        <w:shd w:fill="F5F2ED" w:val="clear"/>
        <w:spacing w:after="100" w:before="100"/>
      </w:pPr>
      <w:r>
        <w:rPr>
          <w:rFonts w:ascii="Arial" w:cs="Arial" w:eastAsia="Arial" w:hAnsi="Arial"/>
          <w:i/>
          <w:iCs/>
          <w:color w:val="0A0E12"/>
          <w:sz w:val="22"/>
          <w:szCs w:val="22"/>
        </w:rPr>
        <w:t xml:space="preserve">“The issue we reported on [DATE] has been fully resolved as of [DATE/TIME]. [Summary of fix]. We have implemented [preventive measures] to ensure this does not recur. We are grateful for the patience of our users and the constructive feedback of the aviation community. — Captain Adel Yahya A. Madkhali, Founder, Fly GACA”</w:t>
      </w:r>
    </w:p>
    <w:p>
      <w:pPr>
        <w:spacing w:after="120" w:before="320"/>
      </w:pPr>
      <w:r>
        <w:rPr>
          <w:rFonts w:ascii="Arial" w:cs="Arial" w:eastAsia="Arial" w:hAnsi="Arial"/>
          <w:b/>
          <w:bCs/>
          <w:color w:val="2D6E8A"/>
          <w:sz w:val="28"/>
          <w:szCs w:val="28"/>
        </w:rPr>
        <w:t xml:space="preserve">7.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Key Message</w:t>
            </w:r>
          </w:p>
        </w:tc>
        <w:tc>
          <w:tcPr>
            <w:shd w:fill="2D6E8A"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Affected Customers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Direct email + in-app notification</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What happened; what we did; what they should do</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Within 4 hours of confirmation</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All Customers (L3/L4)</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Email + social channels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Holding statement; factual update; resolution update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Per templates in Section 6</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Regulators (SDAIA/PDPL)</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Formal written notification via Counsel</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Incident facts; scope; containment; remediation</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PDPL: within 72 hours; GACA: same day</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Investors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Founder direct call/message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What happened; severity; containment; legal; timeline</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Within 2 hours of L3/L4 declaration</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Media</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press@flygaca.com only; no ad hoc interviews</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Templates A/B/C; facts only; no speculation</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After Counsel review</w:t>
            </w:r>
          </w:p>
        </w:tc>
      </w:tr>
      <w:tr>
        <w:trPr>
          <w:tblHeader w:val="false"/>
        </w:trPr>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Employees / Team</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Founder direct message; internal channel</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What happened; their role; what not to say externally</w:t>
            </w:r>
          </w:p>
        </w:tc>
        <w:tc>
          <w:tcPr>
            <w:shd/>
            <w:tcMar>
              <w:top w:type="dxa" w:w="80"/>
              <w:left w:type="dxa" w:w="120"/>
              <w:bottom w:type="dxa" w:w="80"/>
              <w:right w:type="dxa" w:w="120"/>
            </w:tcMar>
          </w:tcPr>
          <w:p>
            <w:r>
              <w:rPr>
                <w:rFonts w:ascii="Arial" w:cs="Arial" w:eastAsia="Arial" w:hAnsi="Arial"/>
                <w:b w:val="false"/>
                <w:bCs w:val="false"/>
                <w:color w:val="0A0E12"/>
                <w:sz w:val="20"/>
                <w:szCs w:val="20"/>
              </w:rPr>
              <w:t xml:space="preserve">Before any public statement</w:t>
            </w:r>
          </w:p>
        </w:tc>
      </w:tr>
    </w:tbl>
    <w:p>
      <w:pPr>
        <w:spacing w:after="120" w:before="320"/>
      </w:pPr>
      <w:r>
        <w:rPr>
          <w:rFonts w:ascii="Arial" w:cs="Arial" w:eastAsia="Arial" w:hAnsi="Arial"/>
          <w:b/>
          <w:bCs/>
          <w:color w:val="2D6E8A"/>
          <w:sz w:val="28"/>
          <w:szCs w:val="28"/>
        </w:rPr>
        <w:t xml:space="preserve">8. The Don’ts List</w:t>
      </w:r>
    </w:p>
    <w:p>
      <w:pPr>
        <w:pStyle w:val="ListParagraph"/>
        <w:numPr>
          <w:ilvl w:val="0"/>
          <w:numId w:val="1"/>
        </w:numPr>
        <w:spacing w:after="40" w:before="40"/>
      </w:pPr>
      <w:r>
        <w:rPr>
          <w:rFonts w:ascii="Arial" w:cs="Arial" w:eastAsia="Arial" w:hAnsi="Arial"/>
          <w:color w:val="0A0E12"/>
          <w:sz w:val="22"/>
          <w:szCs w:val="22"/>
        </w:rPr>
        <w:t xml:space="preserve">Do NOT speculate publicly about cause, blame, or scope before facts are confirmed.</w:t>
      </w:r>
    </w:p>
    <w:p>
      <w:pPr>
        <w:pStyle w:val="ListParagraph"/>
        <w:numPr>
          <w:ilvl w:val="0"/>
          <w:numId w:val="1"/>
        </w:numPr>
        <w:spacing w:after="40" w:before="40"/>
      </w:pPr>
      <w:r>
        <w:rPr>
          <w:rFonts w:ascii="Arial" w:cs="Arial" w:eastAsia="Arial" w:hAnsi="Arial"/>
          <w:color w:val="0A0E12"/>
          <w:sz w:val="22"/>
          <w:szCs w:val="22"/>
        </w:rPr>
        <w:t xml:space="preserve">Do NOT blame individual employees, contractors, or vendors in any public statement.</w:t>
      </w:r>
    </w:p>
    <w:p>
      <w:pPr>
        <w:pStyle w:val="ListParagraph"/>
        <w:numPr>
          <w:ilvl w:val="0"/>
          <w:numId w:val="1"/>
        </w:numPr>
        <w:spacing w:after="40" w:before="40"/>
      </w:pPr>
      <w:r>
        <w:rPr>
          <w:rFonts w:ascii="Arial" w:cs="Arial" w:eastAsia="Arial" w:hAnsi="Arial"/>
          <w:color w:val="0A0E12"/>
          <w:sz w:val="22"/>
          <w:szCs w:val="22"/>
        </w:rPr>
        <w:t xml:space="preserve">Do NOT delete, alter, or hide any post, comment, message, or log related to the crisis.</w:t>
      </w:r>
    </w:p>
    <w:p>
      <w:pPr>
        <w:pStyle w:val="ListParagraph"/>
        <w:numPr>
          <w:ilvl w:val="0"/>
          <w:numId w:val="1"/>
        </w:numPr>
        <w:spacing w:after="40" w:before="40"/>
      </w:pPr>
      <w:r>
        <w:rPr>
          <w:rFonts w:ascii="Arial" w:cs="Arial" w:eastAsia="Arial" w:hAnsi="Arial"/>
          <w:color w:val="0A0E12"/>
          <w:sz w:val="22"/>
          <w:szCs w:val="22"/>
        </w:rPr>
        <w:t xml:space="preserve">Do NOT admit legal liability in any public or user communication before Counsel review.</w:t>
      </w:r>
    </w:p>
    <w:p>
      <w:pPr>
        <w:pStyle w:val="ListParagraph"/>
        <w:numPr>
          <w:ilvl w:val="0"/>
          <w:numId w:val="1"/>
        </w:numPr>
        <w:spacing w:after="40" w:before="40"/>
      </w:pPr>
      <w:r>
        <w:rPr>
          <w:rFonts w:ascii="Arial" w:cs="Arial" w:eastAsia="Arial" w:hAnsi="Arial"/>
          <w:color w:val="0A0E12"/>
          <w:sz w:val="22"/>
          <w:szCs w:val="22"/>
        </w:rPr>
        <w:t xml:space="preserve">Do NOT give media interviews without PR Advisor and Founder present.</w:t>
      </w:r>
    </w:p>
    <w:p>
      <w:pPr>
        <w:pStyle w:val="ListParagraph"/>
        <w:numPr>
          <w:ilvl w:val="0"/>
          <w:numId w:val="1"/>
        </w:numPr>
        <w:spacing w:after="40" w:before="40"/>
      </w:pPr>
      <w:r>
        <w:rPr>
          <w:rFonts w:ascii="Arial" w:cs="Arial" w:eastAsia="Arial" w:hAnsi="Arial"/>
          <w:color w:val="0A0E12"/>
          <w:sz w:val="22"/>
          <w:szCs w:val="22"/>
        </w:rPr>
        <w:t xml:space="preserve">Do NOT engage in social media arguments or respond to trolls during a crisis.</w:t>
      </w:r>
    </w:p>
    <w:p>
      <w:pPr>
        <w:pStyle w:val="ListParagraph"/>
        <w:numPr>
          <w:ilvl w:val="0"/>
          <w:numId w:val="1"/>
        </w:numPr>
        <w:spacing w:after="40" w:before="40"/>
      </w:pPr>
      <w:r>
        <w:rPr>
          <w:rFonts w:ascii="Arial" w:cs="Arial" w:eastAsia="Arial" w:hAnsi="Arial"/>
          <w:color w:val="0A0E12"/>
          <w:sz w:val="22"/>
          <w:szCs w:val="22"/>
        </w:rPr>
        <w:t xml:space="preserve">Do NOT announce a resolution before the issue is fully and permanently resolved.</w:t>
      </w:r>
    </w:p>
    <w:p>
      <w:pPr>
        <w:pStyle w:val="ListParagraph"/>
        <w:numPr>
          <w:ilvl w:val="0"/>
          <w:numId w:val="1"/>
        </w:numPr>
        <w:spacing w:after="40" w:before="40"/>
      </w:pPr>
      <w:r>
        <w:rPr>
          <w:rFonts w:ascii="Arial" w:cs="Arial" w:eastAsia="Arial" w:hAnsi="Arial"/>
          <w:color w:val="0A0E12"/>
          <w:sz w:val="22"/>
          <w:szCs w:val="22"/>
        </w:rPr>
        <w:t xml:space="preserve">Do NOT communicate to regulators without Counsel’s knowledge and approval.</w:t>
      </w:r>
    </w:p>
    <w:p>
      <w:pPr>
        <w:spacing w:after="120" w:before="320"/>
      </w:pPr>
      <w:r>
        <w:rPr>
          <w:rFonts w:ascii="Arial" w:cs="Arial" w:eastAsia="Arial" w:hAnsi="Arial"/>
          <w:b/>
          <w:bCs/>
          <w:color w:val="2D6E8A"/>
          <w:sz w:val="28"/>
          <w:szCs w:val="28"/>
        </w:rPr>
        <w:t xml:space="preserve">9. Post-Mortem Requirement</w:t>
      </w:r>
    </w:p>
    <w:p>
      <w:pPr>
        <w:spacing w:after="80" w:before="60"/>
      </w:pPr>
      <w:r>
        <w:rPr>
          <w:rFonts w:ascii="Arial" w:cs="Arial" w:eastAsia="Arial" w:hAnsi="Arial"/>
          <w:color w:val="0A0E12"/>
          <w:sz w:val="22"/>
          <w:szCs w:val="22"/>
        </w:rPr>
        <w:t xml:space="preserve">After every L2, L3, or L4 event, a written post-mortem is mandatory within 7 days of resolution. Sections: Timeline; Root cause; Impact; Response assessment; Remediation; Prevention.</w:t>
      </w:r>
    </w:p>
    <w:p>
      <w:pPr>
        <w:spacing w:after="80" w:before="60"/>
      </w:pPr>
      <w:r>
        <w:rPr>
          <w:rFonts w:ascii="Arial" w:cs="Arial" w:eastAsia="Arial" w:hAnsi="Arial"/>
          <w:color w:val="0A0E12"/>
          <w:sz w:val="22"/>
          <w:szCs w:val="22"/>
        </w:rPr>
        <w:t xml:space="preserve">Post-mortems stored at: [INTERNAL DOCUMENT LOCATION]. Confidential but may be shared with regulators on request.</w:t>
      </w:r>
    </w:p>
    <w:p>
      <w:pPr>
        <w:spacing w:after="120" w:before="320"/>
      </w:pPr>
      <w:r>
        <w:rPr>
          <w:rFonts w:ascii="Arial" w:cs="Arial" w:eastAsia="Arial" w:hAnsi="Arial"/>
          <w:b/>
          <w:bCs/>
          <w:color w:val="2D6E8A"/>
          <w:sz w:val="28"/>
          <w:szCs w:val="28"/>
        </w:rPr>
        <w:t xml:space="preserve">10. Founder Mental Health Note</w:t>
      </w:r>
    </w:p>
    <w:p>
      <w:pPr>
        <w:shd w:fill="B5DDC2" w:val="clear"/>
        <w:spacing w:after="200" w:before="200"/>
      </w:pPr>
      <w:r>
        <w:rPr>
          <w:rFonts w:ascii="Arial" w:cs="Arial" w:eastAsia="Arial" w:hAnsi="Arial"/>
          <w:color w:val="0A0E12"/>
          <w:sz w:val="22"/>
          <w:szCs w:val="22"/>
        </w:rPr>
        <w:t xml:space="preserve">Crises are exhausting — especially for solo or early-stage founders whose personal identity is deeply tied to their company. Captain Adel: you do not have to handle this alone. Engage Counsel before speaking to regulators. Engage PR Advisor before speaking to media. The Response Team exists so the weight is distributed. Take breaks during extended crises. Eat. Sleep when you can. A clear-headed founder makes better decisions than an exhausted one. The company will survive this if you make calm, coordinated decisions — and that requires you to be functional. Call someone you trust who is not on the Response Team and not a journalist.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Fly GACA  ·  Marketing &amp; PR  ·  Confidential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2026-05-05T03:55:02.632Z</dcterms:created>
  <dcterms:modified xsi:type="dcterms:W3CDTF">2026-05-05T03:55:02.632Z</dcterms:modified>
</cp:coreProperties>
</file>

<file path=docProps/custom.xml><?xml version="1.0" encoding="utf-8"?>
<Properties xmlns="http://schemas.openxmlformats.org/officeDocument/2006/custom-properties" xmlns:vt="http://schemas.openxmlformats.org/officeDocument/2006/docPropsVTypes"/>
</file>