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rFonts w:ascii="Calibri" w:cs="Calibri" w:eastAsia="Calibri" w:hAnsi="Calibri"/>
          <w:sz w:val="72"/>
          <w:szCs w:val="72"/>
        </w:rPr>
        <w:t xml:space="preserve">🧾</w:t>
      </w:r>
    </w:p>
    <w:p>
      <w:pPr>
        <w:spacing w:after="120" w:before="300"/>
        <w:jc w:val="center"/>
      </w:pPr>
      <w:r>
        <w:rPr>
          <w:rFonts w:ascii="Calibri" w:cs="Calibri" w:eastAsia="Calibri" w:hAnsi="Calibri"/>
          <w:b/>
          <w:bCs/>
          <w:color w:val="1F3864"/>
          <w:sz w:val="48"/>
          <w:szCs w:val="48"/>
        </w:rPr>
        <w:t xml:space="preserve">Intelligent Automation of Invoice Processing</w:t>
      </w:r>
    </w:p>
    <w:p>
      <w:pPr>
        <w:spacing w:after="500"/>
        <w:jc w:val="center"/>
      </w:pPr>
      <w:r>
        <w:rPr>
          <w:rFonts w:ascii="Calibri" w:cs="Calibri" w:eastAsia="Calibri" w:hAnsi="Calibri"/>
          <w:i/>
          <w:iCs/>
          <w:color w:val="2F5597"/>
          <w:sz w:val="26"/>
          <w:szCs w:val="26"/>
        </w:rPr>
        <w:t xml:space="preserve">Final Mini-Project — Modeling, Automation &amp; AI Workflow</w:t>
      </w:r>
    </w:p>
    <w:p>
      <w:pPr>
        <w:spacing w:after="90"/>
        <w:jc w:val="center"/>
      </w:pPr>
      <w:r>
        <w:rPr>
          <w:rFonts w:ascii="Calibri" w:cs="Calibri" w:eastAsia="Calibri" w:hAnsi="Calibri"/>
          <w:color w:val="1A1A1A"/>
          <w:sz w:val="22"/>
          <w:szCs w:val="22"/>
        </w:rPr>
        <w:t xml:space="preserve">Department: Finance — Accounts Payable</w:t>
      </w:r>
    </w:p>
    <w:p>
      <w:pPr>
        <w:spacing w:after="90"/>
        <w:jc w:val="center"/>
      </w:pPr>
      <w:r>
        <w:rPr>
          <w:rFonts w:ascii="Calibri" w:cs="Calibri" w:eastAsia="Calibri" w:hAnsi="Calibri"/>
          <w:color w:val="1A1A1A"/>
          <w:sz w:val="22"/>
          <w:szCs w:val="22"/>
        </w:rPr>
        <w:t xml:space="preserve">Scope: Design, workflow modeling (AS-IS / TO-BE), automation &amp; AI integration,</w:t>
      </w:r>
    </w:p>
    <w:p>
      <w:pPr>
        <w:spacing w:after="500"/>
        <w:jc w:val="center"/>
      </w:pPr>
      <w:r>
        <w:rPr>
          <w:rFonts w:ascii="Calibri" w:cs="Calibri" w:eastAsia="Calibri" w:hAnsi="Calibri"/>
          <w:color w:val="1A1A1A"/>
          <w:sz w:val="22"/>
          <w:szCs w:val="22"/>
        </w:rPr>
        <w:t xml:space="preserve">KPI justification, technical &amp; financial feasibility, ROI</w:t>
      </w:r>
    </w:p>
    <w:p>
      <w:r>
        <w:br w:type="page"/>
      </w:r>
    </w:p>
    <w:p>
      <w:pPr>
        <w:pStyle w:val="Heading1"/>
        <w:pBdr>
          <w:bottom w:val="single" w:color="2F5597" w:sz="8" w:space="4"/>
        </w:pBdr>
        <w:spacing w:after="200" w:before="380"/>
      </w:pPr>
      <w:r>
        <w:rPr>
          <w:rFonts w:ascii="Calibri" w:cs="Calibri" w:eastAsia="Calibri" w:hAnsi="Calibri"/>
          <w:b/>
          <w:bCs/>
          <w:color w:val="1F3864"/>
          <w:sz w:val="30"/>
          <w:szCs w:val="30"/>
        </w:rPr>
        <w:t xml:space="preserve">Executive Summary</w:t>
      </w:r>
    </w:p>
    <w:p>
      <w:pPr>
        <w:spacing w:after="160" w:before="0" w:line="276"/>
        <w:jc w:val="both"/>
      </w:pPr>
      <w:r>
        <w:rPr>
          <w:rFonts w:ascii="Calibri" w:cs="Calibri" w:eastAsia="Calibri" w:hAnsi="Calibri"/>
          <w:b w:val="false"/>
          <w:bCs w:val="false"/>
          <w:i w:val="false"/>
          <w:iCs w:val="false"/>
          <w:color w:val="1A1A1A"/>
          <w:sz w:val="22"/>
          <w:szCs w:val="22"/>
        </w:rPr>
        <w:t xml:space="preserve">A mid-sized company receives around 1,000 supplier invoices per month, submitted as emailed PDFs or scanned documents. Invoice processing is currently handled almost entirely by hand, which is slow, repetitive and error-prone. This project designs an intelligent automation workflow that combines OCR, an AI extraction/analysis layer, and rule-based routing, while keeping a human in the loop for decisions that require judgment (validation of significant amounts, correction of anomalies).</w:t>
      </w:r>
    </w:p>
    <w:p>
      <w:pPr>
        <w:spacing w:after="160" w:before="0" w:line="276"/>
        <w:jc w:val="both"/>
      </w:pPr>
      <w:r>
        <w:rPr>
          <w:rFonts w:ascii="Calibri" w:cs="Calibri" w:eastAsia="Calibri" w:hAnsi="Calibri"/>
          <w:b w:val="false"/>
          <w:bCs w:val="false"/>
          <w:i w:val="false"/>
          <w:iCs w:val="false"/>
          <w:color w:val="1A1A1A"/>
          <w:sz w:val="22"/>
          <w:szCs w:val="22"/>
        </w:rPr>
        <w:t xml:space="preserve">The proposed solution reduces average processing time per invoice from 12 minutes to 4 minutes (-66.7%), cuts the error rate from 5% to 1% (-80%), and is estimated to generate a net annual benefit of about 38,000 TND against an initial investment of 4,500 TND — a first-year ROI of roughly 744% and a payback period of about 1.4 months. All figures below are simulation hypotheses to be validated with a real pilot before full-scale rollout.</w:t>
      </w:r>
    </w:p>
    <w:p>
      <w:pPr>
        <w:pStyle w:val="Heading1"/>
        <w:pBdr>
          <w:bottom w:val="single" w:color="2F5597" w:sz="8" w:space="4"/>
        </w:pBdr>
        <w:spacing w:after="200" w:before="380"/>
      </w:pPr>
      <w:r>
        <w:rPr>
          <w:rFonts w:ascii="Calibri" w:cs="Calibri" w:eastAsia="Calibri" w:hAnsi="Calibri"/>
          <w:b/>
          <w:bCs/>
          <w:color w:val="1F3864"/>
          <w:sz w:val="30"/>
          <w:szCs w:val="30"/>
        </w:rPr>
        <w:t xml:space="preserve">1. Project Scenario</w:t>
      </w:r>
    </w:p>
    <w:p>
      <w:pPr>
        <w:pStyle w:val="Heading2"/>
        <w:spacing w:after="140" w:before="280"/>
      </w:pPr>
      <w:r>
        <w:rPr>
          <w:rFonts w:ascii="Calibri" w:cs="Calibri" w:eastAsia="Calibri" w:hAnsi="Calibri"/>
          <w:b/>
          <w:bCs/>
          <w:color w:val="2F5597"/>
          <w:sz w:val="25"/>
          <w:szCs w:val="25"/>
        </w:rPr>
        <w:t xml:space="preserve">1.1 Company Context</w:t>
      </w:r>
    </w:p>
    <w:p>
      <w:pPr>
        <w:spacing w:after="160" w:before="0" w:line="276"/>
        <w:jc w:val="both"/>
      </w:pPr>
      <w:r>
        <w:rPr>
          <w:rFonts w:ascii="Calibri" w:cs="Calibri" w:eastAsia="Calibri" w:hAnsi="Calibri"/>
          <w:b w:val="false"/>
          <w:bCs w:val="false"/>
          <w:i w:val="false"/>
          <w:iCs w:val="false"/>
          <w:color w:val="1A1A1A"/>
          <w:sz w:val="22"/>
          <w:szCs w:val="22"/>
        </w:rPr>
        <w:t xml:space="preserve">The organization is a mid-sized company that receives approximately 1,000 supplier invoices per month, in varied formats (PDF sent by email, scanned paper documents). Today, the process is manual end-to-end: an accountant opens each document, reads the key fields, keys them into the system, checks amounts and supplier details, requests approval when required, then records and archives the invoice. This consumes significant staff time and introduces data-entry errors.</w:t>
      </w:r>
    </w:p>
    <w:p>
      <w:pPr>
        <w:pStyle w:val="Heading2"/>
        <w:spacing w:after="140" w:before="280"/>
      </w:pPr>
      <w:r>
        <w:rPr>
          <w:rFonts w:ascii="Calibri" w:cs="Calibri" w:eastAsia="Calibri" w:hAnsi="Calibri"/>
          <w:b/>
          <w:bCs/>
          <w:color w:val="2F5597"/>
          <w:sz w:val="25"/>
          <w:szCs w:val="25"/>
        </w:rPr>
        <w:t xml:space="preserve">1.2 Department &amp; Team</w:t>
      </w:r>
    </w:p>
    <w:p>
      <w:pPr>
        <w:spacing w:after="100" w:before="0" w:line="276"/>
        <w:jc w:val="both"/>
      </w:pPr>
      <w:r>
        <w:rPr>
          <w:rFonts w:ascii="Calibri" w:cs="Calibri" w:eastAsia="Calibri" w:hAnsi="Calibri"/>
          <w:b w:val="false"/>
          <w:bCs w:val="false"/>
          <w:i w:val="false"/>
          <w:iCs w:val="false"/>
          <w:color w:val="1A1A1A"/>
          <w:sz w:val="22"/>
          <w:szCs w:val="22"/>
        </w:rPr>
        <w:t xml:space="preserve">Department: Finance Department → Accounts Payable Service.</w:t>
      </w:r>
    </w:p>
    <w:p>
      <w:pPr>
        <w:spacing w:after="160" w:before="0" w:line="276"/>
        <w:jc w:val="both"/>
      </w:pPr>
      <w:r>
        <w:rPr>
          <w:rFonts w:ascii="Calibri" w:cs="Calibri" w:eastAsia="Calibri" w:hAnsi="Calibri"/>
          <w:b w:val="false"/>
          <w:bCs w:val="false"/>
          <w:i w:val="false"/>
          <w:iCs w:val="false"/>
          <w:color w:val="1A1A1A"/>
          <w:sz w:val="22"/>
          <w:szCs w:val="22"/>
        </w:rPr>
        <w:t xml:space="preserve">The team combines human actors (accountant, financial manager, IT) with software actors (the AI extraction engine and the workflow orchestrator), coordinated through a shared automated workflow.</w:t>
      </w:r>
    </w:p>
    <w:p>
      <w:pPr>
        <w:spacing w:after="100" w:before="200"/>
      </w:pPr>
      <w:r>
        <w:rPr>
          <w:rFonts w:ascii="Calibri" w:cs="Calibri" w:eastAsia="Calibri" w:hAnsi="Calibri"/>
          <w:b/>
          <w:bCs/>
          <w:color w:val="C65911"/>
          <w:sz w:val="22"/>
          <w:szCs w:val="22"/>
        </w:rPr>
        <w:t xml:space="preserve">Actors and Responsibilities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Actor</w:t>
            </w:r>
          </w:p>
        </w:tc>
        <w:tc>
          <w:tcPr>
            <w:tcW w:type="dxa" w:w="68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Responsibility</w:t>
            </w:r>
          </w:p>
        </w:tc>
      </w:tr>
      <w:tr>
        <w:tc>
          <w:tcPr>
            <w:tcW w:type="dxa" w:w="2600"/>
            <w:shd w:fill="F7F9FC"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Supplier</w:t>
            </w:r>
          </w:p>
        </w:tc>
        <w:tc>
          <w:tcPr>
            <w:tcW w:type="dxa" w:w="6800"/>
            <w:shd w:fill="F7F9FC"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Sends the invoice (by email or as a scanned document).</w:t>
            </w:r>
          </w:p>
        </w:tc>
      </w:tr>
      <w:tr>
        <w:tc>
          <w:tcPr>
            <w:tcW w:type="dxa" w:w="26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Accounts Payable Accountant</w:t>
            </w:r>
          </w:p>
        </w:tc>
        <w:tc>
          <w:tcPr>
            <w:tcW w:type="dxa" w:w="68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Verifies and processes invoices; validates invoices below the approval threshold; handles flagged anomalies.</w:t>
            </w:r>
          </w:p>
        </w:tc>
      </w:tr>
      <w:tr>
        <w:tc>
          <w:tcPr>
            <w:tcW w:type="dxa" w:w="2600"/>
            <w:shd w:fill="F7F9FC"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Financial Manager</w:t>
            </w:r>
          </w:p>
        </w:tc>
        <w:tc>
          <w:tcPr>
            <w:tcW w:type="dxa" w:w="6800"/>
            <w:shd w:fill="F7F9FC"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Approves invoices above the financial threshold (&gt; 2,000 TND) and reviews escalated exceptions.</w:t>
            </w:r>
          </w:p>
        </w:tc>
      </w:tr>
      <w:tr>
        <w:tc>
          <w:tcPr>
            <w:tcW w:type="dxa" w:w="26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IT / Systems Team</w:t>
            </w:r>
          </w:p>
        </w:tc>
        <w:tc>
          <w:tcPr>
            <w:tcW w:type="dxa" w:w="68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Maintains the platform, the OCR/AI pipeline, the workflow engine and system integrations.</w:t>
            </w:r>
          </w:p>
        </w:tc>
      </w:tr>
      <w:tr>
        <w:tc>
          <w:tcPr>
            <w:tcW w:type="dxa" w:w="2600"/>
            <w:shd w:fill="F7F9FC"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AI System (OCR + LLM)</w:t>
            </w:r>
          </w:p>
        </w:tc>
        <w:tc>
          <w:tcPr>
            <w:tcW w:type="dxa" w:w="6800"/>
            <w:shd w:fill="F7F9FC"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Extracts and structures invoice data, and performs first-pass consistency analysis.</w:t>
            </w:r>
          </w:p>
        </w:tc>
      </w:tr>
      <w:tr>
        <w:tc>
          <w:tcPr>
            <w:tcW w:type="dxa" w:w="26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Workflow Engine (n8n)</w:t>
            </w:r>
          </w:p>
        </w:tc>
        <w:tc>
          <w:tcPr>
            <w:tcW w:type="dxa" w:w="68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Orchestrates the end-to-end process and routes each invoice to the right actor or automated step.</w:t>
            </w:r>
          </w:p>
        </w:tc>
      </w:tr>
    </w:tbl>
    <w:p>
      <w:pPr>
        <w:pStyle w:val="Heading2"/>
        <w:spacing w:after="140" w:before="280"/>
      </w:pPr>
      <w:r>
        <w:rPr>
          <w:rFonts w:ascii="Calibri" w:cs="Calibri" w:eastAsia="Calibri" w:hAnsi="Calibri"/>
          <w:b/>
          <w:bCs/>
          <w:color w:val="2F5597"/>
          <w:sz w:val="25"/>
          <w:szCs w:val="25"/>
        </w:rPr>
        <w:t xml:space="preserve">1.3 Objective</w:t>
      </w:r>
    </w:p>
    <w:p>
      <w:pPr>
        <w:spacing w:after="160" w:before="0" w:line="276"/>
        <w:jc w:val="both"/>
      </w:pPr>
      <w:r>
        <w:rPr>
          <w:rFonts w:ascii="Calibri" w:cs="Calibri" w:eastAsia="Calibri" w:hAnsi="Calibri"/>
          <w:b w:val="false"/>
          <w:bCs w:val="false"/>
          <w:i w:val="false"/>
          <w:iCs w:val="false"/>
          <w:color w:val="1A1A1A"/>
          <w:sz w:val="22"/>
          <w:szCs w:val="22"/>
        </w:rPr>
        <w:t xml:space="preserve">Design a system that reduces manual work as much as possible while preserving human validation for decisions that carry financial or business risk.</w:t>
      </w:r>
    </w:p>
    <w:p>
      <w:pPr>
        <w:pStyle w:val="Heading2"/>
        <w:spacing w:after="140" w:before="280"/>
      </w:pPr>
      <w:r>
        <w:rPr>
          <w:rFonts w:ascii="Calibri" w:cs="Calibri" w:eastAsia="Calibri" w:hAnsi="Calibri"/>
          <w:b/>
          <w:bCs/>
          <w:color w:val="2F5597"/>
          <w:sz w:val="25"/>
          <w:szCs w:val="25"/>
        </w:rPr>
        <w:t xml:space="preserve">1.4 Business Rule (Routing Logic)</w:t>
      </w:r>
    </w:p>
    <w:p>
      <w:pPr>
        <w:pStyle w:val="ListParagraph"/>
        <w:numPr>
          <w:ilvl w:val="0"/>
          <w:numId w:val="2"/>
        </w:numPr>
        <w:spacing w:after="90"/>
      </w:pPr>
      <w:r>
        <w:rPr>
          <w:rFonts w:ascii="Calibri" w:cs="Calibri" w:eastAsia="Calibri" w:hAnsi="Calibri"/>
          <w:b w:val="false"/>
          <w:bCs w:val="false"/>
          <w:color w:val="1A1A1A"/>
          <w:sz w:val="22"/>
          <w:szCs w:val="22"/>
        </w:rPr>
        <w:t xml:space="preserve">Invoice amount ≤ 2,000 TND → validated by the accountant.</w:t>
      </w:r>
    </w:p>
    <w:p>
      <w:pPr>
        <w:pStyle w:val="ListParagraph"/>
        <w:numPr>
          <w:ilvl w:val="0"/>
          <w:numId w:val="2"/>
        </w:numPr>
        <w:spacing w:after="90"/>
      </w:pPr>
      <w:r>
        <w:rPr>
          <w:rFonts w:ascii="Calibri" w:cs="Calibri" w:eastAsia="Calibri" w:hAnsi="Calibri"/>
          <w:b w:val="false"/>
          <w:bCs w:val="false"/>
          <w:color w:val="1A1A1A"/>
          <w:sz w:val="22"/>
          <w:szCs w:val="22"/>
        </w:rPr>
        <w:t xml:space="preserve">Invoice amount &gt; 2,000 TND → additional validation required from the Financial Manager.</w:t>
      </w:r>
    </w:p>
    <w:p>
      <w:pPr>
        <w:pStyle w:val="ListParagraph"/>
        <w:numPr>
          <w:ilvl w:val="0"/>
          <w:numId w:val="2"/>
        </w:numPr>
        <w:spacing w:after="90"/>
      </w:pPr>
      <w:r>
        <w:rPr>
          <w:rFonts w:ascii="Calibri" w:cs="Calibri" w:eastAsia="Calibri" w:hAnsi="Calibri"/>
          <w:b w:val="false"/>
          <w:bCs w:val="false"/>
          <w:color w:val="1A1A1A"/>
          <w:sz w:val="22"/>
          <w:szCs w:val="22"/>
        </w:rPr>
        <w:t xml:space="preserve">Inconsistent or incomplete information (amount mismatch, unknown supplier, suspected duplicate) → routed to manual control, regardless of amount.</w:t>
      </w:r>
    </w:p>
    <w:p>
      <w:pPr>
        <w:pStyle w:val="Heading2"/>
        <w:spacing w:after="140" w:before="280"/>
      </w:pPr>
      <w:r>
        <w:rPr>
          <w:rFonts w:ascii="Calibri" w:cs="Calibri" w:eastAsia="Calibri" w:hAnsi="Calibri"/>
          <w:b/>
          <w:bCs/>
          <w:color w:val="2F5597"/>
          <w:sz w:val="25"/>
          <w:szCs w:val="25"/>
        </w:rPr>
        <w:t xml:space="preserve">1.5 Invoice Fields Captured</w:t>
      </w:r>
    </w:p>
    <w:p>
      <w:pPr>
        <w:spacing w:after="160" w:before="0" w:line="276"/>
        <w:jc w:val="both"/>
      </w:pPr>
      <w:r>
        <w:rPr>
          <w:rFonts w:ascii="Calibri" w:cs="Calibri" w:eastAsia="Calibri" w:hAnsi="Calibri"/>
          <w:b w:val="false"/>
          <w:bCs w:val="false"/>
          <w:i w:val="false"/>
          <w:iCs w:val="false"/>
          <w:color w:val="1A1A1A"/>
          <w:sz w:val="22"/>
          <w:szCs w:val="22"/>
        </w:rPr>
        <w:t xml:space="preserve">For every invoice, the system must retrieve: invoice number, invoice date, supplier name, supplier ID, net amount (excl. tax), VAT, gross amount (incl. tax), due date, purchase-order reference, and bank details where required.</w:t>
      </w:r>
    </w:p>
    <w:p>
      <w:pPr>
        <w:pStyle w:val="Heading1"/>
        <w:pBdr>
          <w:bottom w:val="single" w:color="2F5597" w:sz="8" w:space="4"/>
        </w:pBdr>
        <w:spacing w:after="200" w:before="380"/>
      </w:pPr>
      <w:r>
        <w:rPr>
          <w:rFonts w:ascii="Calibri" w:cs="Calibri" w:eastAsia="Calibri" w:hAnsi="Calibri"/>
          <w:b/>
          <w:bCs/>
          <w:color w:val="1F3864"/>
          <w:sz w:val="30"/>
          <w:szCs w:val="30"/>
        </w:rPr>
        <w:t xml:space="preserve">2. Current Process — AS-IS Modeling</w:t>
      </w:r>
    </w:p>
    <w:p>
      <w:pPr>
        <w:spacing w:after="160" w:before="0" w:line="276"/>
        <w:jc w:val="both"/>
      </w:pPr>
      <w:r>
        <w:rPr>
          <w:rFonts w:ascii="Calibri" w:cs="Calibri" w:eastAsia="Calibri" w:hAnsi="Calibri"/>
          <w:b w:val="false"/>
          <w:bCs w:val="false"/>
          <w:i w:val="false"/>
          <w:iCs w:val="false"/>
          <w:color w:val="1A1A1A"/>
          <w:sz w:val="22"/>
          <w:szCs w:val="22"/>
        </w:rPr>
        <w:t xml:space="preserve">Before designing the automated solution, the existing (fully manual) process is modeled as-is. This baseline is what the KPIs and the ROI calculation are measured against.</w:t>
      </w:r>
    </w:p>
    <w:p>
      <w:pPr>
        <w:spacing w:after="100" w:before="200"/>
      </w:pPr>
      <w:r>
        <w:rPr>
          <w:rFonts w:ascii="Calibri" w:cs="Calibri" w:eastAsia="Calibri" w:hAnsi="Calibri"/>
          <w:b/>
          <w:bCs/>
          <w:color w:val="C65911"/>
          <w:sz w:val="22"/>
          <w:szCs w:val="22"/>
        </w:rPr>
        <w:t xml:space="preserve">Current Task Sequence</w:t>
      </w:r>
    </w:p>
    <w:p>
      <w:pPr>
        <w:pStyle w:val="ListParagraph"/>
        <w:numPr>
          <w:ilvl w:val="0"/>
          <w:numId w:val="2"/>
        </w:numPr>
        <w:spacing w:after="90"/>
      </w:pPr>
      <w:r>
        <w:rPr>
          <w:rFonts w:ascii="Calibri" w:cs="Calibri" w:eastAsia="Calibri" w:hAnsi="Calibri"/>
          <w:b w:val="false"/>
          <w:bCs w:val="false"/>
          <w:color w:val="1A1A1A"/>
          <w:sz w:val="22"/>
          <w:szCs w:val="22"/>
        </w:rPr>
        <w:t xml:space="preserve">Supplier sends the invoice.</w:t>
      </w:r>
    </w:p>
    <w:p>
      <w:pPr>
        <w:pStyle w:val="ListParagraph"/>
        <w:numPr>
          <w:ilvl w:val="0"/>
          <w:numId w:val="2"/>
        </w:numPr>
        <w:spacing w:after="90"/>
      </w:pPr>
      <w:r>
        <w:rPr>
          <w:rFonts w:ascii="Calibri" w:cs="Calibri" w:eastAsia="Calibri" w:hAnsi="Calibri"/>
          <w:b w:val="false"/>
          <w:bCs w:val="false"/>
          <w:color w:val="1A1A1A"/>
          <w:sz w:val="22"/>
          <w:szCs w:val="22"/>
        </w:rPr>
        <w:t xml:space="preserve">Accounts Payable receives it (by email or physical mail).</w:t>
      </w:r>
    </w:p>
    <w:p>
      <w:pPr>
        <w:pStyle w:val="ListParagraph"/>
        <w:numPr>
          <w:ilvl w:val="0"/>
          <w:numId w:val="2"/>
        </w:numPr>
        <w:spacing w:after="90"/>
      </w:pPr>
      <w:r>
        <w:rPr>
          <w:rFonts w:ascii="Calibri" w:cs="Calibri" w:eastAsia="Calibri" w:hAnsi="Calibri"/>
          <w:b w:val="false"/>
          <w:bCs w:val="false"/>
          <w:color w:val="1A1A1A"/>
          <w:sz w:val="22"/>
          <w:szCs w:val="22"/>
        </w:rPr>
        <w:t xml:space="preserve">The accountant opens and reads the PDF or scanned document.</w:t>
      </w:r>
    </w:p>
    <w:p>
      <w:pPr>
        <w:pStyle w:val="ListParagraph"/>
        <w:numPr>
          <w:ilvl w:val="0"/>
          <w:numId w:val="2"/>
        </w:numPr>
        <w:spacing w:after="90"/>
      </w:pPr>
      <w:r>
        <w:rPr>
          <w:rFonts w:ascii="Calibri" w:cs="Calibri" w:eastAsia="Calibri" w:hAnsi="Calibri"/>
          <w:b w:val="false"/>
          <w:bCs w:val="false"/>
          <w:color w:val="1A1A1A"/>
          <w:sz w:val="22"/>
          <w:szCs w:val="22"/>
        </w:rPr>
        <w:t xml:space="preserve">Data is keyed manually into the accounting system.</w:t>
      </w:r>
    </w:p>
    <w:p>
      <w:pPr>
        <w:pStyle w:val="ListParagraph"/>
        <w:numPr>
          <w:ilvl w:val="0"/>
          <w:numId w:val="2"/>
        </w:numPr>
        <w:spacing w:after="90"/>
      </w:pPr>
      <w:r>
        <w:rPr>
          <w:rFonts w:ascii="Calibri" w:cs="Calibri" w:eastAsia="Calibri" w:hAnsi="Calibri"/>
          <w:b w:val="false"/>
          <w:bCs w:val="false"/>
          <w:color w:val="1A1A1A"/>
          <w:sz w:val="22"/>
          <w:szCs w:val="22"/>
        </w:rPr>
        <w:t xml:space="preserve">Amounts and supplier information are checked manually.</w:t>
      </w:r>
    </w:p>
    <w:p>
      <w:pPr>
        <w:pStyle w:val="ListParagraph"/>
        <w:numPr>
          <w:ilvl w:val="0"/>
          <w:numId w:val="2"/>
        </w:numPr>
        <w:spacing w:after="90"/>
      </w:pPr>
      <w:r>
        <w:rPr>
          <w:rFonts w:ascii="Calibri" w:cs="Calibri" w:eastAsia="Calibri" w:hAnsi="Calibri"/>
          <w:b w:val="false"/>
          <w:bCs w:val="false"/>
          <w:color w:val="1A1A1A"/>
          <w:sz w:val="22"/>
          <w:szCs w:val="22"/>
        </w:rPr>
        <w:t xml:space="preserve">If information is inconsistent, a correction is requested from the supplier.</w:t>
      </w:r>
    </w:p>
    <w:p>
      <w:pPr>
        <w:pStyle w:val="ListParagraph"/>
        <w:numPr>
          <w:ilvl w:val="0"/>
          <w:numId w:val="2"/>
        </w:numPr>
        <w:spacing w:after="90"/>
      </w:pPr>
      <w:r>
        <w:rPr>
          <w:rFonts w:ascii="Calibri" w:cs="Calibri" w:eastAsia="Calibri" w:hAnsi="Calibri"/>
          <w:b w:val="false"/>
          <w:bCs w:val="false"/>
          <w:color w:val="1A1A1A"/>
          <w:sz w:val="22"/>
          <w:szCs w:val="22"/>
        </w:rPr>
        <w:t xml:space="preserve">Once compliant, the invoice is validated by the accountant or, above the threshold, escalated to the Financial Manager.</w:t>
      </w:r>
    </w:p>
    <w:p>
      <w:pPr>
        <w:pStyle w:val="ListParagraph"/>
        <w:numPr>
          <w:ilvl w:val="0"/>
          <w:numId w:val="2"/>
        </w:numPr>
        <w:spacing w:after="90"/>
      </w:pPr>
      <w:r>
        <w:rPr>
          <w:rFonts w:ascii="Calibri" w:cs="Calibri" w:eastAsia="Calibri" w:hAnsi="Calibri"/>
          <w:b w:val="false"/>
          <w:bCs w:val="false"/>
          <w:color w:val="1A1A1A"/>
          <w:sz w:val="22"/>
          <w:szCs w:val="22"/>
        </w:rPr>
        <w:t xml:space="preserve">The invoice is recorded in the system.</w:t>
      </w:r>
    </w:p>
    <w:p>
      <w:pPr>
        <w:pStyle w:val="ListParagraph"/>
        <w:numPr>
          <w:ilvl w:val="0"/>
          <w:numId w:val="2"/>
        </w:numPr>
        <w:spacing w:after="90"/>
      </w:pPr>
      <w:r>
        <w:rPr>
          <w:rFonts w:ascii="Calibri" w:cs="Calibri" w:eastAsia="Calibri" w:hAnsi="Calibri"/>
          <w:b w:val="false"/>
          <w:bCs w:val="false"/>
          <w:color w:val="1A1A1A"/>
          <w:sz w:val="22"/>
          <w:szCs w:val="22"/>
        </w:rPr>
        <w:t xml:space="preserve">The invoice is archived.</w:t>
      </w:r>
    </w:p>
    <w:p>
      <w:pPr>
        <w:spacing w:after="160" w:before="160"/>
        <w:jc w:val="center"/>
      </w:pPr>
      <w:r>
        <w:drawing>
          <wp:inline distT="0" distB="0" distL="0" distR="0">
            <wp:extent cx="4933950" cy="782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33950" cy="7820025"/>
                    </a:xfrm>
                    <a:prstGeom prst="rect">
                      <a:avLst/>
                    </a:prstGeom>
                  </pic:spPr>
                </pic:pic>
              </a:graphicData>
            </a:graphic>
          </wp:inline>
        </w:drawing>
      </w:r>
    </w:p>
    <w:p>
      <w:pPr>
        <w:spacing w:after="260"/>
        <w:jc w:val="center"/>
      </w:pPr>
      <w:r>
        <w:rPr>
          <w:rFonts w:ascii="Calibri" w:cs="Calibri" w:eastAsia="Calibri" w:hAnsi="Calibri"/>
          <w:i/>
          <w:iCs/>
          <w:color w:val="404040"/>
          <w:sz w:val="18"/>
          <w:szCs w:val="18"/>
        </w:rPr>
        <w:t xml:space="preserve">Figure 1 — AS-IS workflow: current fully manual invoice-processing process.</w:t>
      </w:r>
    </w:p>
    <w:p>
      <w:pPr>
        <w:pStyle w:val="Heading1"/>
        <w:pBdr>
          <w:bottom w:val="single" w:color="2F5597" w:sz="8" w:space="4"/>
        </w:pBdr>
        <w:spacing w:after="200" w:before="380"/>
      </w:pPr>
      <w:r>
        <w:rPr>
          <w:rFonts w:ascii="Calibri" w:cs="Calibri" w:eastAsia="Calibri" w:hAnsi="Calibri"/>
          <w:b/>
          <w:bCs/>
          <w:color w:val="1F3864"/>
          <w:sz w:val="30"/>
          <w:szCs w:val="30"/>
        </w:rPr>
        <w:t xml:space="preserve">3. Process Analysis — What to Automate and Why</w:t>
      </w:r>
    </w:p>
    <w:p>
      <w:pPr>
        <w:spacing w:after="160" w:before="0" w:line="276"/>
        <w:jc w:val="both"/>
      </w:pPr>
      <w:r>
        <w:rPr>
          <w:rFonts w:ascii="Calibri" w:cs="Calibri" w:eastAsia="Calibri" w:hAnsi="Calibri"/>
          <w:b w:val="false"/>
          <w:bCs w:val="false"/>
          <w:i w:val="false"/>
          <w:iCs w:val="false"/>
          <w:color w:val="1A1A1A"/>
          <w:sz w:val="22"/>
          <w:szCs w:val="22"/>
        </w:rPr>
        <w:t xml:space="preserve">Each step of the current process is assessed for automation potential. The guiding principle: automate repetitive, predictable tasks; keep a human in the loop for decisions that require judgment.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1300"/>
        <w:gridCol w:w="3800"/>
      </w:tblGrid>
      <w:tr>
        <w:trPr>
          <w:tblHeader/>
        </w:trPr>
        <w:tc>
          <w:tcPr>
            <w:tcW w:type="dxa" w:w="17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Step</w:t>
            </w:r>
          </w:p>
        </w:tc>
        <w:tc>
          <w:tcPr>
            <w:tcW w:type="dxa" w:w="26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Problem</w:t>
            </w:r>
          </w:p>
        </w:tc>
        <w:tc>
          <w:tcPr>
            <w:tcW w:type="dxa" w:w="13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Automatable?</w:t>
            </w:r>
          </w:p>
        </w:tc>
        <w:tc>
          <w:tcPr>
            <w:tcW w:type="dxa" w:w="38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Justification</w:t>
            </w:r>
          </w:p>
        </w:tc>
      </w:tr>
      <w:tr>
        <w:tc>
          <w:tcPr>
            <w:tcW w:type="dxa" w:w="1700"/>
            <w:shd w:fill="F7F9FC"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Reception</w:t>
            </w:r>
          </w:p>
        </w:tc>
        <w:tc>
          <w:tcPr>
            <w:tcW w:type="dxa" w:w="2600"/>
            <w:shd w:fill="F7F9FC"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Manual handling of incoming emails/documents</w:t>
            </w:r>
          </w:p>
        </w:tc>
        <w:tc>
          <w:tcPr>
            <w:tcW w:type="dxa" w:w="1300"/>
            <w:shd w:fill="F7F9FC"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Yes</w:t>
            </w:r>
          </w:p>
        </w:tc>
        <w:tc>
          <w:tcPr>
            <w:tcW w:type="dxa" w:w="3800"/>
            <w:shd w:fill="F7F9FC"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Can be triggered automatically on email/upload</w:t>
            </w:r>
          </w:p>
        </w:tc>
      </w:tr>
      <w:tr>
        <w:tc>
          <w:tcPr>
            <w:tcW w:type="dxa" w:w="17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Reading the invoice</w:t>
            </w:r>
          </w:p>
        </w:tc>
        <w:tc>
          <w:tcPr>
            <w:tcW w:type="dxa" w:w="26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Long and repetitive manual reading</w:t>
            </w:r>
          </w:p>
        </w:tc>
        <w:tc>
          <w:tcPr>
            <w:tcW w:type="dxa" w:w="13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Yes</w:t>
            </w:r>
          </w:p>
        </w:tc>
        <w:tc>
          <w:tcPr>
            <w:tcW w:type="dxa" w:w="38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OCR / AI reads the document instantly</w:t>
            </w:r>
          </w:p>
        </w:tc>
      </w:tr>
      <w:tr>
        <w:tc>
          <w:tcPr>
            <w:tcW w:type="dxa" w:w="1700"/>
            <w:shd w:fill="F7F9FC"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Data extraction</w:t>
            </w:r>
          </w:p>
        </w:tc>
        <w:tc>
          <w:tcPr>
            <w:tcW w:type="dxa" w:w="2600"/>
            <w:shd w:fill="F7F9FC"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Manual keying, prone to typos</w:t>
            </w:r>
          </w:p>
        </w:tc>
        <w:tc>
          <w:tcPr>
            <w:tcW w:type="dxa" w:w="1300"/>
            <w:shd w:fill="F7F9FC"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Yes</w:t>
            </w:r>
          </w:p>
        </w:tc>
        <w:tc>
          <w:tcPr>
            <w:tcW w:type="dxa" w:w="3800"/>
            <w:shd w:fill="F7F9FC"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OCR + AI extract structured fields</w:t>
            </w:r>
          </w:p>
        </w:tc>
      </w:tr>
      <w:tr>
        <w:tc>
          <w:tcPr>
            <w:tcW w:type="dxa" w:w="17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Format verification</w:t>
            </w:r>
          </w:p>
        </w:tc>
        <w:tc>
          <w:tcPr>
            <w:tcW w:type="dxa" w:w="26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Repetitive rule checks done by hand</w:t>
            </w:r>
          </w:p>
        </w:tc>
        <w:tc>
          <w:tcPr>
            <w:tcW w:type="dxa" w:w="13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Yes</w:t>
            </w:r>
          </w:p>
        </w:tc>
        <w:tc>
          <w:tcPr>
            <w:tcW w:type="dxa" w:w="38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Deterministic rules can be automated</w:t>
            </w:r>
          </w:p>
        </w:tc>
      </w:tr>
      <w:tr>
        <w:tc>
          <w:tcPr>
            <w:tcW w:type="dxa" w:w="1700"/>
            <w:shd w:fill="F7F9FC"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Anomaly detection</w:t>
            </w:r>
          </w:p>
        </w:tc>
        <w:tc>
          <w:tcPr>
            <w:tcW w:type="dxa" w:w="2600"/>
            <w:shd w:fill="F7F9FC"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Manual cross-checking</w:t>
            </w:r>
          </w:p>
        </w:tc>
        <w:tc>
          <w:tcPr>
            <w:tcW w:type="dxa" w:w="1300"/>
            <w:shd w:fill="F7F9FC"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Partial</w:t>
            </w:r>
          </w:p>
        </w:tc>
        <w:tc>
          <w:tcPr>
            <w:tcW w:type="dxa" w:w="3800"/>
            <w:shd w:fill="F7F9FC"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AI + rules flag most anomalies; edge cases still need review</w:t>
            </w:r>
          </w:p>
        </w:tc>
      </w:tr>
      <w:tr>
        <w:tc>
          <w:tcPr>
            <w:tcW w:type="dxa" w:w="17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Validation</w:t>
            </w:r>
          </w:p>
        </w:tc>
        <w:tc>
          <w:tcPr>
            <w:tcW w:type="dxa" w:w="26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Business decision with financial impact</w:t>
            </w:r>
          </w:p>
        </w:tc>
        <w:tc>
          <w:tcPr>
            <w:tcW w:type="dxa" w:w="13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Partial</w:t>
            </w:r>
          </w:p>
        </w:tc>
        <w:tc>
          <w:tcPr>
            <w:tcW w:type="dxa" w:w="38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Human judgment kept for significant amounts</w:t>
            </w:r>
          </w:p>
        </w:tc>
      </w:tr>
      <w:tr>
        <w:tc>
          <w:tcPr>
            <w:tcW w:type="dxa" w:w="1700"/>
            <w:shd w:fill="F7F9FC"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Anomaly correction</w:t>
            </w:r>
          </w:p>
        </w:tc>
        <w:tc>
          <w:tcPr>
            <w:tcW w:type="dxa" w:w="2600"/>
            <w:shd w:fill="F7F9FC"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Requires investigation and supplier contact</w:t>
            </w:r>
          </w:p>
        </w:tc>
        <w:tc>
          <w:tcPr>
            <w:tcW w:type="dxa" w:w="1300"/>
            <w:shd w:fill="F7F9FC"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Limited</w:t>
            </w:r>
          </w:p>
        </w:tc>
        <w:tc>
          <w:tcPr>
            <w:tcW w:type="dxa" w:w="3800"/>
            <w:shd w:fill="F7F9FC"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Kept as accountant intervention</w:t>
            </w:r>
          </w:p>
        </w:tc>
      </w:tr>
      <w:tr>
        <w:tc>
          <w:tcPr>
            <w:tcW w:type="dxa" w:w="17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Recording</w:t>
            </w:r>
          </w:p>
        </w:tc>
        <w:tc>
          <w:tcPr>
            <w:tcW w:type="dxa" w:w="26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Repetitive data entry</w:t>
            </w:r>
          </w:p>
        </w:tc>
        <w:tc>
          <w:tcPr>
            <w:tcW w:type="dxa" w:w="13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Yes</w:t>
            </w:r>
          </w:p>
        </w:tc>
        <w:tc>
          <w:tcPr>
            <w:tcW w:type="dxa" w:w="38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Automated once data is validated</w:t>
            </w:r>
          </w:p>
        </w:tc>
      </w:tr>
      <w:tr>
        <w:tc>
          <w:tcPr>
            <w:tcW w:type="dxa" w:w="1700"/>
            <w:shd w:fill="F7F9FC"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Archiving</w:t>
            </w:r>
          </w:p>
        </w:tc>
        <w:tc>
          <w:tcPr>
            <w:tcW w:type="dxa" w:w="2600"/>
            <w:shd w:fill="F7F9FC"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Administrative filing task</w:t>
            </w:r>
          </w:p>
        </w:tc>
        <w:tc>
          <w:tcPr>
            <w:tcW w:type="dxa" w:w="1300"/>
            <w:shd w:fill="F7F9FC"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Yes</w:t>
            </w:r>
          </w:p>
        </w:tc>
        <w:tc>
          <w:tcPr>
            <w:tcW w:type="dxa" w:w="3800"/>
            <w:shd w:fill="F7F9FC"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Fully automatable</w:t>
            </w:r>
          </w:p>
        </w:tc>
      </w:tr>
    </w:tbl>
    <w:p>
      <w:pPr>
        <w:pStyle w:val="Heading1"/>
        <w:pBdr>
          <w:bottom w:val="single" w:color="2F5597" w:sz="8" w:space="4"/>
        </w:pBdr>
        <w:spacing w:after="200" w:before="380"/>
      </w:pPr>
      <w:r>
        <w:rPr>
          <w:rFonts w:ascii="Calibri" w:cs="Calibri" w:eastAsia="Calibri" w:hAnsi="Calibri"/>
          <w:b/>
          <w:bCs/>
          <w:color w:val="1F3864"/>
          <w:sz w:val="30"/>
          <w:szCs w:val="30"/>
        </w:rPr>
        <w:t xml:space="preserve">4. Optimized Process — TO-BE Workflow</w:t>
      </w:r>
    </w:p>
    <w:p>
      <w:pPr>
        <w:spacing w:after="160" w:before="0" w:line="276"/>
        <w:jc w:val="both"/>
      </w:pPr>
      <w:r>
        <w:rPr>
          <w:rFonts w:ascii="Calibri" w:cs="Calibri" w:eastAsia="Calibri" w:hAnsi="Calibri"/>
          <w:b w:val="false"/>
          <w:bCs w:val="false"/>
          <w:i w:val="false"/>
          <w:iCs w:val="false"/>
          <w:color w:val="1A1A1A"/>
          <w:sz w:val="22"/>
          <w:szCs w:val="22"/>
        </w:rPr>
        <w:t xml:space="preserve">The redesigned process keeps the same business outcome but automates extraction, verification and routing, while preserving human validation for anomalies and for invoices above the financial threshold.</w:t>
      </w:r>
    </w:p>
    <w:p>
      <w:pPr>
        <w:spacing w:after="160" w:before="160"/>
        <w:jc w:val="center"/>
      </w:pPr>
      <w:r>
        <w:drawing>
          <wp:inline distT="0" distB="0" distL="0" distR="0">
            <wp:extent cx="5124450" cy="767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24450" cy="7677150"/>
                    </a:xfrm>
                    <a:prstGeom prst="rect">
                      <a:avLst/>
                    </a:prstGeom>
                  </pic:spPr>
                </pic:pic>
              </a:graphicData>
            </a:graphic>
          </wp:inline>
        </w:drawing>
      </w:r>
    </w:p>
    <w:p>
      <w:pPr>
        <w:spacing w:after="260"/>
        <w:jc w:val="center"/>
      </w:pPr>
      <w:r>
        <w:rPr>
          <w:rFonts w:ascii="Calibri" w:cs="Calibri" w:eastAsia="Calibri" w:hAnsi="Calibri"/>
          <w:i/>
          <w:iCs/>
          <w:color w:val="404040"/>
          <w:sz w:val="18"/>
          <w:szCs w:val="18"/>
        </w:rPr>
        <w:t xml:space="preserve">Figure 2 — TO-BE workflow: AI-assisted extraction with rule-based routing and human validation where it matters.</w:t>
      </w:r>
    </w:p>
    <w:p>
      <w:pPr>
        <w:pStyle w:val="Heading2"/>
        <w:spacing w:after="140" w:before="280"/>
      </w:pPr>
      <w:r>
        <w:rPr>
          <w:rFonts w:ascii="Calibri" w:cs="Calibri" w:eastAsia="Calibri" w:hAnsi="Calibri"/>
          <w:b/>
          <w:bCs/>
          <w:color w:val="2F5597"/>
          <w:sz w:val="25"/>
          <w:szCs w:val="25"/>
        </w:rPr>
        <w:t xml:space="preserve">4.1 Automations Implemented</w:t>
      </w:r>
    </w:p>
    <w:p>
      <w:pPr>
        <w:spacing w:after="100" w:before="200"/>
      </w:pPr>
      <w:r>
        <w:rPr>
          <w:rFonts w:ascii="Calibri" w:cs="Calibri" w:eastAsia="Calibri" w:hAnsi="Calibri"/>
          <w:b/>
          <w:bCs/>
          <w:color w:val="C65911"/>
          <w:sz w:val="22"/>
          <w:szCs w:val="22"/>
        </w:rPr>
        <w:t xml:space="preserve">Automation 1 — Reception</w:t>
      </w:r>
    </w:p>
    <w:p>
      <w:pPr>
        <w:spacing w:after="160" w:before="0" w:line="276"/>
        <w:jc w:val="both"/>
      </w:pPr>
      <w:r>
        <w:rPr>
          <w:rFonts w:ascii="Calibri" w:cs="Calibri" w:eastAsia="Calibri" w:hAnsi="Calibri"/>
          <w:b w:val="false"/>
          <w:bCs w:val="false"/>
          <w:i w:val="false"/>
          <w:iCs w:val="false"/>
          <w:color w:val="1A1A1A"/>
          <w:sz w:val="22"/>
          <w:szCs w:val="22"/>
        </w:rPr>
        <w:t xml:space="preserve">The system automatically detects a new incoming invoice as soon as it is emailed or uploaded, removing the need for manual monitoring of a shared inbox.</w:t>
      </w:r>
    </w:p>
    <w:p>
      <w:pPr>
        <w:spacing w:after="100" w:before="200"/>
      </w:pPr>
      <w:r>
        <w:rPr>
          <w:rFonts w:ascii="Calibri" w:cs="Calibri" w:eastAsia="Calibri" w:hAnsi="Calibri"/>
          <w:b/>
          <w:bCs/>
          <w:color w:val="C65911"/>
          <w:sz w:val="22"/>
          <w:szCs w:val="22"/>
        </w:rPr>
        <w:t xml:space="preserve">Automation 2 — Extraction (OCR + AI)</w:t>
      </w:r>
    </w:p>
    <w:p>
      <w:pPr>
        <w:spacing w:after="160" w:before="0" w:line="276"/>
        <w:jc w:val="both"/>
      </w:pPr>
      <w:r>
        <w:rPr>
          <w:rFonts w:ascii="Calibri" w:cs="Calibri" w:eastAsia="Calibri" w:hAnsi="Calibri"/>
          <w:b w:val="false"/>
          <w:bCs w:val="false"/>
          <w:i w:val="false"/>
          <w:iCs w:val="false"/>
          <w:color w:val="1A1A1A"/>
          <w:sz w:val="22"/>
          <w:szCs w:val="22"/>
        </w:rPr>
        <w:t xml:space="preserve">OCR combined with an AI/LLM layer extracts structured data directly from the PDF or scanned image, for example: supplier name, invoice number, net amount, VAT and gross amount, without any manual keying.</w:t>
      </w:r>
    </w:p>
    <w:p>
      <w:pPr>
        <w:spacing w:after="100" w:before="200"/>
      </w:pPr>
      <w:r>
        <w:rPr>
          <w:rFonts w:ascii="Calibri" w:cs="Calibri" w:eastAsia="Calibri" w:hAnsi="Calibri"/>
          <w:b/>
          <w:bCs/>
          <w:color w:val="C65911"/>
          <w:sz w:val="22"/>
          <w:szCs w:val="22"/>
        </w:rPr>
        <w:t xml:space="preserve">Automation 3 — Verification</w:t>
      </w:r>
    </w:p>
    <w:p>
      <w:pPr>
        <w:spacing w:after="160" w:before="0" w:line="276"/>
        <w:jc w:val="both"/>
      </w:pPr>
      <w:r>
        <w:rPr>
          <w:rFonts w:ascii="Calibri" w:cs="Calibri" w:eastAsia="Calibri" w:hAnsi="Calibri"/>
          <w:b w:val="false"/>
          <w:bCs w:val="false"/>
          <w:i w:val="false"/>
          <w:iCs w:val="false"/>
          <w:color w:val="1A1A1A"/>
          <w:sz w:val="22"/>
          <w:szCs w:val="22"/>
        </w:rPr>
        <w:t xml:space="preserve">The system automatically checks that mandatory fields are present, that net amount + VAT equals the gross amount, that the supplier exists in the master data, that the invoice is not a duplicate, and that the purchase-order reference is valid.</w:t>
      </w:r>
    </w:p>
    <w:p>
      <w:pPr>
        <w:spacing w:after="100" w:before="200"/>
      </w:pPr>
      <w:r>
        <w:rPr>
          <w:rFonts w:ascii="Calibri" w:cs="Calibri" w:eastAsia="Calibri" w:hAnsi="Calibri"/>
          <w:b/>
          <w:bCs/>
          <w:color w:val="C65911"/>
          <w:sz w:val="22"/>
          <w:szCs w:val="22"/>
        </w:rPr>
        <w:t xml:space="preserve">Automation 4 — Routing</w:t>
      </w:r>
    </w:p>
    <w:p>
      <w:pPr>
        <w:spacing w:after="160" w:before="0" w:line="276"/>
        <w:jc w:val="both"/>
      </w:pPr>
      <w:r>
        <w:rPr>
          <w:rFonts w:ascii="Calibri" w:cs="Calibri" w:eastAsia="Calibri" w:hAnsi="Calibri"/>
          <w:b w:val="false"/>
          <w:bCs w:val="false"/>
          <w:i w:val="false"/>
          <w:iCs w:val="false"/>
          <w:color w:val="1A1A1A"/>
          <w:sz w:val="22"/>
          <w:szCs w:val="22"/>
        </w:rPr>
        <w:t xml:space="preserve">Based on the business rule, invoices at or below 2,000 TND are routed to the accountant for validation; invoices above 2,000 TND are routed to the Financial Manager for an additional approval.</w:t>
      </w:r>
    </w:p>
    <w:p>
      <w:pPr>
        <w:spacing w:after="100" w:before="200"/>
      </w:pPr>
      <w:r>
        <w:rPr>
          <w:rFonts w:ascii="Calibri" w:cs="Calibri" w:eastAsia="Calibri" w:hAnsi="Calibri"/>
          <w:b/>
          <w:bCs/>
          <w:color w:val="C65911"/>
          <w:sz w:val="22"/>
          <w:szCs w:val="22"/>
        </w:rPr>
        <w:t xml:space="preserve">Automation 5 — Archiving</w:t>
      </w:r>
    </w:p>
    <w:p>
      <w:pPr>
        <w:spacing w:after="160" w:before="0" w:line="276"/>
        <w:jc w:val="both"/>
      </w:pPr>
      <w:r>
        <w:rPr>
          <w:rFonts w:ascii="Calibri" w:cs="Calibri" w:eastAsia="Calibri" w:hAnsi="Calibri"/>
          <w:b w:val="false"/>
          <w:bCs w:val="false"/>
          <w:i w:val="false"/>
          <w:iCs w:val="false"/>
          <w:color w:val="1A1A1A"/>
          <w:sz w:val="22"/>
          <w:szCs w:val="22"/>
        </w:rPr>
        <w:t xml:space="preserve">Once validated, the invoice is written to the database and archived automatically, with no manual filing step.</w:t>
      </w:r>
    </w:p>
    <w:p>
      <w:pPr>
        <w:pStyle w:val="Heading1"/>
        <w:pBdr>
          <w:bottom w:val="single" w:color="2F5597" w:sz="8" w:space="4"/>
        </w:pBdr>
        <w:spacing w:after="200" w:before="380"/>
      </w:pPr>
      <w:r>
        <w:rPr>
          <w:rFonts w:ascii="Calibri" w:cs="Calibri" w:eastAsia="Calibri" w:hAnsi="Calibri"/>
          <w:b/>
          <w:bCs/>
          <w:color w:val="1F3864"/>
          <w:sz w:val="30"/>
          <w:szCs w:val="30"/>
        </w:rPr>
        <w:t xml:space="preserve">5. KPIs and Justification</w:t>
      </w:r>
    </w:p>
    <w:p>
      <w:pPr>
        <w:spacing w:after="160" w:before="0" w:line="276"/>
        <w:jc w:val="both"/>
      </w:pPr>
      <w:r>
        <w:rPr>
          <w:rFonts w:ascii="Calibri" w:cs="Calibri" w:eastAsia="Calibri" w:hAnsi="Calibri"/>
          <w:b w:val="false"/>
          <w:bCs w:val="false"/>
          <w:i w:val="false"/>
          <w:iCs w:val="false"/>
          <w:color w:val="1A1A1A"/>
          <w:sz w:val="22"/>
          <w:szCs w:val="22"/>
        </w:rPr>
        <w:t xml:space="preserve">The business case rests on simulation hypotheses, stated explicitly: 1,000 invoices/month; 12 minutes to process one invoice manually; 4 minutes after automation; a fully-loaded labor cost of 20 TND/hour; a current error rate of 5%, reduced to 1% after automation; and an average cost of 15 TND to correct one error. Four KPI families are used to justify the automation: Time Saved, Error Reduction, Employee Satisfaction and Cost Reduction.</w:t>
      </w:r>
    </w:p>
    <w:p>
      <w:pPr>
        <w:spacing w:after="260"/>
      </w:pP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425"/>
        <w:gridCol w:w="2425"/>
        <w:gridCol w:w="2425"/>
        <w:gridCol w:w="2425"/>
      </w:tblGrid>
      <w:tr>
        <w:tc>
          <w:tcPr>
            <w:tcW w:type="pct" w:w="25%"/>
            <w:shd w:fill="F2F2F2" w:val="clear"/>
            <w:tcMar>
              <w:top w:type="dxa" w:w="160"/>
              <w:left w:type="dxa" w:w="140"/>
              <w:bottom w:type="dxa" w:w="160"/>
              <w:right w:type="dxa" w:w="140"/>
            </w:tcMar>
            <w:vAlign w:val="center"/>
          </w:tcPr>
          <w:p>
            <w:pPr>
              <w:spacing w:after="40"/>
              <w:jc w:val="center"/>
            </w:pPr>
            <w:r>
              <w:rPr>
                <w:rFonts w:ascii="Calibri" w:cs="Calibri" w:eastAsia="Calibri" w:hAnsi="Calibri"/>
                <w:b/>
                <w:bCs/>
                <w:color w:val="404040"/>
                <w:sz w:val="18"/>
                <w:szCs w:val="18"/>
              </w:rPr>
              <w:t xml:space="preserve">TIME SAVED</w:t>
            </w:r>
          </w:p>
          <w:p>
            <w:pPr>
              <w:spacing w:after="40"/>
              <w:jc w:val="center"/>
            </w:pPr>
            <w:r>
              <w:rPr>
                <w:rFonts w:ascii="Calibri" w:cs="Calibri" w:eastAsia="Calibri" w:hAnsi="Calibri"/>
                <w:b/>
                <w:bCs/>
                <w:color w:val="2F5597"/>
                <w:sz w:val="30"/>
                <w:szCs w:val="30"/>
              </w:rPr>
              <w:t xml:space="preserve">-66.7%</w:t>
            </w:r>
          </w:p>
          <w:p>
            <w:pPr>
              <w:jc w:val="center"/>
            </w:pPr>
            <w:r>
              <w:rPr>
                <w:rFonts w:ascii="Calibri" w:cs="Calibri" w:eastAsia="Calibri" w:hAnsi="Calibri"/>
                <w:i/>
                <w:iCs/>
                <w:color w:val="404040"/>
                <w:sz w:val="16"/>
                <w:szCs w:val="16"/>
              </w:rPr>
              <w:t xml:space="preserve">133.3 h / month</w:t>
            </w:r>
          </w:p>
        </w:tc>
        <w:tc>
          <w:tcPr>
            <w:tcW w:type="pct" w:w="25%"/>
            <w:shd w:fill="F2F2F2" w:val="clear"/>
            <w:tcMar>
              <w:top w:type="dxa" w:w="160"/>
              <w:left w:type="dxa" w:w="140"/>
              <w:bottom w:type="dxa" w:w="160"/>
              <w:right w:type="dxa" w:w="140"/>
            </w:tcMar>
            <w:vAlign w:val="center"/>
          </w:tcPr>
          <w:p>
            <w:pPr>
              <w:spacing w:after="40"/>
              <w:jc w:val="center"/>
            </w:pPr>
            <w:r>
              <w:rPr>
                <w:rFonts w:ascii="Calibri" w:cs="Calibri" w:eastAsia="Calibri" w:hAnsi="Calibri"/>
                <w:b/>
                <w:bCs/>
                <w:color w:val="404040"/>
                <w:sz w:val="18"/>
                <w:szCs w:val="18"/>
              </w:rPr>
              <w:t xml:space="preserve">ERROR REDUCTION</w:t>
            </w:r>
          </w:p>
          <w:p>
            <w:pPr>
              <w:spacing w:after="40"/>
              <w:jc w:val="center"/>
            </w:pPr>
            <w:r>
              <w:rPr>
                <w:rFonts w:ascii="Calibri" w:cs="Calibri" w:eastAsia="Calibri" w:hAnsi="Calibri"/>
                <w:b/>
                <w:bCs/>
                <w:color w:val="C65911"/>
                <w:sz w:val="30"/>
                <w:szCs w:val="30"/>
              </w:rPr>
              <w:t xml:space="preserve">-80%</w:t>
            </w:r>
          </w:p>
          <w:p>
            <w:pPr>
              <w:jc w:val="center"/>
            </w:pPr>
            <w:r>
              <w:rPr>
                <w:rFonts w:ascii="Calibri" w:cs="Calibri" w:eastAsia="Calibri" w:hAnsi="Calibri"/>
                <w:i/>
                <w:iCs/>
                <w:color w:val="404040"/>
                <w:sz w:val="16"/>
                <w:szCs w:val="16"/>
              </w:rPr>
              <w:t xml:space="preserve">40 fewer errors / month</w:t>
            </w:r>
          </w:p>
        </w:tc>
        <w:tc>
          <w:tcPr>
            <w:tcW w:type="pct" w:w="25%"/>
            <w:shd w:fill="F2F2F2" w:val="clear"/>
            <w:tcMar>
              <w:top w:type="dxa" w:w="160"/>
              <w:left w:type="dxa" w:w="140"/>
              <w:bottom w:type="dxa" w:w="160"/>
              <w:right w:type="dxa" w:w="140"/>
            </w:tcMar>
            <w:vAlign w:val="center"/>
          </w:tcPr>
          <w:p>
            <w:pPr>
              <w:spacing w:after="40"/>
              <w:jc w:val="center"/>
            </w:pPr>
            <w:r>
              <w:rPr>
                <w:rFonts w:ascii="Calibri" w:cs="Calibri" w:eastAsia="Calibri" w:hAnsi="Calibri"/>
                <w:b/>
                <w:bCs/>
                <w:color w:val="404040"/>
                <w:sz w:val="18"/>
                <w:szCs w:val="18"/>
              </w:rPr>
              <w:t xml:space="preserve">COST REDUCTION</w:t>
            </w:r>
          </w:p>
          <w:p>
            <w:pPr>
              <w:spacing w:after="40"/>
              <w:jc w:val="center"/>
            </w:pPr>
            <w:r>
              <w:rPr>
                <w:rFonts w:ascii="Calibri" w:cs="Calibri" w:eastAsia="Calibri" w:hAnsi="Calibri"/>
                <w:b/>
                <w:bCs/>
                <w:color w:val="2E7D32"/>
                <w:sz w:val="30"/>
                <w:szCs w:val="30"/>
              </w:rPr>
              <w:t xml:space="preserve">2,667 TND</w:t>
            </w:r>
          </w:p>
          <w:p>
            <w:pPr>
              <w:jc w:val="center"/>
            </w:pPr>
            <w:r>
              <w:rPr>
                <w:rFonts w:ascii="Calibri" w:cs="Calibri" w:eastAsia="Calibri" w:hAnsi="Calibri"/>
                <w:i/>
                <w:iCs/>
                <w:color w:val="404040"/>
                <w:sz w:val="16"/>
                <w:szCs w:val="16"/>
              </w:rPr>
              <w:t xml:space="preserve">saved per month</w:t>
            </w:r>
          </w:p>
        </w:tc>
        <w:tc>
          <w:tcPr>
            <w:tcW w:type="pct" w:w="25%"/>
            <w:shd w:fill="F2F2F2" w:val="clear"/>
            <w:tcMar>
              <w:top w:type="dxa" w:w="160"/>
              <w:left w:type="dxa" w:w="140"/>
              <w:bottom w:type="dxa" w:w="160"/>
              <w:right w:type="dxa" w:w="140"/>
            </w:tcMar>
            <w:vAlign w:val="center"/>
          </w:tcPr>
          <w:p>
            <w:pPr>
              <w:spacing w:after="40"/>
              <w:jc w:val="center"/>
            </w:pPr>
            <w:r>
              <w:rPr>
                <w:rFonts w:ascii="Calibri" w:cs="Calibri" w:eastAsia="Calibri" w:hAnsi="Calibri"/>
                <w:b/>
                <w:bCs/>
                <w:color w:val="404040"/>
                <w:sz w:val="18"/>
                <w:szCs w:val="18"/>
              </w:rPr>
              <w:t xml:space="preserve">SATISFACTION</w:t>
            </w:r>
          </w:p>
          <w:p>
            <w:pPr>
              <w:spacing w:after="40"/>
              <w:jc w:val="center"/>
            </w:pPr>
            <w:r>
              <w:rPr>
                <w:rFonts w:ascii="Calibri" w:cs="Calibri" w:eastAsia="Calibri" w:hAnsi="Calibri"/>
                <w:b/>
                <w:bCs/>
                <w:color w:val="7030A0"/>
                <w:sz w:val="30"/>
                <w:szCs w:val="30"/>
              </w:rPr>
              <w:t xml:space="preserve">+1.2 pt</w:t>
            </w:r>
          </w:p>
          <w:p>
            <w:pPr>
              <w:jc w:val="center"/>
            </w:pPr>
            <w:r>
              <w:rPr>
                <w:rFonts w:ascii="Calibri" w:cs="Calibri" w:eastAsia="Calibri" w:hAnsi="Calibri"/>
                <w:i/>
                <w:iCs/>
                <w:color w:val="404040"/>
                <w:sz w:val="16"/>
                <w:szCs w:val="16"/>
              </w:rPr>
              <w:t xml:space="preserve">target, 3.0 → 4.2 / 5</w:t>
            </w:r>
          </w:p>
        </w:tc>
      </w:tr>
    </w:tbl>
    <w:p>
      <w:pPr>
        <w:spacing w:after="260"/>
      </w:pPr>
    </w:p>
    <w:p>
      <w:pPr>
        <w:pStyle w:val="Heading2"/>
        <w:spacing w:after="140" w:before="280"/>
      </w:pPr>
      <w:r>
        <w:rPr>
          <w:rFonts w:ascii="Calibri" w:cs="Calibri" w:eastAsia="Calibri" w:hAnsi="Calibri"/>
          <w:b/>
          <w:bCs/>
          <w:color w:val="2F5597"/>
          <w:sz w:val="25"/>
          <w:szCs w:val="25"/>
        </w:rPr>
        <w:t xml:space="preserve">5.1 KPI 1 — Time Saved</w:t>
      </w:r>
    </w:p>
    <w:p>
      <w:pPr>
        <w:pStyle w:val="ListParagraph"/>
        <w:numPr>
          <w:ilvl w:val="0"/>
          <w:numId w:val="2"/>
        </w:numPr>
        <w:spacing w:after="90"/>
      </w:pPr>
      <w:r>
        <w:rPr>
          <w:rFonts w:ascii="Calibri" w:cs="Calibri" w:eastAsia="Calibri" w:hAnsi="Calibri"/>
          <w:b w:val="false"/>
          <w:bCs w:val="false"/>
          <w:color w:val="1A1A1A"/>
          <w:sz w:val="22"/>
          <w:szCs w:val="22"/>
        </w:rPr>
        <w:t xml:space="preserve">Before: 1,000 invoices × 12 min = 12,000 min = 200 hours / month.</w:t>
      </w:r>
    </w:p>
    <w:p>
      <w:pPr>
        <w:pStyle w:val="ListParagraph"/>
        <w:numPr>
          <w:ilvl w:val="0"/>
          <w:numId w:val="2"/>
        </w:numPr>
        <w:spacing w:after="90"/>
      </w:pPr>
      <w:r>
        <w:rPr>
          <w:rFonts w:ascii="Calibri" w:cs="Calibri" w:eastAsia="Calibri" w:hAnsi="Calibri"/>
          <w:b w:val="false"/>
          <w:bCs w:val="false"/>
          <w:color w:val="1A1A1A"/>
          <w:sz w:val="22"/>
          <w:szCs w:val="22"/>
        </w:rPr>
        <w:t xml:space="preserve">After: 1,000 invoices × 4 min = 4,000 min = 66.67 hours / month.</w:t>
      </w:r>
    </w:p>
    <w:p>
      <w:pPr>
        <w:pStyle w:val="ListParagraph"/>
        <w:numPr>
          <w:ilvl w:val="0"/>
          <w:numId w:val="2"/>
        </w:numPr>
        <w:spacing w:after="90"/>
      </w:pPr>
      <w:r>
        <w:rPr>
          <w:rFonts w:ascii="Calibri" w:cs="Calibri" w:eastAsia="Calibri" w:hAnsi="Calibri"/>
          <w:b w:val="false"/>
          <w:bCs w:val="false"/>
          <w:color w:val="1A1A1A"/>
          <w:sz w:val="22"/>
          <w:szCs w:val="22"/>
        </w:rPr>
        <w:t xml:space="preserve">Time saved: 200 − 66.67 = 133.33 hours / month → about 1,600 hours saved per year.</w:t>
      </w:r>
    </w:p>
    <w:p>
      <w:pPr>
        <w:pStyle w:val="ListParagraph"/>
        <w:numPr>
          <w:ilvl w:val="0"/>
          <w:numId w:val="2"/>
        </w:numPr>
        <w:spacing w:after="90"/>
      </w:pPr>
      <w:r>
        <w:rPr>
          <w:rFonts w:ascii="Calibri" w:cs="Calibri" w:eastAsia="Calibri" w:hAnsi="Calibri"/>
          <w:b w:val="false"/>
          <w:bCs w:val="false"/>
          <w:color w:val="1A1A1A"/>
          <w:sz w:val="22"/>
          <w:szCs w:val="22"/>
        </w:rPr>
        <w:t xml:space="preserve">Relative time reduction: 66.7%.</w:t>
      </w:r>
    </w:p>
    <w:p>
      <w:pPr>
        <w:pStyle w:val="Heading2"/>
        <w:spacing w:after="140" w:before="280"/>
      </w:pPr>
      <w:r>
        <w:rPr>
          <w:rFonts w:ascii="Calibri" w:cs="Calibri" w:eastAsia="Calibri" w:hAnsi="Calibri"/>
          <w:b/>
          <w:bCs/>
          <w:color w:val="2F5597"/>
          <w:sz w:val="25"/>
          <w:szCs w:val="25"/>
        </w:rPr>
        <w:t xml:space="preserve">5.2 KPI 2 — Error Reduction</w:t>
      </w:r>
    </w:p>
    <w:p>
      <w:pPr>
        <w:pStyle w:val="ListParagraph"/>
        <w:numPr>
          <w:ilvl w:val="0"/>
          <w:numId w:val="2"/>
        </w:numPr>
        <w:spacing w:after="90"/>
      </w:pPr>
      <w:r>
        <w:rPr>
          <w:rFonts w:ascii="Calibri" w:cs="Calibri" w:eastAsia="Calibri" w:hAnsi="Calibri"/>
          <w:b w:val="false"/>
          <w:bCs w:val="false"/>
          <w:color w:val="1A1A1A"/>
          <w:sz w:val="22"/>
          <w:szCs w:val="22"/>
        </w:rPr>
        <w:t xml:space="preserve">Before: 5% × 1,000 = 50 errors / month.</w:t>
      </w:r>
    </w:p>
    <w:p>
      <w:pPr>
        <w:pStyle w:val="ListParagraph"/>
        <w:numPr>
          <w:ilvl w:val="0"/>
          <w:numId w:val="2"/>
        </w:numPr>
        <w:spacing w:after="90"/>
      </w:pPr>
      <w:r>
        <w:rPr>
          <w:rFonts w:ascii="Calibri" w:cs="Calibri" w:eastAsia="Calibri" w:hAnsi="Calibri"/>
          <w:b w:val="false"/>
          <w:bCs w:val="false"/>
          <w:color w:val="1A1A1A"/>
          <w:sz w:val="22"/>
          <w:szCs w:val="22"/>
        </w:rPr>
        <w:t xml:space="preserve">After: 1% × 1,000 = 10 errors / month.</w:t>
      </w:r>
    </w:p>
    <w:p>
      <w:pPr>
        <w:pStyle w:val="ListParagraph"/>
        <w:numPr>
          <w:ilvl w:val="0"/>
          <w:numId w:val="2"/>
        </w:numPr>
        <w:spacing w:after="90"/>
      </w:pPr>
      <w:r>
        <w:rPr>
          <w:rFonts w:ascii="Calibri" w:cs="Calibri" w:eastAsia="Calibri" w:hAnsi="Calibri"/>
          <w:b w:val="false"/>
          <w:bCs w:val="false"/>
          <w:color w:val="1A1A1A"/>
          <w:sz w:val="22"/>
          <w:szCs w:val="22"/>
        </w:rPr>
        <w:t xml:space="preserve">Errors avoided: 40 / month → about 480 errors avoided per year.</w:t>
      </w:r>
    </w:p>
    <w:p>
      <w:pPr>
        <w:pStyle w:val="ListParagraph"/>
        <w:numPr>
          <w:ilvl w:val="0"/>
          <w:numId w:val="2"/>
        </w:numPr>
        <w:spacing w:after="90"/>
      </w:pPr>
      <w:r>
        <w:rPr>
          <w:rFonts w:ascii="Calibri" w:cs="Calibri" w:eastAsia="Calibri" w:hAnsi="Calibri"/>
          <w:b w:val="false"/>
          <w:bCs w:val="false"/>
          <w:color w:val="1A1A1A"/>
          <w:sz w:val="22"/>
          <w:szCs w:val="22"/>
        </w:rPr>
        <w:t xml:space="preserve">Error-rate reduction: 80%.</w:t>
      </w:r>
    </w:p>
    <w:p>
      <w:pPr>
        <w:pStyle w:val="Heading2"/>
        <w:spacing w:after="140" w:before="280"/>
      </w:pPr>
      <w:r>
        <w:rPr>
          <w:rFonts w:ascii="Calibri" w:cs="Calibri" w:eastAsia="Calibri" w:hAnsi="Calibri"/>
          <w:b/>
          <w:bCs/>
          <w:color w:val="2F5597"/>
          <w:sz w:val="25"/>
          <w:szCs w:val="25"/>
        </w:rPr>
        <w:t xml:space="preserve">5.3 KPI 3 — Employee Satisfaction</w:t>
      </w:r>
    </w:p>
    <w:p>
      <w:pPr>
        <w:spacing w:after="160" w:before="0" w:line="276"/>
        <w:jc w:val="both"/>
      </w:pPr>
      <w:r>
        <w:rPr>
          <w:rFonts w:ascii="Calibri" w:cs="Calibri" w:eastAsia="Calibri" w:hAnsi="Calibri"/>
          <w:b w:val="false"/>
          <w:bCs w:val="false"/>
          <w:i w:val="false"/>
          <w:iCs w:val="false"/>
          <w:color w:val="1A1A1A"/>
          <w:sz w:val="22"/>
          <w:szCs w:val="22"/>
        </w:rPr>
        <w:t xml:space="preserve">Reducing headcount pressure is not the only goal — staff experience matters. Satisfaction can be tracked with a simple 1-to-5 survey administered before and after rollout.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4000"/>
        <w:gridCol w:w="2850"/>
        <w:gridCol w:w="2850"/>
      </w:tblGrid>
      <w:tr>
        <w:trPr>
          <w:tblHeader/>
        </w:trPr>
        <w:tc>
          <w:tcPr>
            <w:tcW w:type="dxa" w:w="40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Indicator</w:t>
            </w:r>
          </w:p>
        </w:tc>
        <w:tc>
          <w:tcPr>
            <w:tcW w:type="dxa" w:w="285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Before</w:t>
            </w:r>
          </w:p>
        </w:tc>
        <w:tc>
          <w:tcPr>
            <w:tcW w:type="dxa" w:w="285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Target after</w:t>
            </w:r>
          </w:p>
        </w:tc>
      </w:tr>
      <w:tr>
        <w:tc>
          <w:tcPr>
            <w:tcW w:type="dxa" w:w="4000"/>
            <w:shd w:fill="F7F9FC"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Average satisfaction score</w:t>
            </w:r>
          </w:p>
        </w:tc>
        <w:tc>
          <w:tcPr>
            <w:tcW w:type="dxa" w:w="2850"/>
            <w:shd w:fill="F7F9FC"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3.0 / 5</w:t>
            </w:r>
          </w:p>
        </w:tc>
        <w:tc>
          <w:tcPr>
            <w:tcW w:type="dxa" w:w="2850"/>
            <w:shd w:fill="F7F9FC"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4.2 / 5</w:t>
            </w:r>
          </w:p>
        </w:tc>
      </w:tr>
      <w:tr>
        <w:tc>
          <w:tcPr>
            <w:tcW w:type="dxa" w:w="40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Manual, repetitive tasks</w:t>
            </w:r>
          </w:p>
        </w:tc>
        <w:tc>
          <w:tcPr>
            <w:tcW w:type="dxa" w:w="285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High</w:t>
            </w:r>
          </w:p>
        </w:tc>
        <w:tc>
          <w:tcPr>
            <w:tcW w:type="dxa" w:w="285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Low</w:t>
            </w:r>
          </w:p>
        </w:tc>
      </w:tr>
      <w:tr>
        <w:tc>
          <w:tcPr>
            <w:tcW w:type="dxa" w:w="4000"/>
            <w:shd w:fill="F7F9FC"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Time spent on data entry</w:t>
            </w:r>
          </w:p>
        </w:tc>
        <w:tc>
          <w:tcPr>
            <w:tcW w:type="dxa" w:w="2850"/>
            <w:shd w:fill="F7F9FC"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High</w:t>
            </w:r>
          </w:p>
        </w:tc>
        <w:tc>
          <w:tcPr>
            <w:tcW w:type="dxa" w:w="2850"/>
            <w:shd w:fill="F7F9FC"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Reduced</w:t>
            </w:r>
          </w:p>
        </w:tc>
      </w:tr>
    </w:tbl>
    <w:p>
      <w:pPr>
        <w:spacing w:after="200" w:before="0" w:line="276"/>
        <w:jc w:val="both"/>
      </w:pPr>
      <w:r>
        <w:rPr>
          <w:rFonts w:ascii="Calibri" w:cs="Calibri" w:eastAsia="Calibri" w:hAnsi="Calibri"/>
          <w:b w:val="false"/>
          <w:bCs w:val="false"/>
          <w:i/>
          <w:iCs/>
          <w:color w:val="1A1A1A"/>
          <w:sz w:val="22"/>
          <w:szCs w:val="22"/>
        </w:rPr>
        <w:t xml:space="preserve">Target improvement: +1.2 point, i.e. roughly +40% on the relative scale. This KPI is a pilot objective and should be measured with a real survey rather than presented as an already-achieved result.</w:t>
      </w:r>
    </w:p>
    <w:p>
      <w:pPr>
        <w:pStyle w:val="Heading2"/>
        <w:spacing w:after="140" w:before="280"/>
      </w:pPr>
      <w:r>
        <w:rPr>
          <w:rFonts w:ascii="Calibri" w:cs="Calibri" w:eastAsia="Calibri" w:hAnsi="Calibri"/>
          <w:b/>
          <w:bCs/>
          <w:color w:val="2F5597"/>
          <w:sz w:val="25"/>
          <w:szCs w:val="25"/>
        </w:rPr>
        <w:t xml:space="preserve">5.4 KPI 4 — Cost Reduction</w:t>
      </w:r>
    </w:p>
    <w:p>
      <w:pPr>
        <w:spacing w:after="100" w:before="200"/>
      </w:pPr>
      <w:r>
        <w:rPr>
          <w:rFonts w:ascii="Calibri" w:cs="Calibri" w:eastAsia="Calibri" w:hAnsi="Calibri"/>
          <w:b/>
          <w:bCs/>
          <w:color w:val="C65911"/>
          <w:sz w:val="22"/>
          <w:szCs w:val="22"/>
        </w:rPr>
        <w:t xml:space="preserve">Labor cost</w:t>
      </w:r>
    </w:p>
    <w:p>
      <w:pPr>
        <w:pStyle w:val="ListParagraph"/>
        <w:numPr>
          <w:ilvl w:val="0"/>
          <w:numId w:val="2"/>
        </w:numPr>
        <w:spacing w:after="90"/>
      </w:pPr>
      <w:r>
        <w:rPr>
          <w:rFonts w:ascii="Calibri" w:cs="Calibri" w:eastAsia="Calibri" w:hAnsi="Calibri"/>
          <w:b w:val="false"/>
          <w:bCs w:val="false"/>
          <w:color w:val="1A1A1A"/>
          <w:sz w:val="22"/>
          <w:szCs w:val="22"/>
        </w:rPr>
        <w:t xml:space="preserve">Manual processing cost: 200 h × 20 TND = 4,000 TND / month.</w:t>
      </w:r>
    </w:p>
    <w:p>
      <w:pPr>
        <w:pStyle w:val="ListParagraph"/>
        <w:numPr>
          <w:ilvl w:val="0"/>
          <w:numId w:val="2"/>
        </w:numPr>
        <w:spacing w:after="90"/>
      </w:pPr>
      <w:r>
        <w:rPr>
          <w:rFonts w:ascii="Calibri" w:cs="Calibri" w:eastAsia="Calibri" w:hAnsi="Calibri"/>
          <w:b w:val="false"/>
          <w:bCs w:val="false"/>
          <w:color w:val="1A1A1A"/>
          <w:sz w:val="22"/>
          <w:szCs w:val="22"/>
        </w:rPr>
        <w:t xml:space="preserve">Cost after automation: 66.67 h × 20 TND ≈ 1,333.40 TND / month.</w:t>
      </w:r>
    </w:p>
    <w:p>
      <w:pPr>
        <w:pStyle w:val="ListParagraph"/>
        <w:numPr>
          <w:ilvl w:val="0"/>
          <w:numId w:val="2"/>
        </w:numPr>
        <w:spacing w:after="90"/>
      </w:pPr>
      <w:r>
        <w:rPr>
          <w:rFonts w:ascii="Calibri" w:cs="Calibri" w:eastAsia="Calibri" w:hAnsi="Calibri"/>
          <w:b w:val="false"/>
          <w:bCs w:val="false"/>
          <w:color w:val="1A1A1A"/>
          <w:sz w:val="22"/>
          <w:szCs w:val="22"/>
        </w:rPr>
        <w:t xml:space="preserve">Labor savings: 4,000 − 1,333.40 = 2,666.60 TND / month → about 32,000 TND / year.</w:t>
      </w:r>
    </w:p>
    <w:p>
      <w:pPr>
        <w:spacing w:after="100" w:before="200"/>
      </w:pPr>
      <w:r>
        <w:rPr>
          <w:rFonts w:ascii="Calibri" w:cs="Calibri" w:eastAsia="Calibri" w:hAnsi="Calibri"/>
          <w:b/>
          <w:bCs/>
          <w:color w:val="C65911"/>
          <w:sz w:val="22"/>
          <w:szCs w:val="22"/>
        </w:rPr>
        <w:t xml:space="preserve">Error-related cost</w:t>
      </w:r>
    </w:p>
    <w:p>
      <w:pPr>
        <w:pStyle w:val="ListParagraph"/>
        <w:numPr>
          <w:ilvl w:val="0"/>
          <w:numId w:val="2"/>
        </w:numPr>
        <w:spacing w:after="90"/>
      </w:pPr>
      <w:r>
        <w:rPr>
          <w:rFonts w:ascii="Calibri" w:cs="Calibri" w:eastAsia="Calibri" w:hAnsi="Calibri"/>
          <w:b w:val="false"/>
          <w:bCs w:val="false"/>
          <w:color w:val="1A1A1A"/>
          <w:sz w:val="22"/>
          <w:szCs w:val="22"/>
        </w:rPr>
        <w:t xml:space="preserve">Before: 50 errors × 15 TND = 750 TND / month.</w:t>
      </w:r>
    </w:p>
    <w:p>
      <w:pPr>
        <w:pStyle w:val="ListParagraph"/>
        <w:numPr>
          <w:ilvl w:val="0"/>
          <w:numId w:val="2"/>
        </w:numPr>
        <w:spacing w:after="90"/>
      </w:pPr>
      <w:r>
        <w:rPr>
          <w:rFonts w:ascii="Calibri" w:cs="Calibri" w:eastAsia="Calibri" w:hAnsi="Calibri"/>
          <w:b w:val="false"/>
          <w:bCs w:val="false"/>
          <w:color w:val="1A1A1A"/>
          <w:sz w:val="22"/>
          <w:szCs w:val="22"/>
        </w:rPr>
        <w:t xml:space="preserve">After: 10 errors × 15 TND = 150 TND / month.</w:t>
      </w:r>
    </w:p>
    <w:p>
      <w:pPr>
        <w:pStyle w:val="ListParagraph"/>
        <w:numPr>
          <w:ilvl w:val="0"/>
          <w:numId w:val="2"/>
        </w:numPr>
        <w:spacing w:after="90"/>
      </w:pPr>
      <w:r>
        <w:rPr>
          <w:rFonts w:ascii="Calibri" w:cs="Calibri" w:eastAsia="Calibri" w:hAnsi="Calibri"/>
          <w:b w:val="false"/>
          <w:bCs w:val="false"/>
          <w:color w:val="1A1A1A"/>
          <w:sz w:val="22"/>
          <w:szCs w:val="22"/>
        </w:rPr>
        <w:t xml:space="preserve">Savings: 600 TND / month → about 7,200 TND / year.</w:t>
      </w:r>
    </w:p>
    <w:p>
      <w:pPr>
        <w:spacing w:after="100" w:before="200"/>
      </w:pPr>
      <w:r>
        <w:rPr>
          <w:rFonts w:ascii="Calibri" w:cs="Calibri" w:eastAsia="Calibri" w:hAnsi="Calibri"/>
          <w:b/>
          <w:bCs/>
          <w:color w:val="C65911"/>
          <w:sz w:val="22"/>
          <w:szCs w:val="22"/>
        </w:rPr>
        <w:t xml:space="preserve">Gross Annual Benefit</w:t>
      </w:r>
    </w:p>
    <w:p>
      <w:pPr>
        <w:pStyle w:val="ListParagraph"/>
        <w:numPr>
          <w:ilvl w:val="0"/>
          <w:numId w:val="2"/>
        </w:numPr>
        <w:spacing w:after="90"/>
      </w:pPr>
      <w:r>
        <w:rPr>
          <w:rFonts w:ascii="Calibri" w:cs="Calibri" w:eastAsia="Calibri" w:hAnsi="Calibri"/>
          <w:b/>
          <w:bCs/>
          <w:color w:val="1A1A1A"/>
          <w:sz w:val="22"/>
          <w:szCs w:val="22"/>
        </w:rPr>
        <w:t xml:space="preserve">Time-related savings: 32,000 TND / year.</w:t>
      </w:r>
    </w:p>
    <w:p>
      <w:pPr>
        <w:pStyle w:val="ListParagraph"/>
        <w:numPr>
          <w:ilvl w:val="0"/>
          <w:numId w:val="2"/>
        </w:numPr>
        <w:spacing w:after="90"/>
      </w:pPr>
      <w:r>
        <w:rPr>
          <w:rFonts w:ascii="Calibri" w:cs="Calibri" w:eastAsia="Calibri" w:hAnsi="Calibri"/>
          <w:b/>
          <w:bCs/>
          <w:color w:val="1A1A1A"/>
          <w:sz w:val="22"/>
          <w:szCs w:val="22"/>
        </w:rPr>
        <w:t xml:space="preserve">Error-related savings: 7,200 TND / year.</w:t>
      </w:r>
    </w:p>
    <w:p>
      <w:pPr>
        <w:pStyle w:val="ListParagraph"/>
        <w:numPr>
          <w:ilvl w:val="0"/>
          <w:numId w:val="2"/>
        </w:numPr>
        <w:spacing w:after="90"/>
      </w:pPr>
      <w:r>
        <w:rPr>
          <w:rFonts w:ascii="Calibri" w:cs="Calibri" w:eastAsia="Calibri" w:hAnsi="Calibri"/>
          <w:b/>
          <w:bCs/>
          <w:color w:val="1A1A1A"/>
          <w:sz w:val="22"/>
          <w:szCs w:val="22"/>
        </w:rPr>
        <w:t xml:space="preserve">Gross annual benefit: 32,000 + 7,200 = 39,200 TND / year.</w:t>
      </w:r>
    </w:p>
    <w:p>
      <w:pPr>
        <w:pStyle w:val="Heading1"/>
        <w:pBdr>
          <w:bottom w:val="single" w:color="2F5597" w:sz="8" w:space="4"/>
        </w:pBdr>
        <w:spacing w:after="200" w:before="380"/>
      </w:pPr>
      <w:r>
        <w:rPr>
          <w:rFonts w:ascii="Calibri" w:cs="Calibri" w:eastAsia="Calibri" w:hAnsi="Calibri"/>
          <w:b/>
          <w:bCs/>
          <w:color w:val="1F3864"/>
          <w:sz w:val="30"/>
          <w:szCs w:val="30"/>
        </w:rPr>
        <w:t xml:space="preserve">6. Technical Feasibility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700"/>
        <w:gridCol w:w="3900"/>
        <w:gridCol w:w="2900"/>
      </w:tblGrid>
      <w:tr>
        <w:trPr>
          <w:tblHeader/>
        </w:trPr>
        <w:tc>
          <w:tcPr>
            <w:tcW w:type="dxa" w:w="27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Component</w:t>
            </w:r>
          </w:p>
        </w:tc>
        <w:tc>
          <w:tcPr>
            <w:tcW w:type="dxa" w:w="39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Technology</w:t>
            </w:r>
          </w:p>
        </w:tc>
        <w:tc>
          <w:tcPr>
            <w:tcW w:type="dxa" w:w="29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Feasibility</w:t>
            </w:r>
          </w:p>
        </w:tc>
      </w:tr>
      <w:tr>
        <w:tc>
          <w:tcPr>
            <w:tcW w:type="dxa" w:w="2700"/>
            <w:shd w:fill="F7F9FC"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Invoice reception</w:t>
            </w:r>
          </w:p>
        </w:tc>
        <w:tc>
          <w:tcPr>
            <w:tcW w:type="dxa" w:w="3900"/>
            <w:shd w:fill="F7F9FC"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Email / Upload</w:t>
            </w:r>
          </w:p>
        </w:tc>
        <w:tc>
          <w:tcPr>
            <w:tcW w:type="dxa" w:w="2900"/>
            <w:shd w:fill="F7F9FC"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High</w:t>
            </w:r>
          </w:p>
        </w:tc>
      </w:tr>
      <w:tr>
        <w:tc>
          <w:tcPr>
            <w:tcW w:type="dxa" w:w="27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OCR</w:t>
            </w:r>
          </w:p>
        </w:tc>
        <w:tc>
          <w:tcPr>
            <w:tcW w:type="dxa" w:w="39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Tesseract or a managed OCR service</w:t>
            </w:r>
          </w:p>
        </w:tc>
        <w:tc>
          <w:tcPr>
            <w:tcW w:type="dxa" w:w="29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High</w:t>
            </w:r>
          </w:p>
        </w:tc>
      </w:tr>
      <w:tr>
        <w:tc>
          <w:tcPr>
            <w:tcW w:type="dxa" w:w="2700"/>
            <w:shd w:fill="F7F9FC"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Data extraction</w:t>
            </w:r>
          </w:p>
        </w:tc>
        <w:tc>
          <w:tcPr>
            <w:tcW w:type="dxa" w:w="3900"/>
            <w:shd w:fill="F7F9FC"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LLM (AI)</w:t>
            </w:r>
          </w:p>
        </w:tc>
        <w:tc>
          <w:tcPr>
            <w:tcW w:type="dxa" w:w="2900"/>
            <w:shd w:fill="F7F9FC"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High</w:t>
            </w:r>
          </w:p>
        </w:tc>
      </w:tr>
      <w:tr>
        <w:tc>
          <w:tcPr>
            <w:tcW w:type="dxa" w:w="27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Workflow orchestration</w:t>
            </w:r>
          </w:p>
        </w:tc>
        <w:tc>
          <w:tcPr>
            <w:tcW w:type="dxa" w:w="39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n8n</w:t>
            </w:r>
          </w:p>
        </w:tc>
        <w:tc>
          <w:tcPr>
            <w:tcW w:type="dxa" w:w="29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High</w:t>
            </w:r>
          </w:p>
        </w:tc>
      </w:tr>
      <w:tr>
        <w:tc>
          <w:tcPr>
            <w:tcW w:type="dxa" w:w="2700"/>
            <w:shd w:fill="F7F9FC"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Database</w:t>
            </w:r>
          </w:p>
        </w:tc>
        <w:tc>
          <w:tcPr>
            <w:tcW w:type="dxa" w:w="3900"/>
            <w:shd w:fill="F7F9FC"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PostgreSQL</w:t>
            </w:r>
          </w:p>
        </w:tc>
        <w:tc>
          <w:tcPr>
            <w:tcW w:type="dxa" w:w="2900"/>
            <w:shd w:fill="F7F9FC"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High</w:t>
            </w:r>
          </w:p>
        </w:tc>
      </w:tr>
      <w:tr>
        <w:tc>
          <w:tcPr>
            <w:tcW w:type="dxa" w:w="27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Notifications</w:t>
            </w:r>
          </w:p>
        </w:tc>
        <w:tc>
          <w:tcPr>
            <w:tcW w:type="dxa" w:w="39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Email / Telegram</w:t>
            </w:r>
          </w:p>
        </w:tc>
        <w:tc>
          <w:tcPr>
            <w:tcW w:type="dxa" w:w="29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High</w:t>
            </w:r>
          </w:p>
        </w:tc>
      </w:tr>
      <w:tr>
        <w:tc>
          <w:tcPr>
            <w:tcW w:type="dxa" w:w="2700"/>
            <w:shd w:fill="F7F9FC"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Dashboard</w:t>
            </w:r>
          </w:p>
        </w:tc>
        <w:tc>
          <w:tcPr>
            <w:tcW w:type="dxa" w:w="3900"/>
            <w:shd w:fill="F7F9FC"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Grafana / Metabase</w:t>
            </w:r>
          </w:p>
        </w:tc>
        <w:tc>
          <w:tcPr>
            <w:tcW w:type="dxa" w:w="2900"/>
            <w:shd w:fill="F7F9FC"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High</w:t>
            </w:r>
          </w:p>
        </w:tc>
      </w:tr>
      <w:tr>
        <w:tc>
          <w:tcPr>
            <w:tcW w:type="dxa" w:w="27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Real ERP integration</w:t>
            </w:r>
          </w:p>
        </w:tc>
        <w:tc>
          <w:tcPr>
            <w:tcW w:type="dxa" w:w="39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API (Oracle / SAP / etc.)</w:t>
            </w:r>
          </w:p>
        </w:tc>
        <w:tc>
          <w:tcPr>
            <w:tcW w:type="dxa" w:w="29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Moderate — more complex</w:t>
            </w:r>
          </w:p>
        </w:tc>
      </w:tr>
    </w:tbl>
    <w:p>
      <w:pPr>
        <w:spacing w:after="160" w:before="160"/>
        <w:jc w:val="center"/>
      </w:pPr>
      <w:r>
        <w:drawing>
          <wp:inline distT="0" distB="0" distL="0" distR="0">
            <wp:extent cx="4572000" cy="475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4752975"/>
                    </a:xfrm>
                    <a:prstGeom prst="rect">
                      <a:avLst/>
                    </a:prstGeom>
                  </pic:spPr>
                </pic:pic>
              </a:graphicData>
            </a:graphic>
          </wp:inline>
        </w:drawing>
      </w:r>
    </w:p>
    <w:p>
      <w:pPr>
        <w:spacing w:after="260"/>
        <w:jc w:val="center"/>
      </w:pPr>
      <w:r>
        <w:rPr>
          <w:rFonts w:ascii="Calibri" w:cs="Calibri" w:eastAsia="Calibri" w:hAnsi="Calibri"/>
          <w:i/>
          <w:iCs/>
          <w:color w:val="404040"/>
          <w:sz w:val="18"/>
          <w:szCs w:val="18"/>
        </w:rPr>
        <w:t xml:space="preserve">Figure 3 — Proposed technical architecture.</w:t>
      </w:r>
    </w:p>
    <w:p>
      <w:pPr>
        <w:spacing w:after="160" w:before="0" w:line="276"/>
        <w:jc w:val="both"/>
      </w:pPr>
      <w:r>
        <w:rPr>
          <w:rFonts w:ascii="Calibri" w:cs="Calibri" w:eastAsia="Calibri" w:hAnsi="Calibri"/>
          <w:b w:val="false"/>
          <w:bCs w:val="false"/>
          <w:i w:val="false"/>
          <w:iCs w:val="false"/>
          <w:color w:val="1A1A1A"/>
          <w:sz w:val="22"/>
          <w:szCs w:val="22"/>
        </w:rPr>
        <w:t xml:space="preserve">The prototype is technically feasible with widely available, largely open-source technologies and can be built incrementally, automation by automation. The main technical difficulty is integration with a real ERP system, since it depends on the target company's APIs, security policies and infrastructure — this is the component most likely to require additional budget and time beyond the initial prototype.</w:t>
      </w:r>
    </w:p>
    <w:p>
      <w:pPr>
        <w:pStyle w:val="Heading1"/>
        <w:pBdr>
          <w:bottom w:val="single" w:color="2F5597" w:sz="8" w:space="4"/>
        </w:pBdr>
        <w:spacing w:after="200" w:before="380"/>
      </w:pPr>
      <w:r>
        <w:rPr>
          <w:rFonts w:ascii="Calibri" w:cs="Calibri" w:eastAsia="Calibri" w:hAnsi="Calibri"/>
          <w:b/>
          <w:bCs/>
          <w:color w:val="1F3864"/>
          <w:sz w:val="30"/>
          <w:szCs w:val="30"/>
        </w:rPr>
        <w:t xml:space="preserve">7. Financial Feasibility</w:t>
      </w:r>
    </w:p>
    <w:p>
      <w:pPr>
        <w:spacing w:after="160" w:before="0" w:line="276"/>
        <w:jc w:val="both"/>
      </w:pPr>
      <w:r>
        <w:rPr>
          <w:rFonts w:ascii="Calibri" w:cs="Calibri" w:eastAsia="Calibri" w:hAnsi="Calibri"/>
          <w:b w:val="false"/>
          <w:bCs w:val="false"/>
          <w:i w:val="false"/>
          <w:iCs w:val="false"/>
          <w:color w:val="1A1A1A"/>
          <w:sz w:val="22"/>
          <w:szCs w:val="22"/>
        </w:rPr>
        <w:t xml:space="preserve">For a student / prototype build, the solution relies mainly on open-source and locally-hosted components, which keeps the initial investment modest.</w:t>
      </w:r>
    </w:p>
    <w:p>
      <w:pPr>
        <w:spacing w:after="100" w:before="200"/>
      </w:pPr>
      <w:r>
        <w:rPr>
          <w:rFonts w:ascii="Calibri" w:cs="Calibri" w:eastAsia="Calibri" w:hAnsi="Calibri"/>
          <w:b/>
          <w:bCs/>
          <w:color w:val="C65911"/>
          <w:sz w:val="22"/>
          <w:szCs w:val="22"/>
        </w:rPr>
        <w:t xml:space="preserve">Initial Investment (Hypothetical)</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6500"/>
        <w:gridCol w:w="3200"/>
      </w:tblGrid>
      <w:tr>
        <w:trPr>
          <w:tblHeader/>
        </w:trPr>
        <w:tc>
          <w:tcPr>
            <w:tcW w:type="dxa" w:w="65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Item</w:t>
            </w:r>
          </w:p>
        </w:tc>
        <w:tc>
          <w:tcPr>
            <w:tcW w:type="dxa" w:w="32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Estimated Cost</w:t>
            </w:r>
          </w:p>
        </w:tc>
      </w:tr>
      <w:tr>
        <w:tc>
          <w:tcPr>
            <w:tcW w:type="dxa" w:w="6500"/>
            <w:shd w:fill="F7F9FC"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Prototype development</w:t>
            </w:r>
          </w:p>
        </w:tc>
        <w:tc>
          <w:tcPr>
            <w:tcW w:type="dxa" w:w="3200"/>
            <w:shd w:fill="F7F9FC"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3,000 TND</w:t>
            </w:r>
          </w:p>
        </w:tc>
      </w:tr>
      <w:tr>
        <w:tc>
          <w:tcPr>
            <w:tcW w:type="dxa" w:w="65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Configuration / integration</w:t>
            </w:r>
          </w:p>
        </w:tc>
        <w:tc>
          <w:tcPr>
            <w:tcW w:type="dxa" w:w="32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1,000 TND</w:t>
            </w:r>
          </w:p>
        </w:tc>
      </w:tr>
      <w:tr>
        <w:tc>
          <w:tcPr>
            <w:tcW w:type="dxa" w:w="6500"/>
            <w:shd w:fill="F7F9FC"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Testing / training</w:t>
            </w:r>
          </w:p>
        </w:tc>
        <w:tc>
          <w:tcPr>
            <w:tcW w:type="dxa" w:w="3200"/>
            <w:shd w:fill="F7F9FC"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500 TND</w:t>
            </w:r>
          </w:p>
        </w:tc>
      </w:tr>
      <w:tr>
        <w:tc>
          <w:tcPr>
            <w:tcW w:type="dxa" w:w="65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Initial infrastructure</w:t>
            </w:r>
          </w:p>
        </w:tc>
        <w:tc>
          <w:tcPr>
            <w:tcW w:type="dxa" w:w="32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0 – 500 TND</w:t>
            </w:r>
          </w:p>
        </w:tc>
      </w:tr>
    </w:tbl>
    <w:p>
      <w:pPr>
        <w:spacing w:after="160" w:before="0" w:line="276"/>
        <w:jc w:val="both"/>
      </w:pPr>
      <w:r>
        <w:rPr>
          <w:rFonts w:ascii="Calibri" w:cs="Calibri" w:eastAsia="Calibri" w:hAnsi="Calibri"/>
          <w:b w:val="false"/>
          <w:bCs w:val="false"/>
          <w:i w:val="false"/>
          <w:iCs w:val="false"/>
          <w:color w:val="1A1A1A"/>
          <w:sz w:val="22"/>
          <w:szCs w:val="22"/>
        </w:rPr>
        <w:t xml:space="preserve">Estimated investment range: 4,500 – 5,000 TND. For the ROI calculation below, 4,500 TND is used as the initial investment.</w:t>
      </w:r>
    </w:p>
    <w:p>
      <w:pPr>
        <w:spacing w:after="100" w:before="200"/>
      </w:pPr>
      <w:r>
        <w:rPr>
          <w:rFonts w:ascii="Calibri" w:cs="Calibri" w:eastAsia="Calibri" w:hAnsi="Calibri"/>
          <w:b/>
          <w:bCs/>
          <w:color w:val="C65911"/>
          <w:sz w:val="22"/>
          <w:szCs w:val="22"/>
        </w:rPr>
        <w:t xml:space="preserve">Annual Operating Cost</w:t>
      </w:r>
    </w:p>
    <w:p>
      <w:pPr>
        <w:spacing w:after="160" w:before="0" w:line="276"/>
        <w:jc w:val="both"/>
      </w:pPr>
      <w:r>
        <w:rPr>
          <w:rFonts w:ascii="Calibri" w:cs="Calibri" w:eastAsia="Calibri" w:hAnsi="Calibri"/>
          <w:b w:val="false"/>
          <w:bCs w:val="false"/>
          <w:i w:val="false"/>
          <w:iCs w:val="false"/>
          <w:color w:val="1A1A1A"/>
          <w:sz w:val="22"/>
          <w:szCs w:val="22"/>
        </w:rPr>
        <w:t xml:space="preserve">Assumed at 1,200 TND / year, covering maintenance, infrastructure and incidental services.</w:t>
      </w:r>
    </w:p>
    <w:p>
      <w:pPr>
        <w:pStyle w:val="Heading1"/>
        <w:pBdr>
          <w:bottom w:val="single" w:color="2F5597" w:sz="8" w:space="4"/>
        </w:pBdr>
        <w:spacing w:after="200" w:before="380"/>
      </w:pPr>
      <w:r>
        <w:rPr>
          <w:rFonts w:ascii="Calibri" w:cs="Calibri" w:eastAsia="Calibri" w:hAnsi="Calibri"/>
          <w:b/>
          <w:bCs/>
          <w:color w:val="1F3864"/>
          <w:sz w:val="30"/>
          <w:szCs w:val="30"/>
        </w:rPr>
        <w:t xml:space="preserve">8. ROI and Payback Calculation</w:t>
      </w:r>
    </w:p>
    <w:p>
      <w:pPr>
        <w:pStyle w:val="ListParagraph"/>
        <w:numPr>
          <w:ilvl w:val="0"/>
          <w:numId w:val="2"/>
        </w:numPr>
        <w:spacing w:after="90"/>
      </w:pPr>
      <w:r>
        <w:rPr>
          <w:rFonts w:ascii="Calibri" w:cs="Calibri" w:eastAsia="Calibri" w:hAnsi="Calibri"/>
          <w:b w:val="false"/>
          <w:bCs w:val="false"/>
          <w:color w:val="1A1A1A"/>
          <w:sz w:val="22"/>
          <w:szCs w:val="22"/>
        </w:rPr>
        <w:t xml:space="preserve">Gross annual benefit: 39,200 TND.</w:t>
      </w:r>
    </w:p>
    <w:p>
      <w:pPr>
        <w:pStyle w:val="ListParagraph"/>
        <w:numPr>
          <w:ilvl w:val="0"/>
          <w:numId w:val="2"/>
        </w:numPr>
        <w:spacing w:after="90"/>
      </w:pPr>
      <w:r>
        <w:rPr>
          <w:rFonts w:ascii="Calibri" w:cs="Calibri" w:eastAsia="Calibri" w:hAnsi="Calibri"/>
          <w:b w:val="false"/>
          <w:bCs w:val="false"/>
          <w:color w:val="1A1A1A"/>
          <w:sz w:val="22"/>
          <w:szCs w:val="22"/>
        </w:rPr>
        <w:t xml:space="preserve">Annual operating cost: 1,200 TND.</w:t>
      </w:r>
    </w:p>
    <w:p>
      <w:pPr>
        <w:pStyle w:val="ListParagraph"/>
        <w:numPr>
          <w:ilvl w:val="0"/>
          <w:numId w:val="2"/>
        </w:numPr>
        <w:spacing w:after="90"/>
      </w:pPr>
      <w:r>
        <w:rPr>
          <w:rFonts w:ascii="Calibri" w:cs="Calibri" w:eastAsia="Calibri" w:hAnsi="Calibri"/>
          <w:b w:val="false"/>
          <w:bCs w:val="false"/>
          <w:color w:val="1A1A1A"/>
          <w:sz w:val="22"/>
          <w:szCs w:val="22"/>
        </w:rPr>
        <w:t xml:space="preserve">Net annual benefit: 39,200 − 1,200 = 38,000 TND.</w:t>
      </w:r>
    </w:p>
    <w:p>
      <w:pPr>
        <w:spacing w:after="100" w:before="0" w:line="276"/>
        <w:jc w:val="both"/>
      </w:pPr>
      <w:r>
        <w:rPr>
          <w:rFonts w:ascii="Calibri" w:cs="Calibri" w:eastAsia="Calibri" w:hAnsi="Calibri"/>
          <w:b/>
          <w:bCs/>
          <w:i w:val="false"/>
          <w:iCs w:val="false"/>
          <w:color w:val="1A1A1A"/>
          <w:sz w:val="22"/>
          <w:szCs w:val="22"/>
        </w:rPr>
        <w:t xml:space="preserve">Formula: ROI = (Net benefit − Investment) / Investment × 100</w:t>
      </w:r>
    </w:p>
    <w:p>
      <w:pPr>
        <w:spacing w:after="200" w:before="0" w:line="276"/>
        <w:jc w:val="both"/>
      </w:pPr>
      <w:r>
        <w:rPr>
          <w:rFonts w:ascii="Calibri" w:cs="Calibri" w:eastAsia="Calibri" w:hAnsi="Calibri"/>
          <w:b/>
          <w:bCs/>
          <w:i w:val="false"/>
          <w:iCs w:val="false"/>
          <w:color w:val="2E7D32"/>
          <w:sz w:val="22"/>
          <w:szCs w:val="22"/>
        </w:rPr>
        <w:t xml:space="preserve">ROI = (38,000 − 4,500) / 4,500 × 100 ≈ 744%</w:t>
      </w:r>
    </w:p>
    <w:p>
      <w:pPr>
        <w:spacing w:after="160" w:before="0" w:line="276"/>
        <w:jc w:val="both"/>
      </w:pPr>
      <w:r>
        <w:rPr>
          <w:rFonts w:ascii="Calibri" w:cs="Calibri" w:eastAsia="Calibri" w:hAnsi="Calibri"/>
          <w:b w:val="false"/>
          <w:bCs w:val="false"/>
          <w:i w:val="false"/>
          <w:iCs w:val="false"/>
          <w:color w:val="1A1A1A"/>
          <w:sz w:val="22"/>
          <w:szCs w:val="22"/>
        </w:rPr>
        <w:t xml:space="preserve">Under these hypotheses, the project returns about 7.44 times the initial investment, net, within the first year.</w:t>
      </w:r>
    </w:p>
    <w:p>
      <w:pPr>
        <w:spacing w:after="100" w:before="200"/>
      </w:pPr>
      <w:r>
        <w:rPr>
          <w:rFonts w:ascii="Calibri" w:cs="Calibri" w:eastAsia="Calibri" w:hAnsi="Calibri"/>
          <w:b/>
          <w:bCs/>
          <w:color w:val="C65911"/>
          <w:sz w:val="22"/>
          <w:szCs w:val="22"/>
        </w:rPr>
        <w:t xml:space="preserve">Payback Period</w:t>
      </w:r>
    </w:p>
    <w:p>
      <w:pPr>
        <w:pStyle w:val="ListParagraph"/>
        <w:numPr>
          <w:ilvl w:val="0"/>
          <w:numId w:val="2"/>
        </w:numPr>
        <w:spacing w:after="90"/>
      </w:pPr>
      <w:r>
        <w:rPr>
          <w:rFonts w:ascii="Calibri" w:cs="Calibri" w:eastAsia="Calibri" w:hAnsi="Calibri"/>
          <w:b w:val="false"/>
          <w:bCs w:val="false"/>
          <w:color w:val="1A1A1A"/>
          <w:sz w:val="22"/>
          <w:szCs w:val="22"/>
        </w:rPr>
        <w:t xml:space="preserve">Net monthly benefit: 38,000 / 12 ≈ 3,167 TND / month.</w:t>
      </w:r>
    </w:p>
    <w:p>
      <w:pPr>
        <w:pStyle w:val="ListParagraph"/>
        <w:numPr>
          <w:ilvl w:val="0"/>
          <w:numId w:val="2"/>
        </w:numPr>
        <w:spacing w:after="90"/>
      </w:pPr>
      <w:r>
        <w:rPr>
          <w:rFonts w:ascii="Calibri" w:cs="Calibri" w:eastAsia="Calibri" w:hAnsi="Calibri"/>
          <w:b w:val="false"/>
          <w:bCs w:val="false"/>
          <w:color w:val="1A1A1A"/>
          <w:sz w:val="22"/>
          <w:szCs w:val="22"/>
        </w:rPr>
        <w:t xml:space="preserve">Payback: 4,500 / 3,167 ≈ 1.4 months.</w:t>
      </w:r>
    </w:p>
    <w:p>
      <w:pPr>
        <w:spacing w:after="160" w:before="0" w:line="276"/>
        <w:jc w:val="both"/>
      </w:pPr>
      <w:r>
        <w:rPr>
          <w:rFonts w:ascii="Calibri" w:cs="Calibri" w:eastAsia="Calibri" w:hAnsi="Calibri"/>
          <w:b w:val="false"/>
          <w:bCs w:val="false"/>
          <w:i/>
          <w:iCs/>
          <w:color w:val="1A1A1A"/>
          <w:sz w:val="22"/>
          <w:szCs w:val="22"/>
        </w:rPr>
        <w:t xml:space="preserve">The initial investment would be recovered in approximately 1.4 months under these assumptions — an aggressive but directionally realistic estimate given how labor-intensive the current manual process is.</w:t>
      </w:r>
    </w:p>
    <w:p>
      <w:pPr>
        <w:pStyle w:val="Heading1"/>
        <w:pBdr>
          <w:bottom w:val="single" w:color="2F5597" w:sz="8" w:space="4"/>
        </w:pBdr>
        <w:spacing w:after="200" w:before="380"/>
      </w:pPr>
      <w:r>
        <w:rPr>
          <w:rFonts w:ascii="Calibri" w:cs="Calibri" w:eastAsia="Calibri" w:hAnsi="Calibri"/>
          <w:b/>
          <w:bCs/>
          <w:color w:val="1F3864"/>
          <w:sz w:val="30"/>
          <w:szCs w:val="30"/>
        </w:rPr>
        <w:t xml:space="preserve">9. Summary — Before vs. After</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500"/>
      </w:tblGrid>
      <w:tr>
        <w:trPr>
          <w:tblHeader/>
        </w:trPr>
        <w:tc>
          <w:tcPr>
            <w:tcW w:type="dxa" w:w="28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KPI</w:t>
            </w:r>
          </w:p>
        </w:tc>
        <w:tc>
          <w:tcPr>
            <w:tcW w:type="dxa" w:w="22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Before</w:t>
            </w:r>
          </w:p>
        </w:tc>
        <w:tc>
          <w:tcPr>
            <w:tcW w:type="dxa" w:w="22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After</w:t>
            </w:r>
          </w:p>
        </w:tc>
        <w:tc>
          <w:tcPr>
            <w:tcW w:type="dxa" w:w="25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Improvement</w:t>
            </w:r>
          </w:p>
        </w:tc>
      </w:tr>
      <w:tr>
        <w:tc>
          <w:tcPr>
            <w:tcW w:type="dxa" w:w="2800"/>
            <w:shd w:fill="F7F9FC"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Time per invoice</w:t>
            </w:r>
          </w:p>
        </w:tc>
        <w:tc>
          <w:tcPr>
            <w:tcW w:type="dxa" w:w="2200"/>
            <w:shd w:fill="F7F9FC"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12 min</w:t>
            </w:r>
          </w:p>
        </w:tc>
        <w:tc>
          <w:tcPr>
            <w:tcW w:type="dxa" w:w="2200"/>
            <w:shd w:fill="F7F9FC"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4 min</w:t>
            </w:r>
          </w:p>
        </w:tc>
        <w:tc>
          <w:tcPr>
            <w:tcW w:type="dxa" w:w="2500"/>
            <w:shd w:fill="F7F9FC"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-66.7%</w:t>
            </w:r>
          </w:p>
        </w:tc>
      </w:tr>
      <w:tr>
        <w:tc>
          <w:tcPr>
            <w:tcW w:type="dxa" w:w="28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Monthly processing time</w:t>
            </w:r>
          </w:p>
        </w:tc>
        <w:tc>
          <w:tcPr>
            <w:tcW w:type="dxa" w:w="22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200 h</w:t>
            </w:r>
          </w:p>
        </w:tc>
        <w:tc>
          <w:tcPr>
            <w:tcW w:type="dxa" w:w="22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66.7 h</w:t>
            </w:r>
          </w:p>
        </w:tc>
        <w:tc>
          <w:tcPr>
            <w:tcW w:type="dxa" w:w="25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-133.3 h</w:t>
            </w:r>
          </w:p>
        </w:tc>
      </w:tr>
      <w:tr>
        <w:tc>
          <w:tcPr>
            <w:tcW w:type="dxa" w:w="2800"/>
            <w:shd w:fill="F7F9FC"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Error rate</w:t>
            </w:r>
          </w:p>
        </w:tc>
        <w:tc>
          <w:tcPr>
            <w:tcW w:type="dxa" w:w="2200"/>
            <w:shd w:fill="F7F9FC"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5%</w:t>
            </w:r>
          </w:p>
        </w:tc>
        <w:tc>
          <w:tcPr>
            <w:tcW w:type="dxa" w:w="2200"/>
            <w:shd w:fill="F7F9FC"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1%</w:t>
            </w:r>
          </w:p>
        </w:tc>
        <w:tc>
          <w:tcPr>
            <w:tcW w:type="dxa" w:w="2500"/>
            <w:shd w:fill="F7F9FC"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-80%</w:t>
            </w:r>
          </w:p>
        </w:tc>
      </w:tr>
      <w:tr>
        <w:tc>
          <w:tcPr>
            <w:tcW w:type="dxa" w:w="28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Monthly labor cost</w:t>
            </w:r>
          </w:p>
        </w:tc>
        <w:tc>
          <w:tcPr>
            <w:tcW w:type="dxa" w:w="22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4,000 TND</w:t>
            </w:r>
          </w:p>
        </w:tc>
        <w:tc>
          <w:tcPr>
            <w:tcW w:type="dxa" w:w="22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1,333 TND</w:t>
            </w:r>
          </w:p>
        </w:tc>
        <w:tc>
          <w:tcPr>
            <w:tcW w:type="dxa" w:w="25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-2,667 TND</w:t>
            </w:r>
          </w:p>
        </w:tc>
      </w:tr>
      <w:tr>
        <w:tc>
          <w:tcPr>
            <w:tcW w:type="dxa" w:w="2800"/>
            <w:shd w:fill="F7F9FC"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Satisfaction (target)*</w:t>
            </w:r>
          </w:p>
        </w:tc>
        <w:tc>
          <w:tcPr>
            <w:tcW w:type="dxa" w:w="2200"/>
            <w:shd w:fill="F7F9FC"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3.0 / 5</w:t>
            </w:r>
          </w:p>
        </w:tc>
        <w:tc>
          <w:tcPr>
            <w:tcW w:type="dxa" w:w="2200"/>
            <w:shd w:fill="F7F9FC"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4.2 / 5</w:t>
            </w:r>
          </w:p>
        </w:tc>
        <w:tc>
          <w:tcPr>
            <w:tcW w:type="dxa" w:w="2500"/>
            <w:shd w:fill="F7F9FC"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+1.2 pt</w:t>
            </w:r>
          </w:p>
        </w:tc>
      </w:tr>
      <w:tr>
        <w:tc>
          <w:tcPr>
            <w:tcW w:type="dxa" w:w="28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Annual gross savings</w:t>
            </w:r>
          </w:p>
        </w:tc>
        <w:tc>
          <w:tcPr>
            <w:tcW w:type="dxa" w:w="22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w:t>
            </w:r>
          </w:p>
        </w:tc>
        <w:tc>
          <w:tcPr>
            <w:tcW w:type="dxa" w:w="22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w:t>
            </w:r>
          </w:p>
        </w:tc>
        <w:tc>
          <w:tcPr>
            <w:tcW w:type="dxa" w:w="25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 39,200 TND</w:t>
            </w:r>
          </w:p>
        </w:tc>
      </w:tr>
      <w:tr>
        <w:tc>
          <w:tcPr>
            <w:tcW w:type="dxa" w:w="2800"/>
            <w:shd w:fill="F7F9FC"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Investment</w:t>
            </w:r>
          </w:p>
        </w:tc>
        <w:tc>
          <w:tcPr>
            <w:tcW w:type="dxa" w:w="2200"/>
            <w:shd w:fill="F7F9FC"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w:t>
            </w:r>
          </w:p>
        </w:tc>
        <w:tc>
          <w:tcPr>
            <w:tcW w:type="dxa" w:w="2200"/>
            <w:shd w:fill="F7F9FC"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4,500 TND</w:t>
            </w:r>
          </w:p>
        </w:tc>
        <w:tc>
          <w:tcPr>
            <w:tcW w:type="dxa" w:w="2500"/>
            <w:shd w:fill="F7F9FC"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w:t>
            </w:r>
          </w:p>
        </w:tc>
      </w:tr>
      <w:tr>
        <w:tc>
          <w:tcPr>
            <w:tcW w:type="dxa" w:w="28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First-year ROI</w:t>
            </w:r>
          </w:p>
        </w:tc>
        <w:tc>
          <w:tcPr>
            <w:tcW w:type="dxa" w:w="22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w:t>
            </w:r>
          </w:p>
        </w:tc>
        <w:tc>
          <w:tcPr>
            <w:tcW w:type="dxa" w:w="22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 744%</w:t>
            </w:r>
          </w:p>
        </w:tc>
        <w:tc>
          <w:tcPr>
            <w:tcW w:type="dxa" w:w="25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w:t>
            </w:r>
          </w:p>
        </w:tc>
      </w:tr>
      <w:tr>
        <w:tc>
          <w:tcPr>
            <w:tcW w:type="dxa" w:w="2800"/>
            <w:shd w:fill="F7F9FC"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Payback period</w:t>
            </w:r>
          </w:p>
        </w:tc>
        <w:tc>
          <w:tcPr>
            <w:tcW w:type="dxa" w:w="2200"/>
            <w:shd w:fill="F7F9FC"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w:t>
            </w:r>
          </w:p>
        </w:tc>
        <w:tc>
          <w:tcPr>
            <w:tcW w:type="dxa" w:w="2200"/>
            <w:shd w:fill="F7F9FC"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 1.4 months</w:t>
            </w:r>
          </w:p>
        </w:tc>
        <w:tc>
          <w:tcPr>
            <w:tcW w:type="dxa" w:w="2500"/>
            <w:shd w:fill="F7F9FC"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20"/>
                <w:szCs w:val="20"/>
              </w:rPr>
              <w:t xml:space="preserve">—</w:t>
            </w:r>
          </w:p>
        </w:tc>
      </w:tr>
    </w:tbl>
    <w:p>
      <w:pPr>
        <w:spacing w:after="160" w:before="0" w:line="276"/>
        <w:jc w:val="both"/>
      </w:pPr>
      <w:r>
        <w:rPr>
          <w:rFonts w:ascii="Calibri" w:cs="Calibri" w:eastAsia="Calibri" w:hAnsi="Calibri"/>
          <w:b w:val="false"/>
          <w:bCs w:val="false"/>
          <w:i/>
          <w:iCs/>
          <w:color w:val="1A1A1A"/>
          <w:sz w:val="18"/>
          <w:szCs w:val="18"/>
        </w:rPr>
        <w:t xml:space="preserve">* Simulation target, to be validated through a real employee survey during the pilot.</w:t>
      </w:r>
    </w:p>
    <w:p>
      <w:pPr>
        <w:pStyle w:val="Heading1"/>
        <w:pBdr>
          <w:bottom w:val="single" w:color="2F5597" w:sz="8" w:space="4"/>
        </w:pBdr>
        <w:spacing w:after="200" w:before="380"/>
      </w:pPr>
      <w:r>
        <w:rPr>
          <w:rFonts w:ascii="Calibri" w:cs="Calibri" w:eastAsia="Calibri" w:hAnsi="Calibri"/>
          <w:b/>
          <w:bCs/>
          <w:color w:val="1F3864"/>
          <w:sz w:val="30"/>
          <w:szCs w:val="30"/>
        </w:rPr>
        <w:t xml:space="preserve">10. Risks and Ethical Considerations</w:t>
      </w:r>
    </w:p>
    <w:p>
      <w:pPr>
        <w:spacing w:after="100" w:before="200"/>
      </w:pPr>
      <w:r>
        <w:rPr>
          <w:rFonts w:ascii="Calibri" w:cs="Calibri" w:eastAsia="Calibri" w:hAnsi="Calibri"/>
          <w:b/>
          <w:bCs/>
          <w:color w:val="C65911"/>
          <w:sz w:val="22"/>
          <w:szCs w:val="22"/>
        </w:rPr>
        <w:t xml:space="preserve">Operational risks</w:t>
      </w:r>
    </w:p>
    <w:p>
      <w:pPr>
        <w:pStyle w:val="ListParagraph"/>
        <w:numPr>
          <w:ilvl w:val="0"/>
          <w:numId w:val="2"/>
        </w:numPr>
        <w:spacing w:after="90"/>
      </w:pPr>
      <w:r>
        <w:rPr>
          <w:rFonts w:ascii="Calibri" w:cs="Calibri" w:eastAsia="Calibri" w:hAnsi="Calibri"/>
          <w:b w:val="false"/>
          <w:bCs w:val="false"/>
          <w:color w:val="1A1A1A"/>
          <w:sz w:val="22"/>
          <w:szCs w:val="22"/>
        </w:rPr>
        <w:t xml:space="preserve">OCR / AI extraction errors on low-quality scans or unusual invoice layouts, requiring a fallback to manual review.</w:t>
      </w:r>
    </w:p>
    <w:p>
      <w:pPr>
        <w:pStyle w:val="ListParagraph"/>
        <w:numPr>
          <w:ilvl w:val="0"/>
          <w:numId w:val="2"/>
        </w:numPr>
        <w:spacing w:after="90"/>
      </w:pPr>
      <w:r>
        <w:rPr>
          <w:rFonts w:ascii="Calibri" w:cs="Calibri" w:eastAsia="Calibri" w:hAnsi="Calibri"/>
          <w:b w:val="false"/>
          <w:bCs w:val="false"/>
          <w:color w:val="1A1A1A"/>
          <w:sz w:val="22"/>
          <w:szCs w:val="22"/>
        </w:rPr>
        <w:t xml:space="preserve">Over-reliance on automation could let a wrong approval slip through if thresholds or rules are misconfigured.</w:t>
      </w:r>
    </w:p>
    <w:p>
      <w:pPr>
        <w:pStyle w:val="ListParagraph"/>
        <w:numPr>
          <w:ilvl w:val="0"/>
          <w:numId w:val="2"/>
        </w:numPr>
        <w:spacing w:after="90"/>
      </w:pPr>
      <w:r>
        <w:rPr>
          <w:rFonts w:ascii="Calibri" w:cs="Calibri" w:eastAsia="Calibri" w:hAnsi="Calibri"/>
          <w:b w:val="false"/>
          <w:bCs w:val="false"/>
          <w:color w:val="1A1A1A"/>
          <w:sz w:val="22"/>
          <w:szCs w:val="22"/>
        </w:rPr>
        <w:t xml:space="preserve">Integration risk with the company's existing ERP (APIs, data mapping, security).</w:t>
      </w:r>
    </w:p>
    <w:p>
      <w:pPr>
        <w:spacing w:after="100" w:before="200"/>
      </w:pPr>
      <w:r>
        <w:rPr>
          <w:rFonts w:ascii="Calibri" w:cs="Calibri" w:eastAsia="Calibri" w:hAnsi="Calibri"/>
          <w:b/>
          <w:bCs/>
          <w:color w:val="C65911"/>
          <w:sz w:val="22"/>
          <w:szCs w:val="22"/>
        </w:rPr>
        <w:t xml:space="preserve">Data protection and security</w:t>
      </w:r>
    </w:p>
    <w:p>
      <w:pPr>
        <w:pStyle w:val="ListParagraph"/>
        <w:numPr>
          <w:ilvl w:val="0"/>
          <w:numId w:val="2"/>
        </w:numPr>
        <w:spacing w:after="90"/>
      </w:pPr>
      <w:r>
        <w:rPr>
          <w:rFonts w:ascii="Calibri" w:cs="Calibri" w:eastAsia="Calibri" w:hAnsi="Calibri"/>
          <w:b w:val="false"/>
          <w:bCs w:val="false"/>
          <w:color w:val="1A1A1A"/>
          <w:sz w:val="22"/>
          <w:szCs w:val="22"/>
        </w:rPr>
        <w:t xml:space="preserve">Invoices contain sensitive supplier and banking data; access must be role-based and traffic encrypted.</w:t>
      </w:r>
    </w:p>
    <w:p>
      <w:pPr>
        <w:pStyle w:val="ListParagraph"/>
        <w:numPr>
          <w:ilvl w:val="0"/>
          <w:numId w:val="2"/>
        </w:numPr>
        <w:spacing w:after="90"/>
      </w:pPr>
      <w:r>
        <w:rPr>
          <w:rFonts w:ascii="Calibri" w:cs="Calibri" w:eastAsia="Calibri" w:hAnsi="Calibri"/>
          <w:b w:val="false"/>
          <w:bCs w:val="false"/>
          <w:color w:val="1A1A1A"/>
          <w:sz w:val="22"/>
          <w:szCs w:val="22"/>
        </w:rPr>
        <w:t xml:space="preserve">AI providers used for extraction should not retain sensitive financial data beyond what is contractually required.</w:t>
      </w:r>
    </w:p>
    <w:p>
      <w:pPr>
        <w:spacing w:after="100" w:before="200"/>
      </w:pPr>
      <w:r>
        <w:rPr>
          <w:rFonts w:ascii="Calibri" w:cs="Calibri" w:eastAsia="Calibri" w:hAnsi="Calibri"/>
          <w:b/>
          <w:bCs/>
          <w:color w:val="C65911"/>
          <w:sz w:val="22"/>
          <w:szCs w:val="22"/>
        </w:rPr>
        <w:t xml:space="preserve">Ethical and organizational considerations</w:t>
      </w:r>
    </w:p>
    <w:p>
      <w:pPr>
        <w:pStyle w:val="ListParagraph"/>
        <w:numPr>
          <w:ilvl w:val="0"/>
          <w:numId w:val="2"/>
        </w:numPr>
        <w:spacing w:after="90"/>
      </w:pPr>
      <w:r>
        <w:rPr>
          <w:rFonts w:ascii="Calibri" w:cs="Calibri" w:eastAsia="Calibri" w:hAnsi="Calibri"/>
          <w:b w:val="false"/>
          <w:bCs w:val="false"/>
          <w:color w:val="1A1A1A"/>
          <w:sz w:val="22"/>
          <w:szCs w:val="22"/>
        </w:rPr>
        <w:t xml:space="preserve">Automation changes roles rather than only removing tasks: accountants shift from data entry toward exception handling and control — this should be communicated transparently to the team.</w:t>
      </w:r>
    </w:p>
    <w:p>
      <w:pPr>
        <w:pStyle w:val="ListParagraph"/>
        <w:numPr>
          <w:ilvl w:val="0"/>
          <w:numId w:val="2"/>
        </w:numPr>
        <w:spacing w:after="90"/>
      </w:pPr>
      <w:r>
        <w:rPr>
          <w:rFonts w:ascii="Calibri" w:cs="Calibri" w:eastAsia="Calibri" w:hAnsi="Calibri"/>
          <w:b w:val="false"/>
          <w:bCs w:val="false"/>
          <w:color w:val="1A1A1A"/>
          <w:sz w:val="22"/>
          <w:szCs w:val="22"/>
        </w:rPr>
        <w:t xml:space="preserve">Human validation is deliberately kept for financially significant or inconsistent invoices, so accountability for high-impact decisions remains with a person, not the algorithm.</w:t>
      </w:r>
    </w:p>
    <w:p>
      <w:pPr>
        <w:pStyle w:val="ListParagraph"/>
        <w:numPr>
          <w:ilvl w:val="0"/>
          <w:numId w:val="2"/>
        </w:numPr>
        <w:spacing w:after="90"/>
      </w:pPr>
      <w:r>
        <w:rPr>
          <w:rFonts w:ascii="Calibri" w:cs="Calibri" w:eastAsia="Calibri" w:hAnsi="Calibri"/>
          <w:b w:val="false"/>
          <w:bCs w:val="false"/>
          <w:color w:val="1A1A1A"/>
          <w:sz w:val="22"/>
          <w:szCs w:val="22"/>
        </w:rPr>
        <w:t xml:space="preserve">KPI targets (notably employee satisfaction) are stated as pilot hypotheses, not guaranteed outcomes, to avoid overselling the project's impact.</w:t>
      </w:r>
    </w:p>
    <w:p>
      <w:pPr>
        <w:pStyle w:val="Heading1"/>
        <w:pBdr>
          <w:bottom w:val="single" w:color="2F5597" w:sz="8" w:space="4"/>
        </w:pBdr>
        <w:spacing w:after="200" w:before="380"/>
      </w:pPr>
      <w:r>
        <w:rPr>
          <w:rFonts w:ascii="Calibri" w:cs="Calibri" w:eastAsia="Calibri" w:hAnsi="Calibri"/>
          <w:b/>
          <w:bCs/>
          <w:color w:val="1F3864"/>
          <w:sz w:val="30"/>
          <w:szCs w:val="30"/>
        </w:rPr>
        <w:t xml:space="preserve">11. Conclusion</w:t>
      </w:r>
    </w:p>
    <w:p>
      <w:pPr>
        <w:spacing w:after="160" w:before="0" w:line="276"/>
        <w:jc w:val="both"/>
      </w:pPr>
      <w:r>
        <w:rPr>
          <w:rFonts w:ascii="Calibri" w:cs="Calibri" w:eastAsia="Calibri" w:hAnsi="Calibri"/>
          <w:b w:val="false"/>
          <w:bCs w:val="false"/>
          <w:i w:val="false"/>
          <w:iCs w:val="false"/>
          <w:color w:val="1A1A1A"/>
          <w:sz w:val="22"/>
          <w:szCs w:val="22"/>
        </w:rPr>
        <w:t xml:space="preserve">The proposed workflow automates the repetitive, high-volume parts of invoice processing — reception, extraction, verification, routing and archiving — while keeping human validation exactly where judgment and accountability matter: significant amounts and inconsistent data. Under the stated simulation hypotheses, the project is both technically feasible with accessible, largely open-source tools, and financially attractive, with an estimated first-year ROI of about 744% and a payback period of roughly 1.4 months. The next step would be a limited pilot — on a subset of suppliers or a single invoice category — to validate the extraction accuracy, the error-reduction assumption, and the employee-satisfaction target before a full rollout.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7ce0a997f06b0ca4e75716e4ecde8780bae2ced.png"/><Relationship Id="rId8" Type="http://schemas.openxmlformats.org/officeDocument/2006/relationships/image" Target="media/8870a7dc5a57c670b2e21bdce091cb6116417279.png"/><Relationship Id="rId9" Type="http://schemas.openxmlformats.org/officeDocument/2006/relationships/image" Target="media/2324bef7372f7107b4bad881c846c3b989435b5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2026-09-24T16:20:30.531Z</dcterms:created>
  <dcterms:modified xsi:type="dcterms:W3CDTF">2026-09-24T16:20:30.531Z</dcterms:modified>
</cp:coreProperties>
</file>

<file path=docProps/custom.xml><?xml version="1.0" encoding="utf-8"?>
<Properties xmlns="http://schemas.openxmlformats.org/officeDocument/2006/custom-properties" xmlns:vt="http://schemas.openxmlformats.org/officeDocument/2006/docPropsVTypes"/>
</file>