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>Rabat , Maroc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Rabat , le 9 mai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AUTORISATION DE CONGÉ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Nous soussignés, la société TechServ Solutions, autorisons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Nom et Prénom    : Amine Senhaji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Département      : Finance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Poste occupé     : Finance Manager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à bénéficier d'un congé de type Paternity du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Date de début    : 17 juin 2024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Date de fin      : 20 juin 2024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Durée totale     : 4 jour(s) ouvrable(s)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>Solde de congés restant après cette absence : 11 jour(s)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>Fait à Rabat , le 9 mai 2026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0">
      <w:pPr>
        <w:rPr/>
      </w:pPr>
      <w:r>
        <w:drawing>
          <wp:inline>
            <wp:extent cx="1828800" cy="729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rab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2943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/>
      <w:drawing>
        <wp:inline distB="114300" distT="114300" distL="114300" distR="114300">
          <wp:extent cx="2033588" cy="5949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3588" cy="594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