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92D21" w14:textId="77777777" w:rsidR="006C15B1" w:rsidRDefault="006C15B1" w:rsidP="006C15B1">
      <w:pPr>
        <w:pStyle w:val="Heading1"/>
        <w:rPr>
          <w:sz w:val="48"/>
        </w:rPr>
      </w:pPr>
      <w:r>
        <w:t>AJRCCM Instructions for Contributors</w:t>
      </w:r>
    </w:p>
    <w:p w14:paraId="0A9527D4" w14:textId="77777777" w:rsidR="006C15B1" w:rsidRDefault="006C15B1" w:rsidP="006C15B1">
      <w:r>
        <w:t>Manuscripts should:</w:t>
      </w:r>
    </w:p>
    <w:p w14:paraId="1725A584" w14:textId="77777777" w:rsidR="006C15B1" w:rsidRDefault="006C15B1" w:rsidP="006C15B1">
      <w:pPr>
        <w:pStyle w:val="ListParagraph"/>
        <w:numPr>
          <w:ilvl w:val="0"/>
          <w:numId w:val="17"/>
        </w:numPr>
      </w:pPr>
      <w:r w:rsidRPr="00E61F94">
        <w:t xml:space="preserve">12-point type </w:t>
      </w:r>
    </w:p>
    <w:p w14:paraId="1A4B86F5" w14:textId="77777777" w:rsidR="006C15B1" w:rsidRDefault="006C15B1" w:rsidP="006C15B1">
      <w:pPr>
        <w:pStyle w:val="ListParagraph"/>
        <w:numPr>
          <w:ilvl w:val="0"/>
          <w:numId w:val="17"/>
        </w:numPr>
      </w:pPr>
      <w:r>
        <w:t>2.5 centimeters (1 inch) margins</w:t>
      </w:r>
      <w:r w:rsidRPr="00E61F94">
        <w:t xml:space="preserve"> </w:t>
      </w:r>
    </w:p>
    <w:p w14:paraId="5E851BDA" w14:textId="77777777" w:rsidR="006C15B1" w:rsidRDefault="006C15B1" w:rsidP="006C15B1">
      <w:pPr>
        <w:pStyle w:val="ListParagraph"/>
        <w:numPr>
          <w:ilvl w:val="0"/>
          <w:numId w:val="17"/>
        </w:numPr>
      </w:pPr>
      <w:r>
        <w:t>M</w:t>
      </w:r>
      <w:r w:rsidRPr="00E61F94">
        <w:t>axi</w:t>
      </w:r>
      <w:r>
        <w:t>mum word count of 3500 words</w:t>
      </w:r>
    </w:p>
    <w:p w14:paraId="338A5289" w14:textId="77777777" w:rsidR="006C15B1" w:rsidRDefault="006C15B1" w:rsidP="006C15B1">
      <w:pPr>
        <w:pStyle w:val="ListParagraph"/>
        <w:numPr>
          <w:ilvl w:val="0"/>
          <w:numId w:val="17"/>
        </w:numPr>
      </w:pPr>
      <w:r w:rsidRPr="00E61F94">
        <w:t>Double spacing should be used thro</w:t>
      </w:r>
      <w:r>
        <w:t>ughout</w:t>
      </w:r>
    </w:p>
    <w:p w14:paraId="5C8D3187" w14:textId="77777777" w:rsidR="006C15B1" w:rsidRDefault="006C15B1" w:rsidP="006C15B1">
      <w:pPr>
        <w:pStyle w:val="ListParagraph"/>
        <w:numPr>
          <w:ilvl w:val="0"/>
          <w:numId w:val="17"/>
        </w:numPr>
      </w:pPr>
      <w:r w:rsidRPr="00E61F94">
        <w:t xml:space="preserve">All papers should be organized to include: </w:t>
      </w:r>
    </w:p>
    <w:p w14:paraId="2FB1E721" w14:textId="77777777" w:rsidR="006C15B1" w:rsidRDefault="006C15B1" w:rsidP="006C15B1">
      <w:pPr>
        <w:pStyle w:val="ListParagraph"/>
        <w:numPr>
          <w:ilvl w:val="1"/>
          <w:numId w:val="17"/>
        </w:numPr>
      </w:pPr>
      <w:r>
        <w:t>title page</w:t>
      </w:r>
    </w:p>
    <w:p w14:paraId="56FCA3B8" w14:textId="77777777" w:rsidR="006C15B1" w:rsidRDefault="006C15B1" w:rsidP="006C15B1">
      <w:pPr>
        <w:pStyle w:val="ListParagraph"/>
        <w:numPr>
          <w:ilvl w:val="1"/>
          <w:numId w:val="17"/>
        </w:numPr>
      </w:pPr>
      <w:r>
        <w:t>abstract</w:t>
      </w:r>
    </w:p>
    <w:p w14:paraId="3521B5AB" w14:textId="77777777" w:rsidR="006C15B1" w:rsidRDefault="006C15B1" w:rsidP="006C15B1">
      <w:pPr>
        <w:pStyle w:val="ListParagraph"/>
        <w:numPr>
          <w:ilvl w:val="1"/>
          <w:numId w:val="17"/>
        </w:numPr>
      </w:pPr>
      <w:r>
        <w:t>text</w:t>
      </w:r>
    </w:p>
    <w:p w14:paraId="69432335" w14:textId="77777777" w:rsidR="006C15B1" w:rsidRDefault="006C15B1" w:rsidP="006C15B1">
      <w:pPr>
        <w:pStyle w:val="ListParagraph"/>
        <w:numPr>
          <w:ilvl w:val="1"/>
          <w:numId w:val="17"/>
        </w:numPr>
      </w:pPr>
      <w:r>
        <w:t>acknowledgments</w:t>
      </w:r>
    </w:p>
    <w:p w14:paraId="4FAA8A09" w14:textId="77777777" w:rsidR="006C15B1" w:rsidRDefault="006C15B1" w:rsidP="006C15B1">
      <w:pPr>
        <w:pStyle w:val="ListParagraph"/>
        <w:numPr>
          <w:ilvl w:val="1"/>
          <w:numId w:val="17"/>
        </w:numPr>
      </w:pPr>
      <w:r>
        <w:t>references</w:t>
      </w:r>
    </w:p>
    <w:p w14:paraId="5C7E56AE" w14:textId="77777777" w:rsidR="006C15B1" w:rsidRDefault="006C15B1" w:rsidP="006C15B1">
      <w:pPr>
        <w:pStyle w:val="ListParagraph"/>
        <w:numPr>
          <w:ilvl w:val="1"/>
          <w:numId w:val="17"/>
        </w:numPr>
      </w:pPr>
      <w:r>
        <w:t>figure legends</w:t>
      </w:r>
    </w:p>
    <w:p w14:paraId="75D04220" w14:textId="77777777" w:rsidR="006C15B1" w:rsidRDefault="006C15B1" w:rsidP="006C15B1">
      <w:pPr>
        <w:pStyle w:val="ListParagraph"/>
        <w:numPr>
          <w:ilvl w:val="1"/>
          <w:numId w:val="17"/>
        </w:numPr>
      </w:pPr>
      <w:r>
        <w:t>footnotes</w:t>
      </w:r>
    </w:p>
    <w:p w14:paraId="5185BB90" w14:textId="77777777" w:rsidR="006C15B1" w:rsidRDefault="006C15B1" w:rsidP="006C15B1">
      <w:pPr>
        <w:pStyle w:val="ListParagraph"/>
        <w:numPr>
          <w:ilvl w:val="1"/>
          <w:numId w:val="17"/>
        </w:numPr>
      </w:pPr>
      <w:r>
        <w:t>tables</w:t>
      </w:r>
    </w:p>
    <w:p w14:paraId="1279598F" w14:textId="77777777" w:rsidR="006C15B1" w:rsidRDefault="006C15B1" w:rsidP="006C15B1">
      <w:pPr>
        <w:pStyle w:val="ListParagraph"/>
        <w:numPr>
          <w:ilvl w:val="1"/>
          <w:numId w:val="17"/>
        </w:numPr>
      </w:pPr>
      <w:r>
        <w:t>figures</w:t>
      </w:r>
    </w:p>
    <w:p w14:paraId="546D790C" w14:textId="77777777" w:rsidR="006C15B1" w:rsidRDefault="006C15B1" w:rsidP="006C15B1">
      <w:pPr>
        <w:pStyle w:val="ListParagraph"/>
        <w:numPr>
          <w:ilvl w:val="0"/>
          <w:numId w:val="17"/>
        </w:numPr>
      </w:pPr>
      <w:r w:rsidRPr="00E61F94">
        <w:t>Each of the preceding elements s</w:t>
      </w:r>
      <w:r>
        <w:t xml:space="preserve">hould begin on a separate page. </w:t>
      </w:r>
      <w:r w:rsidRPr="00E61F94">
        <w:t xml:space="preserve">While the Introduction should begin on a separate page, it is not necessary for the Methods, Results, and Discussion section to begin on a separate page; instead, they should follow after the Introduction, with two spaces separating each section. </w:t>
      </w:r>
    </w:p>
    <w:p w14:paraId="06C9A0BF" w14:textId="77777777" w:rsidR="006C15B1" w:rsidRDefault="006C15B1" w:rsidP="006C15B1">
      <w:pPr>
        <w:pStyle w:val="ListParagraph"/>
        <w:numPr>
          <w:ilvl w:val="0"/>
          <w:numId w:val="17"/>
        </w:numPr>
      </w:pPr>
      <w:r w:rsidRPr="00E61F94">
        <w:t>Pages should be numbered consecutively, beginning with the abstract.</w:t>
      </w:r>
    </w:p>
    <w:p w14:paraId="00287BA2" w14:textId="77777777" w:rsidR="006C15B1" w:rsidRDefault="006C15B1" w:rsidP="006C15B1">
      <w:pPr>
        <w:pStyle w:val="ListParagraph"/>
        <w:numPr>
          <w:ilvl w:val="0"/>
          <w:numId w:val="17"/>
        </w:numPr>
        <w:sectPr w:rsidR="006C15B1" w:rsidSect="00ED488E">
          <w:pgSz w:w="12240" w:h="15840"/>
          <w:pgMar w:top="1440" w:right="1440" w:bottom="1440" w:left="1440" w:header="720" w:footer="720" w:gutter="0"/>
          <w:pgNumType w:start="1"/>
          <w:cols w:space="720"/>
          <w:docGrid w:linePitch="360"/>
        </w:sectPr>
      </w:pPr>
    </w:p>
    <w:p w14:paraId="7B021387" w14:textId="19B4216C" w:rsidR="00B7161D" w:rsidRDefault="00B7161D" w:rsidP="00B7161D">
      <w:pPr>
        <w:pStyle w:val="Heading1"/>
      </w:pPr>
      <w:r>
        <w:lastRenderedPageBreak/>
        <w:t>Title Page</w:t>
      </w:r>
    </w:p>
    <w:p w14:paraId="039349BD" w14:textId="77777777" w:rsidR="000B7D50" w:rsidRPr="00513F0F" w:rsidRDefault="00BD35E7" w:rsidP="009F7CDB">
      <w:pPr>
        <w:pStyle w:val="Title"/>
      </w:pPr>
      <w:r>
        <w:t>Gene Ex</w:t>
      </w:r>
      <w:r w:rsidR="00410BD3">
        <w:t>p</w:t>
      </w:r>
      <w:r>
        <w:t>ression Signatures of COPD Disease Activity</w:t>
      </w:r>
    </w:p>
    <w:p w14:paraId="4480952D" w14:textId="00616841" w:rsidR="000B7D50" w:rsidRPr="00513F0F" w:rsidRDefault="000B7D50" w:rsidP="009147FC">
      <w:pPr>
        <w:pStyle w:val="NoSpacing"/>
        <w:rPr>
          <w:b/>
          <w:bCs/>
        </w:rPr>
      </w:pPr>
      <w:r w:rsidRPr="00513F0F">
        <w:rPr>
          <w:b/>
          <w:bCs/>
        </w:rPr>
        <w:t xml:space="preserve">AUTHORS: </w:t>
      </w:r>
      <w:r w:rsidRPr="00513F0F">
        <w:t xml:space="preserve">Virginia </w:t>
      </w:r>
      <w:r>
        <w:t xml:space="preserve">Y. </w:t>
      </w:r>
      <w:r w:rsidRPr="00513F0F">
        <w:t>Chen</w:t>
      </w:r>
      <w:r w:rsidRPr="00513F0F">
        <w:rPr>
          <w:vertAlign w:val="superscript"/>
        </w:rPr>
        <w:t>1</w:t>
      </w:r>
      <w:r w:rsidR="00CC432E">
        <w:rPr>
          <w:vertAlign w:val="superscript"/>
        </w:rPr>
        <w:t>, *</w:t>
      </w:r>
      <w:r w:rsidRPr="00513F0F">
        <w:t>, Casey P. Shannon</w:t>
      </w:r>
      <w:r w:rsidRPr="00513F0F">
        <w:rPr>
          <w:vertAlign w:val="superscript"/>
        </w:rPr>
        <w:t>1</w:t>
      </w:r>
      <w:r w:rsidR="00CC432E">
        <w:rPr>
          <w:vertAlign w:val="superscript"/>
        </w:rPr>
        <w:t>, *</w:t>
      </w:r>
      <w:r w:rsidRPr="00513F0F">
        <w:t xml:space="preserve">, </w:t>
      </w:r>
      <w:r w:rsidR="007D14FD">
        <w:t>Yuree Jang</w:t>
      </w:r>
      <w:r w:rsidR="007D14FD" w:rsidRPr="00513F0F">
        <w:rPr>
          <w:vertAlign w:val="superscript"/>
        </w:rPr>
        <w:t>1</w:t>
      </w:r>
      <w:r w:rsidR="007D14FD">
        <w:t xml:space="preserve">, </w:t>
      </w:r>
      <w:r w:rsidRPr="00513F0F">
        <w:t>Zsuzsanna Hollander</w:t>
      </w:r>
      <w:r w:rsidRPr="00513F0F">
        <w:rPr>
          <w:vertAlign w:val="superscript"/>
        </w:rPr>
        <w:t>1</w:t>
      </w:r>
      <w:r w:rsidRPr="00513F0F">
        <w:t>, Robert Balshaw</w:t>
      </w:r>
      <w:r w:rsidRPr="00513F0F">
        <w:rPr>
          <w:vertAlign w:val="superscript"/>
        </w:rPr>
        <w:t>1,2</w:t>
      </w:r>
      <w:r w:rsidRPr="00513F0F">
        <w:t>, Scott J. Tebbutt</w:t>
      </w:r>
      <w:r w:rsidRPr="00513F0F">
        <w:rPr>
          <w:vertAlign w:val="superscript"/>
        </w:rPr>
        <w:t>1,</w:t>
      </w:r>
      <w:r>
        <w:rPr>
          <w:vertAlign w:val="superscript"/>
        </w:rPr>
        <w:t>3,6</w:t>
      </w:r>
      <w:r w:rsidRPr="00513F0F">
        <w:rPr>
          <w:vertAlign w:val="superscript"/>
        </w:rPr>
        <w:t>,</w:t>
      </w:r>
      <w:r>
        <w:rPr>
          <w:vertAlign w:val="superscript"/>
        </w:rPr>
        <w:t>7</w:t>
      </w:r>
      <w:r>
        <w:t xml:space="preserve">, </w:t>
      </w:r>
      <w:r w:rsidRPr="00513F0F">
        <w:t>Bruce M. McManus</w:t>
      </w:r>
      <w:r w:rsidRPr="00513F0F">
        <w:rPr>
          <w:vertAlign w:val="superscript"/>
        </w:rPr>
        <w:t>1,</w:t>
      </w:r>
      <w:r>
        <w:rPr>
          <w:vertAlign w:val="superscript"/>
        </w:rPr>
        <w:t>3,4</w:t>
      </w:r>
      <w:r w:rsidRPr="00513F0F">
        <w:rPr>
          <w:vertAlign w:val="superscript"/>
        </w:rPr>
        <w:t>,</w:t>
      </w:r>
      <w:r>
        <w:rPr>
          <w:vertAlign w:val="superscript"/>
        </w:rPr>
        <w:t>7</w:t>
      </w:r>
      <w:r w:rsidRPr="00513F0F">
        <w:t xml:space="preserve">, </w:t>
      </w:r>
      <w:r w:rsidR="00002951" w:rsidRPr="00513F0F">
        <w:t>Raymond T. Ng</w:t>
      </w:r>
      <w:r w:rsidR="00002951" w:rsidRPr="00513F0F">
        <w:rPr>
          <w:vertAlign w:val="superscript"/>
        </w:rPr>
        <w:t>1,</w:t>
      </w:r>
      <w:r w:rsidR="00002951">
        <w:rPr>
          <w:vertAlign w:val="superscript"/>
        </w:rPr>
        <w:t>3,5</w:t>
      </w:r>
      <w:r w:rsidR="00002951" w:rsidRPr="00513F0F">
        <w:rPr>
          <w:vertAlign w:val="superscript"/>
        </w:rPr>
        <w:t>,</w:t>
      </w:r>
      <w:r w:rsidR="00002951">
        <w:rPr>
          <w:vertAlign w:val="superscript"/>
        </w:rPr>
        <w:t>7</w:t>
      </w:r>
      <w:r w:rsidR="00002951" w:rsidRPr="00513F0F">
        <w:t xml:space="preserve">, </w:t>
      </w:r>
      <w:r w:rsidR="00B51218">
        <w:t>†</w:t>
      </w:r>
      <w:r>
        <w:t>D</w:t>
      </w:r>
      <w:r w:rsidRPr="00513F0F">
        <w:t>on D. Sin</w:t>
      </w:r>
      <w:r>
        <w:rPr>
          <w:vertAlign w:val="superscript"/>
        </w:rPr>
        <w:t>3,6</w:t>
      </w:r>
      <w:r w:rsidRPr="00513F0F">
        <w:rPr>
          <w:vertAlign w:val="superscript"/>
        </w:rPr>
        <w:t>,</w:t>
      </w:r>
      <w:r>
        <w:rPr>
          <w:vertAlign w:val="superscript"/>
        </w:rPr>
        <w:t>7</w:t>
      </w:r>
    </w:p>
    <w:p w14:paraId="45049AC8" w14:textId="77777777" w:rsidR="00895630" w:rsidRDefault="00895630" w:rsidP="009147FC">
      <w:pPr>
        <w:pStyle w:val="NoSpacing"/>
        <w:rPr>
          <w:b/>
          <w:bCs/>
        </w:rPr>
      </w:pPr>
    </w:p>
    <w:p w14:paraId="13E7BE0F" w14:textId="77777777" w:rsidR="000B7D50" w:rsidRDefault="000B7D50" w:rsidP="009147FC">
      <w:pPr>
        <w:pStyle w:val="NoSpacing"/>
      </w:pPr>
      <w:r w:rsidRPr="00513F0F">
        <w:rPr>
          <w:b/>
          <w:bCs/>
        </w:rPr>
        <w:t>AFFILIATIONS:</w:t>
      </w:r>
      <w:r w:rsidRPr="00513F0F">
        <w:t xml:space="preserve"> </w:t>
      </w:r>
      <w:r w:rsidRPr="00513F0F">
        <w:rPr>
          <w:vertAlign w:val="superscript"/>
        </w:rPr>
        <w:t>1</w:t>
      </w:r>
      <w:r w:rsidRPr="00513F0F">
        <w:t xml:space="preserve">PROOF Centre of Excellence, Vancouver, BC, Canada; </w:t>
      </w:r>
      <w:r w:rsidRPr="00513F0F">
        <w:rPr>
          <w:vertAlign w:val="superscript"/>
        </w:rPr>
        <w:t>2</w:t>
      </w:r>
      <w:r w:rsidRPr="00513F0F">
        <w:t>BC Centre for Disease Control, Vancouver, BC, Canada;</w:t>
      </w:r>
      <w:r>
        <w:t xml:space="preserve"> </w:t>
      </w:r>
      <w:r w:rsidRPr="00635BDD">
        <w:rPr>
          <w:vertAlign w:val="superscript"/>
        </w:rPr>
        <w:t>3</w:t>
      </w:r>
      <w:r w:rsidRPr="00FF364C">
        <w:t xml:space="preserve"> </w:t>
      </w:r>
      <w:r w:rsidRPr="00513F0F">
        <w:t>Institute for Heart and Lung Health, Vancouver, BC, Canada</w:t>
      </w:r>
      <w:r>
        <w:t xml:space="preserve">; </w:t>
      </w:r>
      <w:r>
        <w:rPr>
          <w:vertAlign w:val="superscript"/>
        </w:rPr>
        <w:t>4</w:t>
      </w:r>
      <w:r w:rsidRPr="00513F0F">
        <w:t xml:space="preserve">Department of Pathology and Laboratory Medicine, UBC, Vancouver, BC, Canada; </w:t>
      </w:r>
      <w:r>
        <w:rPr>
          <w:vertAlign w:val="superscript"/>
        </w:rPr>
        <w:t>5</w:t>
      </w:r>
      <w:r w:rsidRPr="00513F0F">
        <w:t>Department of Computer Science, UBC, Vancouver, BC, Canada;</w:t>
      </w:r>
      <w:r>
        <w:rPr>
          <w:vertAlign w:val="superscript"/>
        </w:rPr>
        <w:t xml:space="preserve"> 6</w:t>
      </w:r>
      <w:r w:rsidRPr="00513F0F">
        <w:t xml:space="preserve">Department of Medicine, Division of Respiratory Medicine, UBC, Vancouver, BC, Canada; </w:t>
      </w:r>
      <w:r>
        <w:rPr>
          <w:vertAlign w:val="superscript"/>
        </w:rPr>
        <w:t>7</w:t>
      </w:r>
      <w:r w:rsidRPr="00513F0F">
        <w:t>Centre for Heart Lung Innovation, UBC, Vancouver, BC, Canada</w:t>
      </w:r>
      <w:r>
        <w:t>.</w:t>
      </w:r>
    </w:p>
    <w:p w14:paraId="14976776" w14:textId="77777777" w:rsidR="001C6906" w:rsidRPr="00513F0F" w:rsidRDefault="001C6906" w:rsidP="009147FC">
      <w:pPr>
        <w:pStyle w:val="NoSpacing"/>
      </w:pPr>
    </w:p>
    <w:p w14:paraId="3C730FB4" w14:textId="77777777" w:rsidR="00874E16" w:rsidRDefault="00874E16" w:rsidP="009147FC">
      <w:pPr>
        <w:pStyle w:val="NoSpacing"/>
      </w:pPr>
      <w:r>
        <w:t>* These authors contributed equally to the work</w:t>
      </w:r>
    </w:p>
    <w:p w14:paraId="5052D32F" w14:textId="77777777" w:rsidR="00630E50" w:rsidRDefault="00630E50" w:rsidP="009147FC">
      <w:pPr>
        <w:pStyle w:val="NoSpacing"/>
      </w:pPr>
    </w:p>
    <w:p w14:paraId="147C85EC" w14:textId="264D5626" w:rsidR="00630E50" w:rsidRDefault="00630E50" w:rsidP="009147FC">
      <w:pPr>
        <w:pStyle w:val="NoSpacing"/>
      </w:pPr>
      <w:r w:rsidRPr="009D0874">
        <w:rPr>
          <w:highlight w:val="yellow"/>
        </w:rPr>
        <w:t xml:space="preserve">† </w:t>
      </w:r>
      <w:commentRangeStart w:id="0"/>
      <w:r w:rsidRPr="009D0874">
        <w:rPr>
          <w:highlight w:val="yellow"/>
        </w:rPr>
        <w:t>Corresponding author</w:t>
      </w:r>
      <w:commentRangeEnd w:id="0"/>
      <w:r w:rsidR="00210525" w:rsidRPr="009D0874">
        <w:rPr>
          <w:rStyle w:val="CommentReference"/>
          <w:rFonts w:ascii="Calibri" w:eastAsia="Calibri" w:hAnsi="Calibri" w:cs="Times New Roman"/>
          <w:highlight w:val="yellow"/>
        </w:rPr>
        <w:commentReference w:id="0"/>
      </w:r>
      <w:r w:rsidR="00426508" w:rsidRPr="009D0874">
        <w:rPr>
          <w:highlight w:val="yellow"/>
        </w:rPr>
        <w:t xml:space="preserve"> –include address in full</w:t>
      </w:r>
    </w:p>
    <w:p w14:paraId="0F68C6D4" w14:textId="77777777" w:rsidR="001C6906" w:rsidRDefault="001C6906" w:rsidP="009147FC">
      <w:pPr>
        <w:pStyle w:val="NoSpacing"/>
      </w:pPr>
    </w:p>
    <w:p w14:paraId="252E4675" w14:textId="77777777" w:rsidR="000B7D50" w:rsidRPr="00513F0F" w:rsidRDefault="000B7D50" w:rsidP="009147FC">
      <w:pPr>
        <w:pStyle w:val="NoSpacing"/>
      </w:pPr>
      <w:r w:rsidRPr="00513F0F">
        <w:t xml:space="preserve">Virginia </w:t>
      </w:r>
      <w:r>
        <w:t xml:space="preserve">Y. </w:t>
      </w:r>
      <w:r w:rsidRPr="00513F0F">
        <w:t xml:space="preserve">Chen: </w:t>
      </w:r>
      <w:hyperlink r:id="rId11" w:history="1">
        <w:r w:rsidRPr="00513F0F">
          <w:rPr>
            <w:rStyle w:val="Hyperlink"/>
          </w:rPr>
          <w:t>virginia.chen@hli.ubc.ca</w:t>
        </w:r>
      </w:hyperlink>
    </w:p>
    <w:p w14:paraId="7B51B6B7" w14:textId="77777777" w:rsidR="000B7D50" w:rsidRDefault="000B7D50" w:rsidP="009147FC">
      <w:pPr>
        <w:pStyle w:val="NoSpacing"/>
      </w:pPr>
      <w:r w:rsidRPr="00513F0F">
        <w:t xml:space="preserve">Casey P. Shannon: </w:t>
      </w:r>
      <w:hyperlink r:id="rId12" w:history="1">
        <w:r w:rsidRPr="00513F0F">
          <w:rPr>
            <w:rStyle w:val="Hyperlink"/>
          </w:rPr>
          <w:t>casey.shannon@hli.ubc.ca</w:t>
        </w:r>
      </w:hyperlink>
    </w:p>
    <w:p w14:paraId="08DB7DE0" w14:textId="77777777" w:rsidR="007D14FD" w:rsidRDefault="007D14FD" w:rsidP="009147FC">
      <w:pPr>
        <w:pStyle w:val="NoSpacing"/>
      </w:pPr>
      <w:r>
        <w:t xml:space="preserve">Yuree Jang: </w:t>
      </w:r>
      <w:hyperlink r:id="rId13" w:history="1">
        <w:r w:rsidR="0010430E" w:rsidRPr="00F33EA8">
          <w:rPr>
            <w:rStyle w:val="Hyperlink"/>
          </w:rPr>
          <w:t>yj.yuree.jang@gmail.com</w:t>
        </w:r>
      </w:hyperlink>
    </w:p>
    <w:p w14:paraId="6778A35C" w14:textId="77777777" w:rsidR="000B7D50" w:rsidRDefault="000B7D50" w:rsidP="009147FC">
      <w:pPr>
        <w:pStyle w:val="NoSpacing"/>
      </w:pPr>
      <w:r w:rsidRPr="00513F0F">
        <w:t xml:space="preserve">Zsuzsanna Hollander: </w:t>
      </w:r>
      <w:hyperlink r:id="rId14" w:history="1">
        <w:r w:rsidRPr="00513F0F">
          <w:rPr>
            <w:rStyle w:val="Hyperlink"/>
          </w:rPr>
          <w:t>zsuzsanna.hollander@hi.ubc.ca</w:t>
        </w:r>
      </w:hyperlink>
    </w:p>
    <w:p w14:paraId="1A1FE7FA" w14:textId="77777777" w:rsidR="000B7D50" w:rsidRDefault="000B7D50" w:rsidP="009147FC">
      <w:pPr>
        <w:pStyle w:val="NoSpacing"/>
      </w:pPr>
      <w:r w:rsidRPr="00513F0F">
        <w:t xml:space="preserve">Robert Balshaw: </w:t>
      </w:r>
      <w:hyperlink r:id="rId15" w:history="1">
        <w:r w:rsidRPr="00513F0F">
          <w:rPr>
            <w:rStyle w:val="Hyperlink"/>
          </w:rPr>
          <w:t>robert.balshaw@bccdc.ca</w:t>
        </w:r>
      </w:hyperlink>
    </w:p>
    <w:p w14:paraId="55131658" w14:textId="77777777" w:rsidR="000B7D50" w:rsidRPr="00513F0F" w:rsidRDefault="000B7D50" w:rsidP="009147FC">
      <w:pPr>
        <w:pStyle w:val="NoSpacing"/>
        <w:rPr>
          <w:rStyle w:val="Hyperlink"/>
        </w:rPr>
      </w:pPr>
      <w:r w:rsidRPr="00513F0F">
        <w:t xml:space="preserve">Scott J. Tebbutt: </w:t>
      </w:r>
      <w:hyperlink r:id="rId16" w:history="1">
        <w:r w:rsidRPr="00513F0F">
          <w:rPr>
            <w:rStyle w:val="Hyperlink"/>
          </w:rPr>
          <w:t>scott.tebbutt@hli.ubc.ca</w:t>
        </w:r>
      </w:hyperlink>
    </w:p>
    <w:p w14:paraId="584D1478" w14:textId="77777777" w:rsidR="000B7D50" w:rsidRPr="0010430E" w:rsidRDefault="000B7D50" w:rsidP="009147FC">
      <w:pPr>
        <w:pStyle w:val="NoSpacing"/>
        <w:rPr>
          <w:lang w:val="fr-CA"/>
        </w:rPr>
      </w:pPr>
      <w:r w:rsidRPr="0010430E">
        <w:rPr>
          <w:lang w:val="fr-CA"/>
        </w:rPr>
        <w:t xml:space="preserve">Bruce M. McManus: </w:t>
      </w:r>
      <w:hyperlink r:id="rId17" w:history="1">
        <w:r w:rsidRPr="0010430E">
          <w:rPr>
            <w:rStyle w:val="Hyperlink"/>
            <w:lang w:val="fr-CA"/>
          </w:rPr>
          <w:t>bruce.mcmanus@hli.ubc.ca</w:t>
        </w:r>
      </w:hyperlink>
    </w:p>
    <w:p w14:paraId="20172C04" w14:textId="77777777" w:rsidR="00002951" w:rsidRPr="00513F0F" w:rsidRDefault="00002951" w:rsidP="009147FC">
      <w:pPr>
        <w:pStyle w:val="NoSpacing"/>
      </w:pPr>
      <w:r w:rsidRPr="00513F0F">
        <w:t xml:space="preserve">Raymond T. Ng: </w:t>
      </w:r>
      <w:hyperlink r:id="rId18" w:history="1">
        <w:r w:rsidRPr="00513F0F">
          <w:rPr>
            <w:rStyle w:val="Hyperlink"/>
          </w:rPr>
          <w:t>rng@cs.ubc.ca</w:t>
        </w:r>
      </w:hyperlink>
    </w:p>
    <w:p w14:paraId="340068ED" w14:textId="7E865BBC" w:rsidR="00D369A5" w:rsidRDefault="000B7D50" w:rsidP="009147FC">
      <w:pPr>
        <w:pStyle w:val="NoSpacing"/>
        <w:rPr>
          <w:rStyle w:val="Hyperlink"/>
        </w:rPr>
      </w:pPr>
      <w:r w:rsidRPr="00513F0F">
        <w:t xml:space="preserve">Don D. Sin: </w:t>
      </w:r>
      <w:hyperlink r:id="rId19" w:history="1">
        <w:r w:rsidRPr="00513F0F">
          <w:rPr>
            <w:rStyle w:val="Hyperlink"/>
          </w:rPr>
          <w:t>don.sin@hli.ubc.ca</w:t>
        </w:r>
      </w:hyperlink>
    </w:p>
    <w:p w14:paraId="10518BD2" w14:textId="77777777" w:rsidR="004D1137" w:rsidRDefault="004D1137" w:rsidP="003E3039">
      <w:pPr>
        <w:pStyle w:val="NoSpacing"/>
      </w:pPr>
    </w:p>
    <w:p w14:paraId="315B52D6" w14:textId="23808339" w:rsidR="00593A40" w:rsidRPr="002C059D" w:rsidRDefault="00593A40" w:rsidP="003E3039">
      <w:pPr>
        <w:pStyle w:val="NoSpacing"/>
        <w:rPr>
          <w:b/>
        </w:rPr>
      </w:pPr>
      <w:r w:rsidRPr="002C059D">
        <w:rPr>
          <w:b/>
        </w:rPr>
        <w:t>Author’s Contributions</w:t>
      </w:r>
      <w:r w:rsidR="00730157">
        <w:rPr>
          <w:b/>
        </w:rPr>
        <w:t>:</w:t>
      </w:r>
    </w:p>
    <w:p w14:paraId="1785B702" w14:textId="4B9C3DDB" w:rsidR="00593A40" w:rsidRDefault="00593A40" w:rsidP="003E3039">
      <w:pPr>
        <w:pStyle w:val="NoSpacing"/>
      </w:pPr>
      <w:r>
        <w:t>V</w:t>
      </w:r>
      <w:r w:rsidR="00CC3A99">
        <w:t>Y</w:t>
      </w:r>
      <w:r>
        <w:t>C:</w:t>
      </w:r>
    </w:p>
    <w:p w14:paraId="7FCA8457" w14:textId="5CBF0EEC" w:rsidR="00593A40" w:rsidRDefault="00593A40" w:rsidP="003E3039">
      <w:pPr>
        <w:pStyle w:val="NoSpacing"/>
      </w:pPr>
      <w:r>
        <w:t>CPS:</w:t>
      </w:r>
    </w:p>
    <w:p w14:paraId="1743FBCA" w14:textId="77777777" w:rsidR="00593A40" w:rsidRDefault="00593A40" w:rsidP="003E3039">
      <w:pPr>
        <w:pStyle w:val="NoSpacing"/>
      </w:pPr>
      <w:r>
        <w:t>YJ:</w:t>
      </w:r>
    </w:p>
    <w:p w14:paraId="261F235D" w14:textId="77777777" w:rsidR="00593A40" w:rsidRDefault="00593A40" w:rsidP="003E3039">
      <w:pPr>
        <w:pStyle w:val="NoSpacing"/>
      </w:pPr>
      <w:r w:rsidRPr="00513F0F">
        <w:t>Z</w:t>
      </w:r>
      <w:r>
        <w:t>H:</w:t>
      </w:r>
    </w:p>
    <w:p w14:paraId="139C7C5B" w14:textId="77777777" w:rsidR="00593A40" w:rsidRDefault="00593A40" w:rsidP="003E3039">
      <w:pPr>
        <w:pStyle w:val="NoSpacing"/>
      </w:pPr>
      <w:r>
        <w:t>RB:</w:t>
      </w:r>
    </w:p>
    <w:p w14:paraId="755B732A" w14:textId="77777777" w:rsidR="00593A40" w:rsidRDefault="00593A40" w:rsidP="003E3039">
      <w:pPr>
        <w:pStyle w:val="NoSpacing"/>
      </w:pPr>
      <w:r>
        <w:t>SJT:</w:t>
      </w:r>
    </w:p>
    <w:p w14:paraId="505E16BB" w14:textId="77777777" w:rsidR="00593A40" w:rsidRDefault="00593A40" w:rsidP="003E3039">
      <w:pPr>
        <w:pStyle w:val="NoSpacing"/>
      </w:pPr>
      <w:r>
        <w:t>BMM:</w:t>
      </w:r>
    </w:p>
    <w:p w14:paraId="449AE32B" w14:textId="77777777" w:rsidR="00593A40" w:rsidRDefault="00593A40" w:rsidP="003E3039">
      <w:pPr>
        <w:pStyle w:val="NoSpacing"/>
      </w:pPr>
      <w:r>
        <w:t>RTN:</w:t>
      </w:r>
    </w:p>
    <w:p w14:paraId="0509BD4B" w14:textId="77777777" w:rsidR="00593A40" w:rsidRDefault="00593A40" w:rsidP="003E3039">
      <w:pPr>
        <w:pStyle w:val="NoSpacing"/>
      </w:pPr>
      <w:r>
        <w:t>DDS:</w:t>
      </w:r>
    </w:p>
    <w:p w14:paraId="236D9FE7" w14:textId="77777777" w:rsidR="004D1137" w:rsidRDefault="004D1137" w:rsidP="003E3039">
      <w:pPr>
        <w:pStyle w:val="NoSpacing"/>
      </w:pPr>
    </w:p>
    <w:p w14:paraId="0DDA6FAD" w14:textId="0839BF1F" w:rsidR="00747821" w:rsidRPr="003374C1" w:rsidRDefault="00747821" w:rsidP="003E3039">
      <w:pPr>
        <w:pStyle w:val="NoSpacing"/>
        <w:rPr>
          <w:b/>
        </w:rPr>
      </w:pPr>
      <w:r w:rsidRPr="002C059D">
        <w:rPr>
          <w:b/>
        </w:rPr>
        <w:t>Funding</w:t>
      </w:r>
      <w:r w:rsidR="003305A2">
        <w:rPr>
          <w:b/>
        </w:rPr>
        <w:t>:</w:t>
      </w:r>
      <w:r w:rsidR="008D1AD7" w:rsidRPr="00DB4993">
        <w:t xml:space="preserve"> </w:t>
      </w:r>
      <w:r w:rsidR="00DB4993" w:rsidRPr="00DB4993">
        <w:t>Funding was provided by Genome Canada, Genome British Columbia, Genome Quebec, the Canadian Institutes of Health Research, PROOF Centre of Excellence, St. Paul’s Hospital Foundation, Providence Health Care, and the Canadian Respiratory Research Network.</w:t>
      </w:r>
    </w:p>
    <w:p w14:paraId="0071568A" w14:textId="790778B9" w:rsidR="008019CA" w:rsidRDefault="008019CA" w:rsidP="003E3039">
      <w:pPr>
        <w:pStyle w:val="NoSpacing"/>
        <w:rPr>
          <w:b/>
        </w:rPr>
      </w:pPr>
      <w:r>
        <w:rPr>
          <w:b/>
        </w:rPr>
        <w:t>Running Title:</w:t>
      </w:r>
    </w:p>
    <w:p w14:paraId="2738505C" w14:textId="3C507B7D" w:rsidR="00F13798" w:rsidRPr="00F13798" w:rsidRDefault="008019CA" w:rsidP="003E3039">
      <w:pPr>
        <w:pStyle w:val="NoSpacing"/>
        <w:rPr>
          <w:b/>
        </w:rPr>
      </w:pPr>
      <w:r>
        <w:rPr>
          <w:b/>
        </w:rPr>
        <w:lastRenderedPageBreak/>
        <w:t>Subject Category D</w:t>
      </w:r>
      <w:r w:rsidR="00F13798" w:rsidRPr="00F13798">
        <w:rPr>
          <w:b/>
        </w:rPr>
        <w:t>escriptor:</w:t>
      </w:r>
    </w:p>
    <w:p w14:paraId="4DD7D70E" w14:textId="25F4DD21" w:rsidR="004A3A71" w:rsidRDefault="004A3A71" w:rsidP="003E3039">
      <w:pPr>
        <w:pStyle w:val="NoSpacing"/>
        <w:rPr>
          <w:b/>
        </w:rPr>
      </w:pPr>
      <w:r>
        <w:rPr>
          <w:b/>
        </w:rPr>
        <w:t>Word C</w:t>
      </w:r>
      <w:r w:rsidRPr="00F13798">
        <w:rPr>
          <w:b/>
        </w:rPr>
        <w:t>ount</w:t>
      </w:r>
      <w:r w:rsidR="005E5490">
        <w:rPr>
          <w:b/>
        </w:rPr>
        <w:t xml:space="preserve"> (abstract</w:t>
      </w:r>
      <w:r w:rsidR="00E70B81">
        <w:rPr>
          <w:b/>
        </w:rPr>
        <w:t xml:space="preserve"> – max 250</w:t>
      </w:r>
      <w:r w:rsidR="005E5490">
        <w:rPr>
          <w:b/>
        </w:rPr>
        <w:t>)</w:t>
      </w:r>
      <w:r w:rsidRPr="00F13798">
        <w:rPr>
          <w:b/>
        </w:rPr>
        <w:t>:</w:t>
      </w:r>
      <w:r w:rsidR="00C3417A">
        <w:rPr>
          <w:b/>
        </w:rPr>
        <w:t xml:space="preserve"> </w:t>
      </w:r>
      <w:r w:rsidR="00BB2C05">
        <w:rPr>
          <w:b/>
        </w:rPr>
        <w:t>250</w:t>
      </w:r>
    </w:p>
    <w:p w14:paraId="013DF6CC" w14:textId="6478D504" w:rsidR="00F13798" w:rsidRPr="00F13798" w:rsidRDefault="008019CA" w:rsidP="003E3039">
      <w:pPr>
        <w:pStyle w:val="NoSpacing"/>
        <w:rPr>
          <w:b/>
        </w:rPr>
      </w:pPr>
      <w:r>
        <w:rPr>
          <w:b/>
        </w:rPr>
        <w:t>Word C</w:t>
      </w:r>
      <w:r w:rsidR="00F13798" w:rsidRPr="00F13798">
        <w:rPr>
          <w:b/>
        </w:rPr>
        <w:t>ount</w:t>
      </w:r>
      <w:r w:rsidR="005E5490">
        <w:rPr>
          <w:b/>
        </w:rPr>
        <w:t xml:space="preserve"> (body</w:t>
      </w:r>
      <w:r w:rsidR="00E70B81">
        <w:rPr>
          <w:b/>
        </w:rPr>
        <w:t xml:space="preserve"> – max 3500</w:t>
      </w:r>
      <w:r w:rsidR="005E5490">
        <w:rPr>
          <w:b/>
        </w:rPr>
        <w:t>)</w:t>
      </w:r>
      <w:r w:rsidR="00F13798" w:rsidRPr="00F13798">
        <w:rPr>
          <w:b/>
        </w:rPr>
        <w:t>:</w:t>
      </w:r>
      <w:r w:rsidR="00C3417A">
        <w:rPr>
          <w:b/>
        </w:rPr>
        <w:t xml:space="preserve"> </w:t>
      </w:r>
      <w:r w:rsidR="009A1AF4">
        <w:rPr>
          <w:b/>
          <w:highlight w:val="yellow"/>
        </w:rPr>
        <w:t>4</w:t>
      </w:r>
      <w:r w:rsidR="0036467B">
        <w:rPr>
          <w:b/>
          <w:highlight w:val="yellow"/>
        </w:rPr>
        <w:t>123</w:t>
      </w:r>
    </w:p>
    <w:p w14:paraId="4CE5A5CA" w14:textId="0CAF9912" w:rsidR="00BD22E0" w:rsidRDefault="00BD22E0" w:rsidP="003E3039">
      <w:pPr>
        <w:pStyle w:val="NoSpacing"/>
      </w:pPr>
    </w:p>
    <w:p w14:paraId="0163BD4B" w14:textId="77777777" w:rsidR="002E25D8" w:rsidRDefault="002E25D8" w:rsidP="003E3039">
      <w:pPr>
        <w:pStyle w:val="NoSpacing"/>
        <w:sectPr w:rsidR="002E25D8" w:rsidSect="00ED488E">
          <w:footerReference w:type="default" r:id="rId20"/>
          <w:pgSz w:w="12240" w:h="15840"/>
          <w:pgMar w:top="1440" w:right="1440" w:bottom="1440" w:left="1440" w:header="720" w:footer="720" w:gutter="0"/>
          <w:pgNumType w:start="1"/>
          <w:cols w:space="720"/>
          <w:docGrid w:linePitch="360"/>
        </w:sectPr>
      </w:pPr>
    </w:p>
    <w:p w14:paraId="5EEA250D" w14:textId="77777777" w:rsidR="000B7D50" w:rsidRDefault="000B7D50" w:rsidP="009F7CDB">
      <w:pPr>
        <w:pStyle w:val="Heading1"/>
      </w:pPr>
      <w:commentRangeStart w:id="1"/>
      <w:r w:rsidRPr="000B7D50">
        <w:lastRenderedPageBreak/>
        <w:t>Abstract</w:t>
      </w:r>
      <w:commentRangeEnd w:id="1"/>
      <w:r w:rsidR="00A264C2">
        <w:rPr>
          <w:rStyle w:val="CommentReference"/>
          <w:rFonts w:ascii="Calibri" w:eastAsia="Calibri" w:hAnsi="Calibri" w:cs="Times New Roman"/>
          <w:b w:val="0"/>
          <w:bCs w:val="0"/>
          <w:caps w:val="0"/>
          <w:color w:val="auto"/>
          <w:spacing w:val="0"/>
        </w:rPr>
        <w:commentReference w:id="1"/>
      </w:r>
    </w:p>
    <w:p w14:paraId="24EED591" w14:textId="518963AF" w:rsidR="00196BF7" w:rsidRDefault="004622F7" w:rsidP="00196BF7">
      <w:r>
        <w:rPr>
          <w:b/>
        </w:rPr>
        <w:t>Rationale</w:t>
      </w:r>
      <w:r w:rsidR="00DB1148">
        <w:t xml:space="preserve"> </w:t>
      </w:r>
      <w:r w:rsidR="00196BF7">
        <w:t>Chronic obstructive pulmonary disease (COPD) is the 4th leading cause of death worldwide, accounting for 5% of global mortality. COPD is characterized by loss of lung function and sporadic worsening of symptoms termed acute exacerbations of COPD (AECOPD). These events are associated with significant morbidity and mortality, are a major cause of COPD-related hospitalizations, and have been associated with accelerated disease progression and permanent lung function decline.</w:t>
      </w:r>
      <w:r w:rsidR="00B67312">
        <w:t xml:space="preserve"> No </w:t>
      </w:r>
      <w:r w:rsidR="00D96C39">
        <w:t xml:space="preserve">biomarker </w:t>
      </w:r>
      <w:r w:rsidR="00511B86">
        <w:t xml:space="preserve">exists </w:t>
      </w:r>
      <w:r w:rsidR="00B67312">
        <w:t xml:space="preserve">capable of predicting </w:t>
      </w:r>
      <w:r w:rsidR="001A1805">
        <w:t>imminent</w:t>
      </w:r>
      <w:r w:rsidR="00B67312">
        <w:t xml:space="preserve"> AECOPD.</w:t>
      </w:r>
    </w:p>
    <w:p w14:paraId="435CB7D8" w14:textId="3AD2E5DB" w:rsidR="006F71D2" w:rsidRDefault="006F71D2" w:rsidP="00196BF7">
      <w:commentRangeStart w:id="2"/>
      <w:r w:rsidRPr="00045292">
        <w:rPr>
          <w:b/>
        </w:rPr>
        <w:t>Objective:</w:t>
      </w:r>
      <w:r>
        <w:t xml:space="preserve"> To identify blood-based biomarker</w:t>
      </w:r>
      <w:r w:rsidR="00C22F56">
        <w:t>s</w:t>
      </w:r>
      <w:r>
        <w:t xml:space="preserve"> of disease activity in COPD.</w:t>
      </w:r>
      <w:commentRangeEnd w:id="2"/>
      <w:r w:rsidR="009A7EE7">
        <w:rPr>
          <w:rStyle w:val="CommentReference"/>
          <w:rFonts w:ascii="Calibri" w:eastAsia="Calibri" w:hAnsi="Calibri" w:cs="Times New Roman"/>
        </w:rPr>
        <w:commentReference w:id="2"/>
      </w:r>
    </w:p>
    <w:p w14:paraId="525E0971" w14:textId="6FAE9A1E" w:rsidR="00196BF7" w:rsidRPr="0032235C" w:rsidRDefault="00196BF7" w:rsidP="00196BF7">
      <w:r w:rsidRPr="001A33B7">
        <w:rPr>
          <w:b/>
        </w:rPr>
        <w:t>Methods</w:t>
      </w:r>
      <w:r w:rsidR="00DB1148" w:rsidRPr="001A33B7">
        <w:rPr>
          <w:b/>
        </w:rPr>
        <w:t>:</w:t>
      </w:r>
      <w:r w:rsidR="00DB1148">
        <w:t xml:space="preserve"> </w:t>
      </w:r>
      <w:r>
        <w:t xml:space="preserve">Whole blood </w:t>
      </w:r>
      <w:r w:rsidR="00B6655D">
        <w:t xml:space="preserve">gene expression profiling was carried out in two large clinical cohorts. </w:t>
      </w:r>
      <w:r>
        <w:t xml:space="preserve">Weighted Gene Co-expression Network Analysis (WGCNA) was </w:t>
      </w:r>
      <w:r w:rsidR="007A5F67">
        <w:t xml:space="preserve">first </w:t>
      </w:r>
      <w:r>
        <w:t xml:space="preserve">applied to </w:t>
      </w:r>
      <w:r w:rsidR="00FD6989">
        <w:t>226</w:t>
      </w:r>
      <w:r>
        <w:t xml:space="preserve"> subjects </w:t>
      </w:r>
      <w:r w:rsidR="00D83C5D">
        <w:t xml:space="preserve">with stable COPD </w:t>
      </w:r>
      <w:r>
        <w:t xml:space="preserve">to </w:t>
      </w:r>
      <w:r w:rsidR="007A5F67">
        <w:t>identify</w:t>
      </w:r>
      <w:r>
        <w:t xml:space="preserve"> </w:t>
      </w:r>
      <w:r w:rsidR="00514C1A">
        <w:t xml:space="preserve">co-regulated </w:t>
      </w:r>
      <w:r>
        <w:t xml:space="preserve">gene modules. These modules were used </w:t>
      </w:r>
      <w:r w:rsidR="00215B4C">
        <w:t xml:space="preserve">for </w:t>
      </w:r>
      <w:r>
        <w:t>biomar</w:t>
      </w:r>
      <w:r w:rsidR="00FD6989">
        <w:t>ker discovery in 20</w:t>
      </w:r>
      <w:r w:rsidR="00D83C5D">
        <w:t xml:space="preserve"> </w:t>
      </w:r>
      <w:r w:rsidR="00CA52AA">
        <w:t>imminent</w:t>
      </w:r>
      <w:r>
        <w:t xml:space="preserve"> exacerbators (</w:t>
      </w:r>
      <w:r w:rsidR="00CA52AA">
        <w:t xml:space="preserve">IE; </w:t>
      </w:r>
      <w:r>
        <w:t xml:space="preserve">AECOPD occurring within 60 days of the blood draw) versus </w:t>
      </w:r>
      <w:r w:rsidR="00FD6698">
        <w:t>122</w:t>
      </w:r>
      <w:r>
        <w:t xml:space="preserve"> non-exacerbators</w:t>
      </w:r>
      <w:r w:rsidR="00CA52AA">
        <w:t xml:space="preserve"> (NE)</w:t>
      </w:r>
      <w:r>
        <w:t xml:space="preserve">, and 64 </w:t>
      </w:r>
      <w:r w:rsidR="00D83C5D">
        <w:t xml:space="preserve">active </w:t>
      </w:r>
      <w:r>
        <w:t xml:space="preserve">AECOPD </w:t>
      </w:r>
      <w:r w:rsidR="00B90619">
        <w:t>vs.</w:t>
      </w:r>
      <w:r>
        <w:t xml:space="preserve"> 4</w:t>
      </w:r>
      <w:r w:rsidR="00CA52AA">
        <w:t>5</w:t>
      </w:r>
      <w:r>
        <w:t xml:space="preserve"> stable COPD</w:t>
      </w:r>
      <w:r w:rsidR="0070236B">
        <w:t>.</w:t>
      </w:r>
      <w:r w:rsidR="00D12298">
        <w:t xml:space="preserve"> </w:t>
      </w:r>
      <w:r w:rsidR="0070236B">
        <w:t xml:space="preserve">Their </w:t>
      </w:r>
      <w:r w:rsidR="00D12298">
        <w:t xml:space="preserve">discriminative performance </w:t>
      </w:r>
      <w:r w:rsidR="00B138DC">
        <w:t xml:space="preserve">was </w:t>
      </w:r>
      <w:r w:rsidR="00D12298">
        <w:t>confirmed in independent samples</w:t>
      </w:r>
      <w:r w:rsidR="00FF06EC">
        <w:t xml:space="preserve"> (157 active AECOPD </w:t>
      </w:r>
      <w:r w:rsidR="00B90619">
        <w:t xml:space="preserve">vs. </w:t>
      </w:r>
      <w:r w:rsidR="00FF06EC">
        <w:t>57 stable COPD)</w:t>
      </w:r>
      <w:r w:rsidRPr="0032235C">
        <w:t>.</w:t>
      </w:r>
    </w:p>
    <w:p w14:paraId="2F72BDC7" w14:textId="4E9DF688" w:rsidR="00271723" w:rsidRDefault="004622F7" w:rsidP="00286B84">
      <w:r>
        <w:rPr>
          <w:b/>
        </w:rPr>
        <w:t>Measurements and Main Results</w:t>
      </w:r>
      <w:r w:rsidR="00DB1148">
        <w:t xml:space="preserve"> </w:t>
      </w:r>
      <w:r w:rsidR="00EB3E10">
        <w:t>Twenty-</w:t>
      </w:r>
      <w:r w:rsidR="00CC5578">
        <w:t xml:space="preserve">three </w:t>
      </w:r>
      <w:r w:rsidR="00271723">
        <w:t>gene modules we</w:t>
      </w:r>
      <w:r w:rsidR="00CA52AA">
        <w:t xml:space="preserve">re </w:t>
      </w:r>
      <w:r w:rsidR="00562198">
        <w:t>identified</w:t>
      </w:r>
      <w:r w:rsidR="00286B84">
        <w:t>.</w:t>
      </w:r>
      <w:r w:rsidR="00271723">
        <w:t xml:space="preserve"> </w:t>
      </w:r>
      <w:r w:rsidR="008139DB">
        <w:t xml:space="preserve">Three modules yielded </w:t>
      </w:r>
      <w:r w:rsidR="00CA52AA">
        <w:t xml:space="preserve">panels </w:t>
      </w:r>
      <w:r w:rsidR="00286B84">
        <w:t xml:space="preserve">capable of discriminating IE from NE </w:t>
      </w:r>
      <w:r w:rsidR="00CA52AA">
        <w:t xml:space="preserve">with cross-validation AUC </w:t>
      </w:r>
      <w:r w:rsidR="003B227C">
        <w:t>greater than 0.65 (</w:t>
      </w:r>
      <w:r w:rsidR="00CA52AA">
        <w:t>ranging from 0.6</w:t>
      </w:r>
      <w:r w:rsidR="00190BEB">
        <w:t>7</w:t>
      </w:r>
      <w:r w:rsidR="00CA52AA">
        <w:t xml:space="preserve"> – 0.7</w:t>
      </w:r>
      <w:r w:rsidR="00190BEB">
        <w:t>1</w:t>
      </w:r>
      <w:r w:rsidR="003B227C">
        <w:t>)</w:t>
      </w:r>
      <w:r w:rsidR="00CA52AA">
        <w:t xml:space="preserve">, </w:t>
      </w:r>
      <w:r w:rsidR="00286B84">
        <w:t xml:space="preserve">and </w:t>
      </w:r>
      <w:r w:rsidR="00CA52AA">
        <w:t>able to discriminate between AECOPD and stable COPD when tested off-the-shelf with AUC 0.7</w:t>
      </w:r>
      <w:r w:rsidR="00820D14">
        <w:t>6</w:t>
      </w:r>
      <w:r w:rsidR="00CA52AA">
        <w:t xml:space="preserve"> – 0.8</w:t>
      </w:r>
      <w:r w:rsidR="00820D14">
        <w:t>2</w:t>
      </w:r>
      <w:r w:rsidR="00CA52AA">
        <w:t xml:space="preserve">. </w:t>
      </w:r>
      <w:r w:rsidR="0095126F">
        <w:t xml:space="preserve">We confirmed the latter </w:t>
      </w:r>
      <w:r w:rsidR="004A57FB">
        <w:t>in a large independent cohort (AUC 0.74 – 0.84).</w:t>
      </w:r>
    </w:p>
    <w:p w14:paraId="47F653D1" w14:textId="1FD521D8" w:rsidR="001928A6" w:rsidRDefault="00196BF7" w:rsidP="00196BF7">
      <w:r w:rsidRPr="003C6338">
        <w:rPr>
          <w:b/>
        </w:rPr>
        <w:t>Conclusion</w:t>
      </w:r>
      <w:r w:rsidR="00870FAA">
        <w:rPr>
          <w:b/>
        </w:rPr>
        <w:t>s</w:t>
      </w:r>
      <w:r w:rsidR="00DB1148" w:rsidRPr="003C6338">
        <w:rPr>
          <w:b/>
        </w:rPr>
        <w:t>:</w:t>
      </w:r>
      <w:r w:rsidR="00DB1148">
        <w:t xml:space="preserve"> </w:t>
      </w:r>
      <w:r w:rsidR="00A14F47">
        <w:t xml:space="preserve">These biosignatures were highest during AECOPD and showed decreasing levels during convalescence, </w:t>
      </w:r>
      <w:r w:rsidR="00905368">
        <w:t>track</w:t>
      </w:r>
      <w:r w:rsidR="00A14F47">
        <w:t xml:space="preserve">ing </w:t>
      </w:r>
      <w:r>
        <w:t>the clin</w:t>
      </w:r>
      <w:r w:rsidR="00905368">
        <w:t>ical manifestation of symptoms, and may be useful monitoring tools.</w:t>
      </w:r>
    </w:p>
    <w:p w14:paraId="5F3B0EBA" w14:textId="22376C52" w:rsidR="00D803C6" w:rsidRPr="00D803C6" w:rsidRDefault="00D803C6" w:rsidP="00196BF7">
      <w:pPr>
        <w:rPr>
          <w:b/>
        </w:rPr>
      </w:pPr>
      <w:r w:rsidRPr="00D803C6">
        <w:rPr>
          <w:b/>
        </w:rPr>
        <w:t>Word Count</w:t>
      </w:r>
      <w:r w:rsidR="00C9153C">
        <w:rPr>
          <w:b/>
        </w:rPr>
        <w:t xml:space="preserve"> (max – 250)</w:t>
      </w:r>
      <w:r w:rsidRPr="00D803C6">
        <w:rPr>
          <w:b/>
        </w:rPr>
        <w:t xml:space="preserve">: </w:t>
      </w:r>
      <w:r w:rsidR="00532BB5">
        <w:rPr>
          <w:b/>
        </w:rPr>
        <w:t>250</w:t>
      </w:r>
    </w:p>
    <w:p w14:paraId="5C766BA0" w14:textId="28AC51C5" w:rsidR="001928A6" w:rsidRDefault="00D803C6">
      <w:r w:rsidRPr="00D803C6">
        <w:rPr>
          <w:b/>
        </w:rPr>
        <w:t>Key Words</w:t>
      </w:r>
      <w:r w:rsidR="008E6E00">
        <w:rPr>
          <w:b/>
        </w:rPr>
        <w:t xml:space="preserve"> (MeSH terms preferred)</w:t>
      </w:r>
      <w:r w:rsidRPr="00D803C6">
        <w:rPr>
          <w:b/>
        </w:rPr>
        <w:t>:</w:t>
      </w:r>
      <w:r w:rsidR="001928A6">
        <w:br w:type="page"/>
      </w:r>
    </w:p>
    <w:p w14:paraId="52F5277A" w14:textId="77777777" w:rsidR="00730D1F" w:rsidRDefault="00730D1F" w:rsidP="009F7CDB">
      <w:pPr>
        <w:pStyle w:val="Heading1"/>
      </w:pPr>
      <w:r>
        <w:lastRenderedPageBreak/>
        <w:t>Introduction</w:t>
      </w:r>
    </w:p>
    <w:p w14:paraId="21F8485E" w14:textId="77777777" w:rsidR="00442DFC" w:rsidRDefault="006C3153" w:rsidP="009F7CDB">
      <w:pPr>
        <w:rPr>
          <w:color w:val="000000"/>
          <w:shd w:val="clear" w:color="auto" w:fill="FFFFFF"/>
        </w:rPr>
      </w:pPr>
      <w:r>
        <w:t xml:space="preserve">Chronic obstructive pulmonary disease (COPD) affects an estimated </w:t>
      </w:r>
      <w:r w:rsidR="00A61D7B">
        <w:t>328</w:t>
      </w:r>
      <w:r w:rsidR="009F1CB3">
        <w:t xml:space="preserve"> </w:t>
      </w:r>
      <w:r>
        <w:t>million individuals worldwide</w:t>
      </w:r>
      <w:r w:rsidR="0086508A">
        <w:fldChar w:fldCharType="begin"/>
      </w:r>
      <w:r w:rsidR="00CF6B8A">
        <w:instrText xml:space="preserve"> ADDIN ZOTERO_ITEM CSL_CITATION {"citationID":"23qpe4g67v","properties":{"formattedCitation":"(1)","plainCitation":"(1)"},"citationItems":[{"id":1267,"uris":["http://zotero.org/users/892254/items/JWF8G779"],"uri":["http://zotero.org/users/892254/items/JWF8G779"],"itemData":{"id":1267,"type":"article-journal","title":"Years lived with disability (YLDs) for 1160 sequelae of 289 diseases and injuries 1990–2010: a systematic analysis for the Global Burden of Disease Study 2010","container-title":"The Lancet","page":"2163-2196","volume":"380","issue":"9859","source":"ScienceDirect","abstract":"SummaryBackground\nNon-fatal health outcomes from diseases and injuries are a crucial consideration in the promotion and monitoring of individual and population health. The Global Burden of Disease (GBD) studies done in 1990 and 2000 have been the only studies to quantify non-fatal health outcomes across an exhaustive set of disorders at the global and regional level. Neither effort quantified uncertainty in prevalence or years lived with disability (YLDs).\nMethods\nOf the 291 diseases and injuries in the GBD cause list, 289 cause disability. For 1160 sequelae of the 289 diseases and injuries, we undertook a systematic analysis of prevalence, incidence, remission, duration, and excess mortality. Sources included published studies, case notification, population-based cancer registries, other disease registries, antenatal clinic serosurveillance, hospital discharge data, ambulatory care data, household surveys, other surveys, and cohort studies. For most sequelae, we used a Bayesian meta-regression method, DisMod-MR, designed to address key limitations in descriptive epidemiological data, including missing data, inconsistency, and large methodological variation between data sources. For some disorders, we used natural history models, geospatial models, back-calculation models (models calculating incidence from population mortality rates and case fatality), or registration completeness models (models adjusting for incomplete registration with health-system access and other covariates). Disability weights for 220 unique health states were used to capture the severity of health loss. YLDs by cause at age, sex, country, and year levels were adjusted for comorbidity with simulation methods. We included uncertainty estimates at all stages of the analysis.\nFindings\nGlobal prevalence for all ages combined in 2010 across the 1160 sequelae ranged from fewer than one case per 1 million people to 350 000 cases per 1 million people. Prevalence and severity of health loss were weakly correlated (correlation coefficient −0·37). In 2010, there were 777 million YLDs from all causes, up from 583 million in 1990. The main contributors to global YLDs were mental and behavioural disorders, musculoskeletal disorders, and diabetes or endocrine diseases. The leading specific causes of YLDs were much the same in 2010 as they were in 1990: low back pain, major depressive disorder, iron-deficiency anaemia, neck pain, chronic obstructive pulmonary disease, anxiety disorders, migraine, diabetes, and falls. Age-specific prevalence of YLDs increased with age in all regions and has decreased slightly from 1990 to 2010. Regional patterns of the leading causes of YLDs were more similar compared with years of life lost due to premature mortality. Neglected tropical diseases, HIV/AIDS, tuberculosis, malaria, and anaemia were important causes of YLDs in sub-Saharan Africa.\nInterpretation\nRates of YLDs per 100 000 people have remained largely constant over time but rise steadily with age. Population growth and ageing have increased YLD numbers and crude rates over the past two decades. Prevalences of the most common causes of YLDs, such as mental and behavioural disorders and musculoskeletal disorders, have not decreased. Health systems will need to address the needs of the rising numbers of individuals with a range of disorders that largely cause disability but not mortality. Quantification of the burden of non-fatal health outcomes will be crucial to understand how well health systems are responding to these challenges. Effective and affordable strategies to deal with this rising burden are an urgent priority for health systems in most parts of the world.\nFunding\nBill &amp;amp; Melinda Gates Foundation.","DOI":"10.1016/S0140-6736(12)61729-2","ISSN":"0140-6736","shortTitle":"Years lived with disability (YLDs) for 1160 sequelae of 289 diseases and injuries 1990–2010","journalAbbreviation":"The Lancet","author":[{"family":"Vos","given":"Theo"},{"family":"Flaxman","given":"Abraham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Courville","non-dropping-particle":"de"},{"family":"Couser","given":"William"},{"family":"Cowie","given":"Benjamin C"},{"family":"Criqui","given":"Michael H"},{"family":"Cross","given":"Marita"},{"family":"Dabhadkar","given":"Kaustubh C"},{"family":"Dahiya","given":"Manu"},{"family":"Dahodwala","given":"Nabila"},{"family":"Damsere-Derry","given":"James"},{"family":"Danaei","given":"Goodarz"},{"family":"Davis","given":"Adrian"},{"family":"De Leo","given":"Diego"},{"family":"Degenhardt","given":"Louisa"},{"family":"Dellavalle","given":"Robert"},{"family":"Delossantos","given":"Allyne"},{"family":"Denenberg","given":"Julie"},{"family":"Derrett","given":"Sarah"},{"family":"Des Jarlais","given":"Don C"},{"family":"Dharmaratne","given":"Samath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 III","given":"C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P"},{"family":"Roberts","given":"Thomas"},{"family":"Robinson","given":"Carolyn"},{"family":"De Leòn","given":"Felipe Rodriguez"},{"family":"Ronfani","given":"Luca"},{"family":"Room","given":"Robin"},{"family":"Rosenfeld","given":"Lisa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J","non-dropping-particle":"van der"},{"family":"Os","given":"Jim","non-dropping-particle":"van"},{"family":"Vavilala","given":"Monica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JL"}],"issued":{"date-parts":[["2012",12,15]]}}}],"schema":"https://github.com/citation-style-language/schema/raw/master/csl-citation.json"} </w:instrText>
      </w:r>
      <w:r w:rsidR="0086508A">
        <w:fldChar w:fldCharType="separate"/>
      </w:r>
      <w:r w:rsidR="00CF6B8A" w:rsidRPr="00CF6B8A">
        <w:rPr>
          <w:rFonts w:ascii="Calibri" w:hAnsi="Calibri"/>
        </w:rPr>
        <w:t>(1)</w:t>
      </w:r>
      <w:r w:rsidR="0086508A">
        <w:fldChar w:fldCharType="end"/>
      </w:r>
      <w:r w:rsidR="00AE1B2E">
        <w:t>.</w:t>
      </w:r>
      <w:r w:rsidR="00192DCE">
        <w:t xml:space="preserve"> </w:t>
      </w:r>
      <w:r w:rsidR="00652703">
        <w:t>In</w:t>
      </w:r>
      <w:r w:rsidR="00E44880">
        <w:t xml:space="preserve"> 2013, COPD </w:t>
      </w:r>
      <w:r w:rsidR="00652703">
        <w:t>was</w:t>
      </w:r>
      <w:r w:rsidR="00E44880">
        <w:t xml:space="preserve"> the </w:t>
      </w:r>
      <w:r w:rsidR="00F458A4">
        <w:t>4</w:t>
      </w:r>
      <w:r w:rsidR="00F458A4">
        <w:rPr>
          <w:vertAlign w:val="superscript"/>
        </w:rPr>
        <w:t>th</w:t>
      </w:r>
      <w:r w:rsidR="00E44880">
        <w:t xml:space="preserve"> leading cause of death worldwide, accounting </w:t>
      </w:r>
      <w:r w:rsidR="00F458A4">
        <w:t xml:space="preserve">for 2.9 million </w:t>
      </w:r>
      <w:r w:rsidR="002728B6">
        <w:t xml:space="preserve">deaths </w:t>
      </w:r>
      <w:r w:rsidR="008F1195">
        <w:t xml:space="preserve">or </w:t>
      </w:r>
      <w:r w:rsidR="00C3284F">
        <w:t xml:space="preserve">approximately </w:t>
      </w:r>
      <w:r w:rsidR="00F458A4">
        <w:t>5%</w:t>
      </w:r>
      <w:r w:rsidR="00C3284F">
        <w:t xml:space="preserve"> of global mortality</w:t>
      </w:r>
      <w:r w:rsidR="00B6685E">
        <w:t xml:space="preserve"> </w:t>
      </w:r>
      <w:r w:rsidR="0086508A">
        <w:fldChar w:fldCharType="begin"/>
      </w:r>
      <w:r w:rsidR="00CF6B8A">
        <w:instrText xml:space="preserve"> ADDIN ZOTERO_ITEM CSL_CITATION {"citationID":"24ng9r8hf7","properties":{"formattedCitation":"(2)","plainCitation":"(2)"},"citationItems":[{"id":1271,"uris":["http://zotero.org/users/892254/items/DFIXI3Z2"],"uri":["http://zotero.org/users/892254/items/DFIXI3Z2"],"itemData":{"id":1271,"type":"article-journal","title":"Global, regional, and national age-sex specific all-cause and cause-specific mortality for 240 causes of death, 1990-2013: a systematic analysis for the Global Burden of Disease Study 2013","container-title":"Lancet (London, England)","page":"117-171","volume":"385","issue":"9963","source":"PubMed","abstract":"BACKGROUND: Up-to-date evidence on levels and trends for age-sex-specific all-cause and cause-specific mortality is essential for the formation of global, regional, and national health policies. In the Global Burden of Disease Study 2013 (GBD 2013) we estimated yearly deaths for 188 countries between 1990, and 2013. We used the results to assess whether there is epidemiological convergence across countries.\nMETHODS: We estimated age-sex-specific all-cause mortality using the GBD 2010 methods with some refinements to improve accuracy applied to an updated database of vital registration, survey, and census data. We generally estimated cause of death as in the GBD 2010. Key improvements included the addition of more recent vital registration data for 72 countries, an updated verbal autopsy literature review, two new and detailed data systems for China, and more detail for Mexico, UK, Turkey, and Russia. We improved statistical models for garbage code redistribution. We used six different modelling strategies across the 240 causes; cause of death ensemble modelling (CODEm) was the dominant strategy for causes with sufficient information. Trends for Alzheimer's disease and other dementias were informed by meta-regression of prevalence studies. For pathogen-specific causes of diarrhoea and lower respiratory infections we used a counterfactual approach. We computed two measures of convergence (inequality) across countries: the average relative difference across all pairs of countries (Gini coefficient) and the average absolute difference across countries. To summarise broad findings, we used multiple decrement life-tables to decompose probabilities of death from birth to exact age 15 years, from exact age 15 years to exact age 50 years, and from exact age 50 years to exact age 75 years, and life expectancy at birth into major causes. For all quantities reported, we computed 95% uncertainty intervals (UIs). We constrained cause-specific fractions within each age-sex-country-year group to sum to all-cause mortality based on draws from the uncertainty distributions.\nFINDINGS: Global life expectancy for both sexes increased from 65.3 years (UI 65.0-65.6) in 1990, to 71.5 years (UI 71.0-71.9) in 2013, while the number of deaths increased from 47.5 million (UI 46.8-48.2) to 54.9 million (UI 53.6-56.3) over the same interval. Global progress masked variation by age and sex: for children, average absolute differences between countries decreased but relative differences increased. For women aged 25-39 years and older than 75 years and for men aged 20-49 years and 65 years and older, both absolute and relative differences increased. Decomposition of global and regional life expectancy showed the prominent role of reductions in age-standardised death rates for cardiovascular diseases and cancers in high-income regions, and reductions in child deaths from diarrhoea, lower respiratory infections, and neonatal causes in low-income regions. HIV/AIDS reduced life expectancy in southern sub-Saharan Africa. For most communicable causes of death both numbers of deaths and age-standardised death rates fell whereas for most non-communicable causes, demographic shifts have increased numbers of deaths but decreased age-standardised death rates. Global deaths from injury increased by 10.7%, from 4.3 million deaths in 1990 to 4.8 million in 2013; but age-standardised rates declined over the same period by 21%. For some causes of more than 100,000 deaths per year in 2013, age-standardised death rates increased between 1990 and 2013, including HIV/AIDS, pancreatic cancer, atrial fibrillation and flutter, drug use disorders, diabetes, chronic kidney disease, and sickle-cell anaemias. Diarrhoeal diseases, lower respiratory infections, neonatal causes, and malaria are still in the top five causes of death in children younger than 5 years. The most important pathogens are rotavirus for diarrhoea and pneumococcus for lower respiratory infections. Country-specific probabilities of death over three phases of life were substantially varied between and within regions.\nINTERPRETATION: For most countries, the general pattern of reductions in age-sex specific mortality has been associated with a progressive shift towards a larger share of the remaining deaths caused by non-communicable disease and injuries. Assessing epidemiological convergence across countries depends on whether an absolute or relative measure of inequality is used. Nevertheless, age-standardised death rates for seven substantial causes are increasing, suggesting the potential for reversals in some countries. Important gaps exist in the empirical data for cause of death estimates for some countries; for example, no national data for India are available for the past decade.\nFUNDING: Bill &amp; Melinda Gates Foundation.","DOI":"10.1016/S0140-6736(14)61682-2","ISSN":"1474-547X","note":"PMID: 25530442\nPMCID: PMC4340604","shortTitle":"Global, regional, and national age-sex specific all-cause and cause-specific mortality for 240 causes of death, 1990-2013","journalAbbreviation":"Lancet","language":"eng","author":[{"literal":"GBD 2013 Mortality and Causes of Death Collaborators"}],"issued":{"date-parts":[["2015",1,10]]},"PMID":"25530442","PMCID":"PMC4340604"}}],"schema":"https://github.com/citation-style-language/schema/raw/master/csl-citation.json"} </w:instrText>
      </w:r>
      <w:r w:rsidR="0086508A">
        <w:fldChar w:fldCharType="separate"/>
      </w:r>
      <w:r w:rsidR="00CF6B8A" w:rsidRPr="00CF6B8A">
        <w:rPr>
          <w:rFonts w:ascii="Calibri" w:hAnsi="Calibri"/>
        </w:rPr>
        <w:t>(2)</w:t>
      </w:r>
      <w:r w:rsidR="0086508A">
        <w:fldChar w:fldCharType="end"/>
      </w:r>
      <w:r w:rsidR="00E44880">
        <w:t>.</w:t>
      </w:r>
      <w:r w:rsidR="00192DCE">
        <w:t xml:space="preserve"> </w:t>
      </w:r>
      <w:r w:rsidR="00652703">
        <w:t>COPD is a progressive disease that is</w:t>
      </w:r>
      <w:r w:rsidR="0030076D">
        <w:t xml:space="preserve"> characterized by loss of lung function</w:t>
      </w:r>
      <w:r w:rsidR="00652703">
        <w:t>,</w:t>
      </w:r>
      <w:r w:rsidR="0030076D">
        <w:t xml:space="preserve"> and sporadic worsening of symptoms (</w:t>
      </w:r>
      <w:r w:rsidR="0030076D">
        <w:rPr>
          <w:color w:val="000000"/>
          <w:shd w:val="clear" w:color="auto" w:fill="FFFFFF"/>
        </w:rPr>
        <w:t>primarily dyspnea, cough, and sputum production</w:t>
      </w:r>
      <w:r w:rsidR="0030076D">
        <w:t xml:space="preserve">) termed acute exacerbation of COPD (AECOPD). These events are </w:t>
      </w:r>
      <w:r w:rsidR="007A7966">
        <w:t>associated with significant morbidity and mortality</w:t>
      </w:r>
      <w:r w:rsidR="0086508A">
        <w:fldChar w:fldCharType="begin"/>
      </w:r>
      <w:r w:rsidR="00CF6B8A">
        <w:instrText xml:space="preserve"> ADDIN ZOTERO_ITEM CSL_CITATION {"citationID":"h1ghlj42t","properties":{"formattedCitation":"(3, 4)","plainCitation":"(3, 4)"},"citationItems":[{"id":1274,"uris":["http://zotero.org/users/892254/items/FQHFZFTJ"],"uri":["http://zotero.org/users/892254/items/FQHFZFTJ"],"itemData":{"id":1274,"type":"article-journal","title":"Exacerbations of Chronic Obstructive Pulmonary Disease","container-title":"Proceedings of the American Thoracic Society","page":"554-564","volume":"4","issue":"7","source":"atsjournals.org (Atypon)","abstract":"The diagnosis and treatment of acute exacerbations (AEs) of chronic obstructive pulmonary disease (COPD) is controversial. In this section, we review (1) the epidemiology of this condition; (2) the etiology—many patients with AECOPD are thought to have a combination of viral and bacterial infections, which contribute to their exacerbation. Bacterial organisms are isolated more commonly after viral infections in patients with COPD. The role that bacterial infections play in AECOPD remains a very controversial topic; (3) the use of diagnostic procedures; (4) efficacy of antibiotics; (5) clinical parameters to stratify patients' severity; (6) different groups of antibiotics that can be used; and (7) other therapies, including bronchodilators. We summarize the current literature, with special emphasis on the assessment of the long-term impact of this condition.","DOI":"10.1513/pats.200701-003FM","ISSN":"1546-3222","journalAbbreviation":"Proc Am Thorac Soc","author":[{"family":"Anzueto","given":"Antonio"},{"family":"Sethi","given":"Sanjay"},{"family":"Martinez","given":"Fernando J."}],"issued":{"date-parts":[["2007",10,1]]}}},{"id":1190,"uris":["http://zotero.org/users/892254/items/RS9V7UCJ"],"uri":["http://zotero.org/users/892254/items/RS9V7UCJ"],"itemData":{"id":1190,"type":"article-journal","title":"Impact of exacerbations on COPD","container-title":"European Respiratory Review","page":"113-118","volume":"19","issue":"116","source":"err.ersjournals.com","abstract":"Exacerbations of chronic obstructive pulmonary disease (COPD) determine disease-associated morbidity, mortality, resource burden and healthcare costs. Acute exacerbation care requirements range from unscheduled primary care visits to emergency room, inpatient or intensive care, generating significant costs in COPD. Even after an exacerbation resolves, respiratory, physical, social and emotional impairment may persist for prolonged time. Frequent exacerbations, mainly in patients with severe COPD, accelerate disease progression and mortality. Thus, patients with frequent exacerbations have a more rapid decline in lung function, worse quality of life and decreased exercise performance. Management of COPD directed to reduce incidence and severity of exacerbations improves long-term health status and conserves health care resources and costs.","DOI":"10.1183/09059180.00002610","ISSN":"0905-9180, 1600-0617","note":"PMID: 20956179","language":"en","author":[{"family":"Anzueto","given":"A."}],"issued":{"date-parts":[["2010",6,1]]},"PMID":"20956179"}}],"schema":"https://github.com/citation-style-language/schema/raw/master/csl-citation.json"} </w:instrText>
      </w:r>
      <w:r w:rsidR="0086508A">
        <w:fldChar w:fldCharType="separate"/>
      </w:r>
      <w:r w:rsidR="00CF6B8A" w:rsidRPr="00CF6B8A">
        <w:rPr>
          <w:rFonts w:ascii="Calibri" w:hAnsi="Calibri"/>
        </w:rPr>
        <w:t>(3, 4)</w:t>
      </w:r>
      <w:r w:rsidR="0086508A">
        <w:fldChar w:fldCharType="end"/>
      </w:r>
      <w:r w:rsidR="005C381A">
        <w:t xml:space="preserve">, are </w:t>
      </w:r>
      <w:r w:rsidR="0030076D">
        <w:t>a major cause of COPD</w:t>
      </w:r>
      <w:r w:rsidR="008F2C5C">
        <w:t>-related</w:t>
      </w:r>
      <w:r w:rsidR="0030076D">
        <w:t xml:space="preserve"> hospitalizations</w:t>
      </w:r>
      <w:r w:rsidR="005C381A">
        <w:t xml:space="preserve">, </w:t>
      </w:r>
      <w:r w:rsidR="004A63D1">
        <w:t xml:space="preserve">and have </w:t>
      </w:r>
      <w:r w:rsidR="004A63D1">
        <w:rPr>
          <w:color w:val="000000"/>
          <w:shd w:val="clear" w:color="auto" w:fill="FFFFFF"/>
        </w:rPr>
        <w:t>been associated with accelerated disease progression</w:t>
      </w:r>
      <w:r w:rsidR="0086508A">
        <w:fldChar w:fldCharType="begin"/>
      </w:r>
      <w:r w:rsidR="00CF6B8A">
        <w:instrText xml:space="preserve"> ADDIN ZOTERO_ITEM CSL_CITATION {"citationID":"1ru12lnpr8","properties":{"formattedCitation":"(5, 6)","plainCitation":"(5, 6)"},"citationItems":[{"id":1277,"uris":["http://zotero.org/users/892254/items/URUSD8ND"],"uri":["http://zotero.org/users/892254/items/URUSD8ND"],"itemData":{"id":1277,"type":"article-journal","title":"Global Strategy for the Diagnosis, Management, and Prevention of Chronic Obstructive Pulmonary Disease","container-title":"American Journal of Respiratory and Critical Care Medicine","page":"532-555","volume":"176","issue":"6","source":"atsjournals.org (Atypon)","abstract":"Chronic obstructive pulmonary disease (COPD) remains a major public health problem. It is the fourth leading cause of chronic morbidity and mortality in the United States, and is projected to rank fifth in 2020 in burden of disease worldwide, according to a study published by the World Bank/World Health Organization. Yet, COPD remains relatively unknown or ignored by the public as well as public health and government officials. In 1998, in an effort to bring more attention to COPD, its management, and its prevention, a committed group of scientists encouraged the U.S. National Heart, Lung, and Blood Institute and the World Health Organization to form the Global Initiative for Chronic Obstructive Lung Disease (GOLD). Among the important objectives of GOLD are to increase awareness of COPD and to help the millions of people who suffer from this disease and die prematurely of it or its complications. The first step in the GOLD program was to prepare a consensus report, Global Strategy for the Diagnosis, Management, and Prevention of COPD, published in 2001. The present, newly revised document follows the same format as the original consensus report, but has been updated to reflect the many publications on COPD that have appeared. GOLD national leaders, a network of international experts, have initiated investigations of the causes and prevalence of COPD in their countries, and developed innovative approaches for the dissemination and implementation of COPD management guidelines. We appreciate the enormous amount of work the GOLD national leaders have done on behalf of their patients with COPD. Despite the achievements in the 5 years since the GOLD report was originally published, considerable additional work is ahead of us if we are to control this major public health problem. The GOLD initiative will continue to bring COPD to the attention of governments, public health officials, health care workers, and the general public, but a concerted effort by all involved in health care will be necessary.","DOI":"10.1164/rccm.200703-456SO","ISSN":"1073-449X","journalAbbreviation":"Am J Respir Crit Care Med","author":[{"family":"Rabe","given":"Klaus F."},{"family":"Hurd","given":"Suzanne"},{"family":"Anzueto","given":"Antonio"},{"family":"Barnes","given":"Peter J."},{"family":"Buist","given":"Sonia A."},{"family":"Calverley","given":"Peter"},{"family":"Fukuchi","given":"Yoshinosuke"},{"family":"Jenkins","given":"Christine"},{"family":"Rodriguez-Roisin","given":"Roberto"},{"family":"Weel","given":"Chris","non-dropping-particle":"van"},{"family":"Zielinski","given":"Jan"}],"issued":{"date-parts":[["2007",9,15]]}}},{"id":1133,"uris":["http://zotero.org/users/892254/items/WE8PK9W3"],"uri":["http://zotero.org/users/892254/items/WE8PK9W3"],"itemData":{"id":1133,"type":"article-journal","title":"Global burden of COPD: risk factors, prevalence, and future trends","container-title":"The Lancet","page":"765-773","volume":"370","issue":"9589","source":"ScienceDirect","abstract":"Summary\nChronic obstructive pulmonary disease (COPD) continues to be an important cause of morbidity, mortality, and health-care costs worldwide. It is a global health issue, with cigarette smoking being an important risk factor universally; other factors, such as exposure to indoor and outdoor air pollution, occupational hazards, and infections, are also important. As the global population ages, the burden of COPD will increase in years to come. Prevalence estimates of the disorder show considerable variability across populations, suggesting that risk factors can affect populations differently. Other advances in our understanding of COPD are increased recognition of the importance of comorbid disease, identification of different COPD phenotypes, and understanding how factors other than lung function affect outcome in our patients. The challenge we will all face in the next few years will be implementation of cost-effective prevention and management strategies to stem the tide of this disease and its cost.","DOI":"10.1016/S0140-6736(07)61380-4","ISSN":"0140-6736","shortTitle":"Global burden of COPD","journalAbbreviation":"The Lancet","author":[{"family":"Mannino","given":"David M"},{"family":"Buist","given":"A Sonia"}],"issued":{"date-parts":[["2007",9,7]]}}}],"schema":"https://github.com/citation-style-language/schema/raw/master/csl-citation.json"} </w:instrText>
      </w:r>
      <w:r w:rsidR="0086508A">
        <w:fldChar w:fldCharType="separate"/>
      </w:r>
      <w:r w:rsidR="00CF6B8A" w:rsidRPr="00CF6B8A">
        <w:rPr>
          <w:rFonts w:ascii="Calibri" w:hAnsi="Calibri"/>
        </w:rPr>
        <w:t>(5, 6)</w:t>
      </w:r>
      <w:r w:rsidR="0086508A">
        <w:fldChar w:fldCharType="end"/>
      </w:r>
      <w:r w:rsidR="001D4941">
        <w:rPr>
          <w:color w:val="000000"/>
          <w:shd w:val="clear" w:color="auto" w:fill="FFFFFF"/>
        </w:rPr>
        <w:t>.</w:t>
      </w:r>
      <w:r w:rsidR="005A7AE3">
        <w:rPr>
          <w:color w:val="000000"/>
          <w:shd w:val="clear" w:color="auto" w:fill="FFFFFF"/>
        </w:rPr>
        <w:t xml:space="preserve"> </w:t>
      </w:r>
      <w:r w:rsidR="007D78B4">
        <w:rPr>
          <w:color w:val="000000"/>
          <w:shd w:val="clear" w:color="auto" w:fill="FFFFFF"/>
        </w:rPr>
        <w:t>AECOPD</w:t>
      </w:r>
      <w:r w:rsidR="00410BD3">
        <w:rPr>
          <w:color w:val="000000"/>
          <w:shd w:val="clear" w:color="auto" w:fill="FFFFFF"/>
        </w:rPr>
        <w:t>s</w:t>
      </w:r>
      <w:r w:rsidR="007D78B4">
        <w:rPr>
          <w:color w:val="000000"/>
          <w:shd w:val="clear" w:color="auto" w:fill="FFFFFF"/>
        </w:rPr>
        <w:t xml:space="preserve"> </w:t>
      </w:r>
      <w:r w:rsidR="004A63D1">
        <w:t>are</w:t>
      </w:r>
      <w:r w:rsidR="00652703">
        <w:t xml:space="preserve"> also</w:t>
      </w:r>
      <w:r w:rsidR="004A63D1">
        <w:t xml:space="preserve"> </w:t>
      </w:r>
      <w:r w:rsidR="004A63D1">
        <w:rPr>
          <w:color w:val="000000"/>
          <w:shd w:val="clear" w:color="auto" w:fill="FFFFFF"/>
        </w:rPr>
        <w:t>important contributors to the economic burden of COPD</w:t>
      </w:r>
      <w:r w:rsidR="0086508A">
        <w:rPr>
          <w:color w:val="000000"/>
          <w:shd w:val="clear" w:color="auto" w:fill="FFFFFF"/>
        </w:rPr>
        <w:fldChar w:fldCharType="begin"/>
      </w:r>
      <w:r w:rsidR="00CF6B8A">
        <w:rPr>
          <w:color w:val="000000"/>
          <w:shd w:val="clear" w:color="auto" w:fill="FFFFFF"/>
        </w:rPr>
        <w:instrText xml:space="preserve"> ADDIN ZOTERO_ITEM CSL_CITATION {"citationID":"142a2pta34","properties":{"formattedCitation":"(7)","plainCitation":"(7)"},"citationItems":[{"id":1260,"uris":["http://zotero.org/users/892254/items/TQ6RMGKU"],"uri":["http://zotero.org/users/892254/items/TQ6RMGKU"],"itemData":{"id":1260,"type":"article-journal","title":"Global burden of COPD: Global burden of COPD","container-title":"Respirology","page":"14-23","volume":"21","issue":"1","source":"CrossRef","DOI":"10.1111/resp.12660","ISSN":"13237799","shortTitle":"Global burden of COPD","language":"en","author":[{"family":"López-Campos","given":"José Luis"},{"family":"Tan","given":"Wan"},{"family":"Soriano","given":"Joan B."}],"issued":{"date-parts":[["2016",1]]}}}],"schema":"https://github.com/citation-style-language/schema/raw/master/csl-citation.json"} </w:instrText>
      </w:r>
      <w:r w:rsidR="0086508A">
        <w:rPr>
          <w:color w:val="000000"/>
          <w:shd w:val="clear" w:color="auto" w:fill="FFFFFF"/>
        </w:rPr>
        <w:fldChar w:fldCharType="separate"/>
      </w:r>
      <w:r w:rsidR="00CF6B8A" w:rsidRPr="00CF6B8A">
        <w:rPr>
          <w:rFonts w:ascii="Calibri" w:hAnsi="Calibri"/>
        </w:rPr>
        <w:t>(7)</w:t>
      </w:r>
      <w:r w:rsidR="0086508A">
        <w:rPr>
          <w:color w:val="000000"/>
          <w:shd w:val="clear" w:color="auto" w:fill="FFFFFF"/>
        </w:rPr>
        <w:fldChar w:fldCharType="end"/>
      </w:r>
      <w:r w:rsidR="007D78B4">
        <w:rPr>
          <w:color w:val="000000"/>
          <w:shd w:val="clear" w:color="auto" w:fill="FFFFFF"/>
        </w:rPr>
        <w:t xml:space="preserve"> and, consequently, there has been much interest in developing tools to </w:t>
      </w:r>
      <w:r w:rsidR="00652703">
        <w:rPr>
          <w:color w:val="000000"/>
          <w:shd w:val="clear" w:color="auto" w:fill="FFFFFF"/>
        </w:rPr>
        <w:t>better</w:t>
      </w:r>
      <w:r w:rsidR="007D78B4">
        <w:rPr>
          <w:color w:val="000000"/>
          <w:shd w:val="clear" w:color="auto" w:fill="FFFFFF"/>
        </w:rPr>
        <w:t xml:space="preserve"> diagn</w:t>
      </w:r>
      <w:r w:rsidR="00652703">
        <w:rPr>
          <w:color w:val="000000"/>
          <w:shd w:val="clear" w:color="auto" w:fill="FFFFFF"/>
        </w:rPr>
        <w:t>ose them or predict their onset in order to improve patient management and treatment.</w:t>
      </w:r>
    </w:p>
    <w:p w14:paraId="7429C0AD" w14:textId="03E4D3BB" w:rsidR="00802321" w:rsidRDefault="0044527A" w:rsidP="00802321">
      <w:pPr>
        <w:rPr>
          <w:color w:val="000000"/>
          <w:shd w:val="clear" w:color="auto" w:fill="FFFFFF"/>
        </w:rPr>
      </w:pPr>
      <w:r>
        <w:rPr>
          <w:color w:val="000000"/>
          <w:shd w:val="clear" w:color="auto" w:fill="FFFFFF"/>
        </w:rPr>
        <w:t>Currently, d</w:t>
      </w:r>
      <w:r w:rsidR="00CF59B9">
        <w:rPr>
          <w:color w:val="000000"/>
          <w:shd w:val="clear" w:color="auto" w:fill="FFFFFF"/>
        </w:rPr>
        <w:t>iagnosis of AECOPD is based on the worsening of day-to-day COPD symptoms to levels deemed clinically significant enough to require acute treatment</w:t>
      </w:r>
      <w:r w:rsidR="007D407B">
        <w:rPr>
          <w:color w:val="000000"/>
          <w:shd w:val="clear" w:color="auto" w:fill="FFFFFF"/>
        </w:rPr>
        <w:t xml:space="preserve">. </w:t>
      </w:r>
      <w:r w:rsidR="00CF59B9">
        <w:rPr>
          <w:color w:val="000000"/>
          <w:shd w:val="clear" w:color="auto" w:fill="FFFFFF"/>
        </w:rPr>
        <w:t>These diagnoses are thus</w:t>
      </w:r>
      <w:r w:rsidR="007D407B">
        <w:rPr>
          <w:color w:val="000000"/>
          <w:shd w:val="clear" w:color="auto" w:fill="FFFFFF"/>
        </w:rPr>
        <w:t xml:space="preserve"> </w:t>
      </w:r>
      <w:r>
        <w:rPr>
          <w:color w:val="000000"/>
          <w:shd w:val="clear" w:color="auto" w:fill="FFFFFF"/>
        </w:rPr>
        <w:t>subjective assessment</w:t>
      </w:r>
      <w:r w:rsidR="00CF59B9">
        <w:rPr>
          <w:color w:val="000000"/>
          <w:shd w:val="clear" w:color="auto" w:fill="FFFFFF"/>
        </w:rPr>
        <w:t>s</w:t>
      </w:r>
      <w:r>
        <w:rPr>
          <w:color w:val="000000"/>
          <w:shd w:val="clear" w:color="auto" w:fill="FFFFFF"/>
        </w:rPr>
        <w:t>.</w:t>
      </w:r>
      <w:r w:rsidR="00442DFC">
        <w:rPr>
          <w:color w:val="000000"/>
          <w:shd w:val="clear" w:color="auto" w:fill="FFFFFF"/>
        </w:rPr>
        <w:t xml:space="preserve"> </w:t>
      </w:r>
      <w:r w:rsidR="00CF59B9">
        <w:rPr>
          <w:color w:val="000000"/>
          <w:shd w:val="clear" w:color="auto" w:fill="FFFFFF"/>
          <w:lang w:val="en-CA"/>
        </w:rPr>
        <w:t>While knowledge that a patient has an underlying COPD disease can assist in diagnosis of AECOPD, s</w:t>
      </w:r>
      <w:r w:rsidR="00F83087" w:rsidRPr="00A80F31">
        <w:rPr>
          <w:color w:val="000000"/>
          <w:shd w:val="clear" w:color="auto" w:fill="FFFFFF"/>
          <w:lang w:val="en-CA"/>
        </w:rPr>
        <w:t xml:space="preserve">ymptoms </w:t>
      </w:r>
      <w:r w:rsidR="00CF59B9">
        <w:rPr>
          <w:color w:val="000000"/>
          <w:shd w:val="clear" w:color="auto" w:fill="FFFFFF"/>
          <w:lang w:val="en-CA"/>
        </w:rPr>
        <w:t>tend to be non-specific and</w:t>
      </w:r>
      <w:r w:rsidR="00F83087" w:rsidRPr="00A80F31">
        <w:rPr>
          <w:color w:val="000000"/>
          <w:shd w:val="clear" w:color="auto" w:fill="FFFFFF"/>
          <w:lang w:val="en-CA"/>
        </w:rPr>
        <w:t xml:space="preserve"> overlap with those of </w:t>
      </w:r>
      <w:r w:rsidR="00410BD3">
        <w:rPr>
          <w:color w:val="000000"/>
          <w:shd w:val="clear" w:color="auto" w:fill="FFFFFF"/>
          <w:lang w:val="en-CA"/>
        </w:rPr>
        <w:t>myocardial infarction</w:t>
      </w:r>
      <w:r w:rsidR="00F83087" w:rsidRPr="00A80F31">
        <w:rPr>
          <w:color w:val="000000"/>
          <w:shd w:val="clear" w:color="auto" w:fill="FFFFFF"/>
          <w:lang w:val="en-CA"/>
        </w:rPr>
        <w:t>, pulmonary e</w:t>
      </w:r>
      <w:r w:rsidR="00CF59B9">
        <w:rPr>
          <w:color w:val="000000"/>
          <w:shd w:val="clear" w:color="auto" w:fill="FFFFFF"/>
          <w:lang w:val="en-CA"/>
        </w:rPr>
        <w:t>mbo</w:t>
      </w:r>
      <w:r w:rsidR="00E84C15">
        <w:rPr>
          <w:color w:val="000000"/>
          <w:shd w:val="clear" w:color="auto" w:fill="FFFFFF"/>
          <w:lang w:val="en-CA"/>
        </w:rPr>
        <w:t xml:space="preserve">lism, </w:t>
      </w:r>
      <w:r w:rsidR="00410BD3">
        <w:rPr>
          <w:color w:val="000000"/>
          <w:shd w:val="clear" w:color="auto" w:fill="FFFFFF"/>
          <w:lang w:val="en-CA"/>
        </w:rPr>
        <w:t xml:space="preserve">congestive </w:t>
      </w:r>
      <w:r w:rsidR="00E84C15">
        <w:rPr>
          <w:color w:val="000000"/>
          <w:shd w:val="clear" w:color="auto" w:fill="FFFFFF"/>
          <w:lang w:val="en-CA"/>
        </w:rPr>
        <w:t>heart failure, and others [</w:t>
      </w:r>
      <w:commentRangeStart w:id="3"/>
      <w:r w:rsidR="00E84C15">
        <w:rPr>
          <w:color w:val="000000"/>
          <w:shd w:val="clear" w:color="auto" w:fill="FFFFFF"/>
          <w:lang w:val="en-CA"/>
        </w:rPr>
        <w:t>00</w:t>
      </w:r>
      <w:commentRangeEnd w:id="3"/>
      <w:r w:rsidR="00CE41A1">
        <w:rPr>
          <w:rStyle w:val="CommentReference"/>
          <w:rFonts w:ascii="Calibri" w:eastAsia="Calibri" w:hAnsi="Calibri" w:cs="Times New Roman"/>
        </w:rPr>
        <w:commentReference w:id="3"/>
      </w:r>
      <w:r w:rsidR="00E84C15">
        <w:rPr>
          <w:color w:val="000000"/>
          <w:shd w:val="clear" w:color="auto" w:fill="FFFFFF"/>
          <w:lang w:val="en-CA"/>
        </w:rPr>
        <w:t>], presenting a challenge to physicians.</w:t>
      </w:r>
      <w:r w:rsidR="00CF59B9">
        <w:rPr>
          <w:color w:val="000000"/>
          <w:shd w:val="clear" w:color="auto" w:fill="FFFFFF"/>
          <w:lang w:val="en-CA"/>
        </w:rPr>
        <w:t xml:space="preserve"> Furthermore,</w:t>
      </w:r>
      <w:r w:rsidR="00E84C15">
        <w:rPr>
          <w:color w:val="000000"/>
          <w:shd w:val="clear" w:color="auto" w:fill="FFFFFF"/>
          <w:lang w:val="en-CA"/>
        </w:rPr>
        <w:t xml:space="preserve"> appropriate treatment varies with underlying AECOPD etiology, which may consist of bacterial infection, viral infection, or other triggers [</w:t>
      </w:r>
      <w:commentRangeStart w:id="4"/>
      <w:r w:rsidR="00E84C15">
        <w:rPr>
          <w:color w:val="000000"/>
          <w:shd w:val="clear" w:color="auto" w:fill="FFFFFF"/>
          <w:lang w:val="en-CA"/>
        </w:rPr>
        <w:t>00</w:t>
      </w:r>
      <w:commentRangeEnd w:id="4"/>
      <w:r w:rsidR="00CE41A1">
        <w:rPr>
          <w:rStyle w:val="CommentReference"/>
          <w:rFonts w:ascii="Calibri" w:eastAsia="Calibri" w:hAnsi="Calibri" w:cs="Times New Roman"/>
        </w:rPr>
        <w:commentReference w:id="4"/>
      </w:r>
      <w:r w:rsidR="00E84C15">
        <w:rPr>
          <w:color w:val="000000"/>
          <w:shd w:val="clear" w:color="auto" w:fill="FFFFFF"/>
          <w:lang w:val="en-CA"/>
        </w:rPr>
        <w:t>]</w:t>
      </w:r>
      <w:r w:rsidR="00724785">
        <w:rPr>
          <w:color w:val="000000"/>
          <w:shd w:val="clear" w:color="auto" w:fill="FFFFFF"/>
          <w:lang w:val="en-CA"/>
        </w:rPr>
        <w:t xml:space="preserve">. </w:t>
      </w:r>
      <w:r w:rsidR="008503B7">
        <w:rPr>
          <w:color w:val="000000"/>
          <w:shd w:val="clear" w:color="auto" w:fill="FFFFFF"/>
          <w:lang w:val="en-CA"/>
        </w:rPr>
        <w:t>T</w:t>
      </w:r>
      <w:r w:rsidR="008503B7" w:rsidRPr="00004954">
        <w:rPr>
          <w:color w:val="000000"/>
          <w:shd w:val="clear" w:color="auto" w:fill="FFFFFF"/>
          <w:lang w:val="en-CA"/>
        </w:rPr>
        <w:t>imely diagnosis of AECOPD and prompt initia</w:t>
      </w:r>
      <w:r w:rsidR="007479A0">
        <w:rPr>
          <w:color w:val="000000"/>
          <w:shd w:val="clear" w:color="auto" w:fill="FFFFFF"/>
          <w:lang w:val="en-CA"/>
        </w:rPr>
        <w:t xml:space="preserve">tion of </w:t>
      </w:r>
      <w:r w:rsidR="00E84C15">
        <w:rPr>
          <w:color w:val="000000"/>
          <w:shd w:val="clear" w:color="auto" w:fill="FFFFFF"/>
          <w:lang w:val="en-CA"/>
        </w:rPr>
        <w:t xml:space="preserve">appropriate </w:t>
      </w:r>
      <w:r w:rsidR="007479A0">
        <w:rPr>
          <w:color w:val="000000"/>
          <w:shd w:val="clear" w:color="auto" w:fill="FFFFFF"/>
          <w:lang w:val="en-CA"/>
        </w:rPr>
        <w:t>treatment is important</w:t>
      </w:r>
      <w:r w:rsidR="00E84C15">
        <w:rPr>
          <w:color w:val="000000"/>
          <w:shd w:val="clear" w:color="auto" w:fill="FFFFFF"/>
          <w:lang w:val="en-CA"/>
        </w:rPr>
        <w:t xml:space="preserve"> in preventing </w:t>
      </w:r>
      <w:r w:rsidR="008503B7" w:rsidRPr="00004954">
        <w:rPr>
          <w:color w:val="000000"/>
          <w:shd w:val="clear" w:color="auto" w:fill="FFFFFF"/>
          <w:lang w:val="en-CA"/>
        </w:rPr>
        <w:t>full-blown lung attacks.</w:t>
      </w:r>
      <w:r w:rsidR="007D35F4">
        <w:rPr>
          <w:color w:val="000000"/>
          <w:shd w:val="clear" w:color="auto" w:fill="FFFFFF"/>
        </w:rPr>
        <w:t xml:space="preserve"> </w:t>
      </w:r>
      <w:r w:rsidR="00E84C15">
        <w:rPr>
          <w:color w:val="000000"/>
          <w:shd w:val="clear" w:color="auto" w:fill="FFFFFF"/>
        </w:rPr>
        <w:t>As</w:t>
      </w:r>
      <w:r w:rsidR="001440FE">
        <w:rPr>
          <w:color w:val="000000"/>
          <w:shd w:val="clear" w:color="auto" w:fill="FFFFFF"/>
        </w:rPr>
        <w:t xml:space="preserve"> </w:t>
      </w:r>
      <w:r w:rsidR="004917CC" w:rsidRPr="00A80F31">
        <w:rPr>
          <w:color w:val="000000"/>
          <w:shd w:val="clear" w:color="auto" w:fill="FFFFFF"/>
          <w:lang w:val="en-CA"/>
        </w:rPr>
        <w:t xml:space="preserve">no simple clinical tools </w:t>
      </w:r>
      <w:r w:rsidR="00E84C15">
        <w:rPr>
          <w:color w:val="000000"/>
          <w:shd w:val="clear" w:color="auto" w:fill="FFFFFF"/>
          <w:lang w:val="en-CA"/>
        </w:rPr>
        <w:t xml:space="preserve">currently </w:t>
      </w:r>
      <w:r w:rsidR="00ED21A4">
        <w:rPr>
          <w:color w:val="000000"/>
          <w:shd w:val="clear" w:color="auto" w:fill="FFFFFF"/>
          <w:lang w:val="en-CA"/>
        </w:rPr>
        <w:t xml:space="preserve">exist </w:t>
      </w:r>
      <w:r w:rsidR="004917CC" w:rsidRPr="00A80F31">
        <w:rPr>
          <w:color w:val="000000"/>
          <w:shd w:val="clear" w:color="auto" w:fill="FFFFFF"/>
          <w:lang w:val="en-CA"/>
        </w:rPr>
        <w:t xml:space="preserve">to </w:t>
      </w:r>
      <w:r w:rsidR="0097063C">
        <w:rPr>
          <w:color w:val="000000"/>
          <w:shd w:val="clear" w:color="auto" w:fill="FFFFFF"/>
          <w:lang w:val="en-CA"/>
        </w:rPr>
        <w:t xml:space="preserve">risk-stratify patients </w:t>
      </w:r>
      <w:r w:rsidR="00ED21A4">
        <w:rPr>
          <w:color w:val="000000"/>
          <w:shd w:val="clear" w:color="auto" w:fill="FFFFFF"/>
          <w:lang w:val="en-CA"/>
        </w:rPr>
        <w:t xml:space="preserve">with </w:t>
      </w:r>
      <w:r w:rsidR="004917CC" w:rsidRPr="00A80F31">
        <w:rPr>
          <w:color w:val="000000"/>
          <w:shd w:val="clear" w:color="auto" w:fill="FFFFFF"/>
          <w:lang w:val="en-CA"/>
        </w:rPr>
        <w:t>COPD</w:t>
      </w:r>
      <w:r w:rsidR="00E84C15">
        <w:rPr>
          <w:color w:val="000000"/>
          <w:shd w:val="clear" w:color="auto" w:fill="FFFFFF"/>
          <w:lang w:val="en-CA"/>
        </w:rPr>
        <w:t xml:space="preserve"> or identify the underlying etiology</w:t>
      </w:r>
      <w:r w:rsidR="00671DA1">
        <w:rPr>
          <w:color w:val="000000"/>
          <w:shd w:val="clear" w:color="auto" w:fill="FFFFFF"/>
          <w:lang w:val="en-CA"/>
        </w:rPr>
        <w:t xml:space="preserve"> of AECOPD, </w:t>
      </w:r>
      <w:r w:rsidR="004917CC" w:rsidRPr="00A80F31">
        <w:rPr>
          <w:color w:val="000000"/>
          <w:shd w:val="clear" w:color="auto" w:fill="FFFFFF"/>
          <w:lang w:val="en-CA"/>
        </w:rPr>
        <w:t xml:space="preserve">patients are often over- or under-treated, </w:t>
      </w:r>
      <w:r w:rsidR="00E84C15">
        <w:rPr>
          <w:color w:val="000000"/>
          <w:shd w:val="clear" w:color="auto" w:fill="FFFFFF"/>
          <w:lang w:val="en-CA"/>
        </w:rPr>
        <w:t>leading to</w:t>
      </w:r>
      <w:r w:rsidR="00C403E5">
        <w:rPr>
          <w:color w:val="000000"/>
          <w:shd w:val="clear" w:color="auto" w:fill="FFFFFF"/>
          <w:lang w:val="en-CA"/>
        </w:rPr>
        <w:t xml:space="preserve"> suboptimal health outcomes, </w:t>
      </w:r>
      <w:r w:rsidR="004917CC" w:rsidRPr="00A80F31">
        <w:rPr>
          <w:color w:val="000000"/>
          <w:shd w:val="clear" w:color="auto" w:fill="FFFFFF"/>
          <w:lang w:val="en-CA"/>
        </w:rPr>
        <w:t>cost inefficiencies, and significant morbidity and mortality</w:t>
      </w:r>
      <w:r w:rsidR="00E84C15">
        <w:rPr>
          <w:color w:val="000000"/>
          <w:shd w:val="clear" w:color="auto" w:fill="FFFFFF"/>
          <w:lang w:val="en-CA"/>
        </w:rPr>
        <w:t xml:space="preserve"> [</w:t>
      </w:r>
      <w:commentRangeStart w:id="5"/>
      <w:r w:rsidR="00E84C15">
        <w:rPr>
          <w:color w:val="000000"/>
          <w:shd w:val="clear" w:color="auto" w:fill="FFFFFF"/>
          <w:lang w:val="en-CA"/>
        </w:rPr>
        <w:t>00</w:t>
      </w:r>
      <w:commentRangeEnd w:id="5"/>
      <w:r w:rsidR="00CE41A1">
        <w:rPr>
          <w:rStyle w:val="CommentReference"/>
          <w:rFonts w:ascii="Calibri" w:eastAsia="Calibri" w:hAnsi="Calibri" w:cs="Times New Roman"/>
        </w:rPr>
        <w:commentReference w:id="5"/>
      </w:r>
      <w:r w:rsidR="00E84C15">
        <w:rPr>
          <w:color w:val="000000"/>
          <w:shd w:val="clear" w:color="auto" w:fill="FFFFFF"/>
          <w:lang w:val="en-CA"/>
        </w:rPr>
        <w:t>]</w:t>
      </w:r>
      <w:r w:rsidR="004917CC" w:rsidRPr="00A80F31">
        <w:rPr>
          <w:color w:val="000000"/>
          <w:shd w:val="clear" w:color="auto" w:fill="FFFFFF"/>
          <w:lang w:val="en-CA"/>
        </w:rPr>
        <w:t>.</w:t>
      </w:r>
      <w:r w:rsidR="006F3A72">
        <w:rPr>
          <w:color w:val="000000"/>
          <w:shd w:val="clear" w:color="auto" w:fill="FFFFFF"/>
        </w:rPr>
        <w:t xml:space="preserve"> Thus, </w:t>
      </w:r>
      <w:r w:rsidR="006F3A72">
        <w:rPr>
          <w:color w:val="000000"/>
          <w:shd w:val="clear" w:color="auto" w:fill="FFFFFF"/>
          <w:lang w:val="en-CA"/>
        </w:rPr>
        <w:t>t</w:t>
      </w:r>
      <w:r w:rsidR="00E84C15" w:rsidRPr="006306BD">
        <w:rPr>
          <w:color w:val="000000"/>
          <w:shd w:val="clear" w:color="auto" w:fill="FFFFFF"/>
          <w:lang w:val="en-CA"/>
        </w:rPr>
        <w:t xml:space="preserve">here is a pressing need for biomarkers </w:t>
      </w:r>
      <w:r w:rsidR="00E84C15">
        <w:rPr>
          <w:color w:val="000000"/>
          <w:shd w:val="clear" w:color="auto" w:fill="FFFFFF"/>
          <w:lang w:val="en-CA"/>
        </w:rPr>
        <w:t xml:space="preserve">to improve </w:t>
      </w:r>
      <w:r w:rsidR="00E84C15" w:rsidRPr="006306BD">
        <w:rPr>
          <w:color w:val="000000"/>
          <w:shd w:val="clear" w:color="auto" w:fill="FFFFFF"/>
          <w:lang w:val="en-CA"/>
        </w:rPr>
        <w:t>prevention and management of AECOPD.</w:t>
      </w:r>
      <w:r w:rsidR="00E84C15">
        <w:rPr>
          <w:color w:val="000000"/>
          <w:shd w:val="clear" w:color="auto" w:fill="FFFFFF"/>
          <w:lang w:val="en-CA"/>
        </w:rPr>
        <w:t xml:space="preserve"> </w:t>
      </w:r>
    </w:p>
    <w:p w14:paraId="2E05B86D" w14:textId="55C6A81A" w:rsidR="00CF6B8A" w:rsidRPr="00CB7AA7" w:rsidRDefault="00CF6B8A" w:rsidP="00CF6B8A">
      <w:r>
        <w:rPr>
          <w:color w:val="000000"/>
          <w:shd w:val="clear" w:color="auto" w:fill="FFFFFF"/>
        </w:rPr>
        <w:t>This study improves on the state of predictive and diagnostic biomarkers of AECOPD, by using an untargeted approach to identify modules of co-expressed genes in COPD patients, then assessing these modules for their ability to differentiate between different levels of AECOPD activity: non-exacerbating, upcoming</w:t>
      </w:r>
      <w:r w:rsidR="00CE41A1">
        <w:rPr>
          <w:color w:val="000000"/>
          <w:shd w:val="clear" w:color="auto" w:fill="FFFFFF"/>
        </w:rPr>
        <w:t xml:space="preserve"> </w:t>
      </w:r>
      <w:r>
        <w:rPr>
          <w:color w:val="000000"/>
          <w:shd w:val="clear" w:color="auto" w:fill="FFFFFF"/>
        </w:rPr>
        <w:t xml:space="preserve">exacerbation, and current exacerbation. </w:t>
      </w:r>
      <w:r w:rsidR="00244B08">
        <w:rPr>
          <w:color w:val="000000"/>
          <w:shd w:val="clear" w:color="auto" w:fill="FFFFFF"/>
        </w:rPr>
        <w:t xml:space="preserve">Specifically, we </w:t>
      </w:r>
      <w:r>
        <w:rPr>
          <w:color w:val="000000"/>
          <w:shd w:val="clear" w:color="auto" w:fill="FFFFFF"/>
        </w:rPr>
        <w:lastRenderedPageBreak/>
        <w:t xml:space="preserve">discover transcriptomic signatures that </w:t>
      </w:r>
      <w:r w:rsidR="00244B08">
        <w:rPr>
          <w:color w:val="000000"/>
          <w:shd w:val="clear" w:color="auto" w:fill="FFFFFF"/>
        </w:rPr>
        <w:t xml:space="preserve">are predictive of </w:t>
      </w:r>
      <w:r w:rsidR="00CE41A1">
        <w:rPr>
          <w:color w:val="000000"/>
          <w:shd w:val="clear" w:color="auto" w:fill="FFFFFF"/>
        </w:rPr>
        <w:t xml:space="preserve">what we </w:t>
      </w:r>
      <w:r w:rsidR="00A3398D">
        <w:rPr>
          <w:color w:val="000000"/>
          <w:shd w:val="clear" w:color="auto" w:fill="FFFFFF"/>
        </w:rPr>
        <w:t>term</w:t>
      </w:r>
      <w:r w:rsidR="00CE41A1">
        <w:rPr>
          <w:color w:val="000000"/>
          <w:shd w:val="clear" w:color="auto" w:fill="FFFFFF"/>
        </w:rPr>
        <w:t xml:space="preserve"> imminent</w:t>
      </w:r>
      <w:r w:rsidR="00244B08">
        <w:rPr>
          <w:color w:val="000000"/>
          <w:shd w:val="clear" w:color="auto" w:fill="FFFFFF"/>
        </w:rPr>
        <w:t xml:space="preserve"> exacerbation</w:t>
      </w:r>
      <w:r w:rsidR="00CE41A1">
        <w:rPr>
          <w:color w:val="000000"/>
          <w:shd w:val="clear" w:color="auto" w:fill="FFFFFF"/>
        </w:rPr>
        <w:t xml:space="preserve"> (occurring within 60 days post-blood draw)</w:t>
      </w:r>
      <w:r w:rsidR="00244B08">
        <w:rPr>
          <w:color w:val="000000"/>
          <w:shd w:val="clear" w:color="auto" w:fill="FFFFFF"/>
        </w:rPr>
        <w:t>, and we show that these signatures also track the resolution of AECOPD to convalescence. These signatures</w:t>
      </w:r>
      <w:r w:rsidR="00CB7AA7">
        <w:rPr>
          <w:color w:val="000000"/>
          <w:shd w:val="clear" w:color="auto" w:fill="FFFFFF"/>
        </w:rPr>
        <w:t xml:space="preserve"> could </w:t>
      </w:r>
      <w:r w:rsidR="00A3398D">
        <w:rPr>
          <w:color w:val="000000"/>
          <w:shd w:val="clear" w:color="auto" w:fill="FFFFFF"/>
        </w:rPr>
        <w:t>be useful in anticipating</w:t>
      </w:r>
      <w:r w:rsidR="00CB7AA7">
        <w:rPr>
          <w:color w:val="000000"/>
          <w:shd w:val="clear" w:color="auto" w:fill="FFFFFF"/>
        </w:rPr>
        <w:t xml:space="preserve"> clinical manifestation of AECOPD symptoms</w:t>
      </w:r>
      <w:r w:rsidR="00244B08">
        <w:rPr>
          <w:color w:val="000000"/>
          <w:shd w:val="clear" w:color="auto" w:fill="FFFFFF"/>
        </w:rPr>
        <w:t>,</w:t>
      </w:r>
      <w:r w:rsidR="00CB7AA7">
        <w:rPr>
          <w:color w:val="000000"/>
          <w:shd w:val="clear" w:color="auto" w:fill="FFFFFF"/>
        </w:rPr>
        <w:t xml:space="preserve"> and inform</w:t>
      </w:r>
      <w:r w:rsidR="00A3398D">
        <w:rPr>
          <w:color w:val="000000"/>
          <w:shd w:val="clear" w:color="auto" w:fill="FFFFFF"/>
        </w:rPr>
        <w:t>ing</w:t>
      </w:r>
      <w:r w:rsidR="00CB7AA7">
        <w:rPr>
          <w:color w:val="000000"/>
          <w:shd w:val="clear" w:color="auto" w:fill="FFFFFF"/>
        </w:rPr>
        <w:t xml:space="preserve"> </w:t>
      </w:r>
      <w:r w:rsidR="00844A36">
        <w:rPr>
          <w:color w:val="000000"/>
          <w:shd w:val="clear" w:color="auto" w:fill="FFFFFF"/>
        </w:rPr>
        <w:t xml:space="preserve">COPD </w:t>
      </w:r>
      <w:r w:rsidR="00CB7AA7">
        <w:rPr>
          <w:color w:val="000000"/>
          <w:shd w:val="clear" w:color="auto" w:fill="FFFFFF"/>
        </w:rPr>
        <w:t xml:space="preserve">patient </w:t>
      </w:r>
      <w:r w:rsidR="00A3398D">
        <w:rPr>
          <w:color w:val="000000"/>
          <w:shd w:val="clear" w:color="auto" w:fill="FFFFFF"/>
        </w:rPr>
        <w:t>management in a way that reduces the burden of disease on both patients and health</w:t>
      </w:r>
      <w:r w:rsidR="00F554ED">
        <w:rPr>
          <w:color w:val="000000"/>
          <w:shd w:val="clear" w:color="auto" w:fill="FFFFFF"/>
        </w:rPr>
        <w:t>care</w:t>
      </w:r>
      <w:r w:rsidR="00A3398D">
        <w:rPr>
          <w:color w:val="000000"/>
          <w:shd w:val="clear" w:color="auto" w:fill="FFFFFF"/>
        </w:rPr>
        <w:t xml:space="preserve"> providers</w:t>
      </w:r>
      <w:r w:rsidR="00CB7AA7">
        <w:rPr>
          <w:color w:val="000000"/>
          <w:shd w:val="clear" w:color="auto" w:fill="FFFFFF"/>
        </w:rPr>
        <w:t>.</w:t>
      </w:r>
    </w:p>
    <w:p w14:paraId="2C80F48E" w14:textId="77777777" w:rsidR="0032235C" w:rsidRDefault="005140F6" w:rsidP="009F7CDB">
      <w:pPr>
        <w:pStyle w:val="Heading1"/>
      </w:pPr>
      <w:r>
        <w:t>Methods</w:t>
      </w:r>
    </w:p>
    <w:p w14:paraId="6A32C5F2" w14:textId="77777777" w:rsidR="0032235C" w:rsidRPr="0032235C" w:rsidRDefault="00F419E5" w:rsidP="007E061E">
      <w:pPr>
        <w:pStyle w:val="Heading2"/>
      </w:pPr>
      <w:r>
        <w:t>Study Populations</w:t>
      </w:r>
    </w:p>
    <w:p w14:paraId="38E0D75D" w14:textId="77777777" w:rsidR="00F55CF7" w:rsidRDefault="004467A3" w:rsidP="002907C3">
      <w:r>
        <w:t>S</w:t>
      </w:r>
      <w:r w:rsidR="00F55CF7">
        <w:t>ingle time point blood samples</w:t>
      </w:r>
      <w:r w:rsidR="00133B9D">
        <w:t xml:space="preserve"> from </w:t>
      </w:r>
      <w:r>
        <w:t xml:space="preserve">stable </w:t>
      </w:r>
      <w:r w:rsidR="00133B9D">
        <w:t>COPD subjects</w:t>
      </w:r>
      <w:r w:rsidR="00F55CF7">
        <w:t xml:space="preserve"> were obtained from the Evaluation of COPD Longitudinally to Identify Predictive Surrogate Endpoints (ECLIPSE) cohort</w:t>
      </w:r>
      <w:r w:rsidR="0086508A">
        <w:fldChar w:fldCharType="begin"/>
      </w:r>
      <w:r w:rsidR="00BD35E7">
        <w:instrText xml:space="preserve"> ADDIN ZOTERO_ITEM CSL_CITATION {"citationID":"u3o4vliam","properties":{"formattedCitation":"(16)","plainCitation":"(16)"},"citationItems":[{"id":34,"uris":["http://zotero.org/users/local/QWbLI5ai/items/CGD6G73H"],"uri":["http://zotero.org/users/local/QWbLI5ai/items/CGD6G73H"],"itemData":{"id":34,"type":"article-journal","title":"Evaluation of COPD longitudinally to identify predictive surrogate end-points (eclipse)","container-title":"Eur Respir J","volume":"31","URL":"http://dx.doi.org/10.1183/09031936.00111707","DOI":"10.1183/09031936.00111707","journalAbbreviation":"Eur Respir J","author":[{"family":"Vestbo","given":"J."},{"family":"Anderson","given":"W."},{"family":"Coxson","given":"H. O."},{"family":"Crim","given":"C."},{"family":"Dawber","given":"F."},{"family":"Edwards","given":"L."}],"issued":{"date-parts":[["2008"]]}}}],"schema":"https://github.com/citation-style-language/schema/raw/master/csl-citation.json"} </w:instrText>
      </w:r>
      <w:r w:rsidR="0086508A">
        <w:fldChar w:fldCharType="separate"/>
      </w:r>
      <w:r w:rsidR="00BD35E7" w:rsidRPr="00BD35E7">
        <w:rPr>
          <w:rFonts w:ascii="Calibri" w:hAnsi="Calibri"/>
        </w:rPr>
        <w:t>(16)</w:t>
      </w:r>
      <w:r w:rsidR="0086508A">
        <w:fldChar w:fldCharType="end"/>
      </w:r>
      <w:r w:rsidR="00F55CF7">
        <w:t xml:space="preserve">. The ECLIPSE study was conducted in accordance with the </w:t>
      </w:r>
      <w:r w:rsidR="001D600B">
        <w:t xml:space="preserve">Declaration of Helsinki, and was </w:t>
      </w:r>
      <w:r w:rsidR="00F55CF7">
        <w:t xml:space="preserve">approved by the ethics and review boards at participating </w:t>
      </w:r>
      <w:r w:rsidR="001D600B">
        <w:t>sites</w:t>
      </w:r>
      <w:r w:rsidR="00F55CF7" w:rsidRPr="007A3950">
        <w:t xml:space="preserve">. </w:t>
      </w:r>
      <w:r w:rsidR="00410BD3">
        <w:t xml:space="preserve">The present study using ECLIPSE samples was approved by </w:t>
      </w:r>
      <w:commentRangeStart w:id="6"/>
      <w:r w:rsidR="001D600B" w:rsidRPr="007A3950">
        <w:t>The</w:t>
      </w:r>
      <w:r w:rsidR="00F55CF7" w:rsidRPr="007A3950">
        <w:t xml:space="preserve"> University of British Columbia </w:t>
      </w:r>
      <w:r w:rsidR="001D600B" w:rsidRPr="007A3950">
        <w:t>Research Ethics Board</w:t>
      </w:r>
      <w:r w:rsidR="00F55CF7" w:rsidRPr="007A3950">
        <w:t xml:space="preserve"> number </w:t>
      </w:r>
      <w:r w:rsidR="00410BD3">
        <w:t>(</w:t>
      </w:r>
      <w:r w:rsidR="00F55CF7" w:rsidRPr="007A3950">
        <w:t>H11-00786</w:t>
      </w:r>
      <w:r w:rsidR="00410BD3">
        <w:t>)</w:t>
      </w:r>
      <w:r w:rsidR="00F55CF7" w:rsidRPr="007A3950">
        <w:t>.</w:t>
      </w:r>
      <w:r w:rsidR="00F55CF7">
        <w:t xml:space="preserve"> </w:t>
      </w:r>
      <w:commentRangeEnd w:id="6"/>
      <w:r w:rsidR="007A3950">
        <w:rPr>
          <w:rStyle w:val="CommentReference"/>
          <w:rFonts w:ascii="Calibri" w:eastAsia="Calibri" w:hAnsi="Calibri" w:cs="Times New Roman"/>
        </w:rPr>
        <w:commentReference w:id="6"/>
      </w:r>
      <w:r>
        <w:t xml:space="preserve">A total of 367 samples were analyzed for this study, of which </w:t>
      </w:r>
      <w:r w:rsidR="00BD35E7">
        <w:t>226</w:t>
      </w:r>
      <w:r>
        <w:t xml:space="preserve"> were obtained from subjects’ 3 month time point and were used for gene regulatory module identification. The remaining samples were obtained from subjects’ 1 year time po</w:t>
      </w:r>
      <w:r w:rsidR="00E96C10">
        <w:t xml:space="preserve">int, and were classified into </w:t>
      </w:r>
      <w:r w:rsidR="00BD35E7">
        <w:t>20</w:t>
      </w:r>
      <w:r>
        <w:t xml:space="preserve"> </w:t>
      </w:r>
      <w:r w:rsidR="00BD35E7">
        <w:t>“imminent</w:t>
      </w:r>
      <w:r>
        <w:t xml:space="preserve"> exacerbators</w:t>
      </w:r>
      <w:r w:rsidR="00BD35E7">
        <w:t>”</w:t>
      </w:r>
      <w:r>
        <w:t xml:space="preserve"> (IE; exacerbation occurring within 60 </w:t>
      </w:r>
      <w:r w:rsidR="00E96C10">
        <w:t xml:space="preserve">days post-blood draw) versus </w:t>
      </w:r>
      <w:r w:rsidR="00FD6698">
        <w:t>122</w:t>
      </w:r>
      <w:r>
        <w:t xml:space="preserve"> non-exacerbators (NE; no exacerbation for </w:t>
      </w:r>
      <w:r>
        <w:rPr>
          <w:rFonts w:cstheme="minorHAnsi"/>
        </w:rPr>
        <w:t>≥</w:t>
      </w:r>
      <w:r>
        <w:t xml:space="preserve">365 </w:t>
      </w:r>
      <w:r w:rsidR="00BD35E7">
        <w:t xml:space="preserve">days </w:t>
      </w:r>
      <w:r>
        <w:t>post-blood draw) for prognostic biomarker discovery.</w:t>
      </w:r>
      <w:r w:rsidR="00696499">
        <w:t xml:space="preserve"> These were subjects with fewer than 2 exacerbations requiring antibiotics or corticosteroids in the prior year, and who were also exacerbation-free for at least 30 days pre-blood draw.</w:t>
      </w:r>
    </w:p>
    <w:p w14:paraId="24B2EDB1" w14:textId="77777777" w:rsidR="00CF6B8A" w:rsidRDefault="00CF6B8A" w:rsidP="002907C3">
      <w:r>
        <w:t xml:space="preserve">The Rapid Transition cohort included patients admitted for AECOPD to Vancouver General Hospital or St. Paul’s Hospital in Vancouver, Canada. The diagnosis of AECOPD had to be verified by general internists or pulmonologists, and had to occur without evidence of pneumonia or heart failure on a chest x-ray. Blood samples were collected at the time of admission to the hospital (representing their AECOPD state), day 3 post-admission, day 7 post-admission, discharge, and at either day 30 or 90 post- admission if they were clinically stable (representing their convalescent state). Stable COPD patients (no current exacerbation </w:t>
      </w:r>
      <w:r>
        <w:lastRenderedPageBreak/>
        <w:t xml:space="preserve">symptoms, and no exacerbation in the past 2 weeks) were also enrolled and their blood collected during routine visits to the COPD clinic. The Rapid Transition study was approved by the University of British Columbia Clinical Research Ethics Board (certificate numbers H11-00786 and H13-00790). Written informed consent was provided by each participant in accordance with the Ethics Board. A total of </w:t>
      </w:r>
      <w:r w:rsidR="00CD2959">
        <w:t>165</w:t>
      </w:r>
      <w:r>
        <w:t xml:space="preserve"> </w:t>
      </w:r>
      <w:r w:rsidR="007570DC">
        <w:t>subject</w:t>
      </w:r>
      <w:r>
        <w:t xml:space="preserve">-timepoints, </w:t>
      </w:r>
      <w:r w:rsidR="00C8176D">
        <w:t xml:space="preserve">corresponding to </w:t>
      </w:r>
      <w:r w:rsidR="00CD2959">
        <w:t>112</w:t>
      </w:r>
      <w:r>
        <w:t xml:space="preserve"> unique </w:t>
      </w:r>
      <w:r w:rsidR="007570DC">
        <w:t>subject</w:t>
      </w:r>
      <w:r w:rsidR="00374603">
        <w:t>s</w:t>
      </w:r>
      <w:r w:rsidR="00B250D9">
        <w:t xml:space="preserve"> enrolled between July 2012 and October 2014</w:t>
      </w:r>
      <w:r>
        <w:t xml:space="preserve">, were </w:t>
      </w:r>
      <w:r w:rsidR="00BD35E7">
        <w:t xml:space="preserve">analyzed as part of the </w:t>
      </w:r>
      <w:r w:rsidR="00AC7E30">
        <w:t>biomarker selection</w:t>
      </w:r>
      <w:r w:rsidR="00BD35E7">
        <w:t xml:space="preserve"> phase of this study</w:t>
      </w:r>
      <w:r>
        <w:t xml:space="preserve">. </w:t>
      </w:r>
      <w:r w:rsidR="00C8176D">
        <w:t xml:space="preserve">A total of </w:t>
      </w:r>
      <w:r w:rsidR="00CD2959">
        <w:t>336</w:t>
      </w:r>
      <w:r w:rsidR="00C8176D">
        <w:t xml:space="preserve"> </w:t>
      </w:r>
      <w:r w:rsidR="007570DC">
        <w:t>subject</w:t>
      </w:r>
      <w:r w:rsidR="00C8176D">
        <w:t xml:space="preserve">-timepoints, corresponding to </w:t>
      </w:r>
      <w:r w:rsidR="00CD2959">
        <w:t>293</w:t>
      </w:r>
      <w:r w:rsidR="00C8176D">
        <w:t xml:space="preserve"> unique </w:t>
      </w:r>
      <w:r w:rsidR="007570DC">
        <w:t>subject</w:t>
      </w:r>
      <w:r w:rsidR="00374603">
        <w:t>s</w:t>
      </w:r>
      <w:r w:rsidR="00B250D9">
        <w:t xml:space="preserve"> enrolled between July 2012 and January 2017 (non-overlapping with the previous subjects)</w:t>
      </w:r>
      <w:r w:rsidR="00C8176D">
        <w:t>, were analyzed as part of the replication phase of this study.</w:t>
      </w:r>
    </w:p>
    <w:p w14:paraId="7F557025" w14:textId="77777777" w:rsidR="00483342" w:rsidRDefault="00483342" w:rsidP="002907C3">
      <w:r>
        <w:t>An overview of the study cohorts with respect to subjects’ time to/from exacerbation is shown in Figure 2. An overview of the study cohorts with respect to biomarker discovery and replication is shown in Figure 3.</w:t>
      </w:r>
    </w:p>
    <w:p w14:paraId="0BBC3B46" w14:textId="77777777" w:rsidR="0032235C" w:rsidRPr="0032235C" w:rsidRDefault="0032235C" w:rsidP="007E061E">
      <w:pPr>
        <w:pStyle w:val="Heading2"/>
      </w:pPr>
      <w:r w:rsidRPr="0032235C">
        <w:t>Sample processing</w:t>
      </w:r>
    </w:p>
    <w:p w14:paraId="4F3A9B69" w14:textId="77777777" w:rsidR="002D5205" w:rsidRPr="0032235C" w:rsidRDefault="0032235C" w:rsidP="002D5205">
      <w:r w:rsidRPr="0032235C">
        <w:t xml:space="preserve">Blood was collected in PAXgene (PreAnalytix, Switzerland) </w:t>
      </w:r>
      <w:r w:rsidR="001D600B">
        <w:t xml:space="preserve">and EDTA tubes, and stored at </w:t>
      </w:r>
      <w:r w:rsidR="001D600B" w:rsidRPr="0032235C">
        <w:t>-80</w:t>
      </w:r>
      <w:r w:rsidR="001D600B" w:rsidRPr="0032235C">
        <w:rPr>
          <w:vertAlign w:val="superscript"/>
        </w:rPr>
        <w:t>o</w:t>
      </w:r>
      <w:r w:rsidR="001D600B" w:rsidRPr="0032235C">
        <w:t>C</w:t>
      </w:r>
      <w:r w:rsidR="001D600B">
        <w:t>.</w:t>
      </w:r>
      <w:r w:rsidR="005F05A4">
        <w:t xml:space="preserve"> </w:t>
      </w:r>
      <w:r w:rsidRPr="0032235C">
        <w:t xml:space="preserve">A complete blood count, including leukocyte differential (CBC/diff) was obtained from the EDTA blood. Total RNA was extracted from PAXgene blood on the QIAcube (Qiagen, Germany), using the PAXgene Blood miRNA kit from PreAnalytix, according to manufacturer’s instructions. Human Gene 1.1 ST </w:t>
      </w:r>
      <w:r w:rsidR="002D5205">
        <w:t xml:space="preserve">96-well </w:t>
      </w:r>
      <w:r w:rsidRPr="0032235C">
        <w:t xml:space="preserve">array plates (Affymetrix, United States) were </w:t>
      </w:r>
      <w:r w:rsidR="001D600B">
        <w:t>used to meas</w:t>
      </w:r>
      <w:r w:rsidR="005F05A4">
        <w:t>ure mRNA abundance</w:t>
      </w:r>
      <w:r w:rsidR="001D600B">
        <w:t>, and this was</w:t>
      </w:r>
      <w:r w:rsidRPr="0032235C">
        <w:t xml:space="preserve"> carried out at The Scripps Research Institute DNA Array Core Facility (TSRI; La Jolla, CA).</w:t>
      </w:r>
      <w:r w:rsidR="002D5205">
        <w:t xml:space="preserve"> Samples were pseudo-randomly assigned to plates to prevent confounding of phenotype with plate effects.</w:t>
      </w:r>
    </w:p>
    <w:p w14:paraId="1668E0B7" w14:textId="77777777" w:rsidR="0032235C" w:rsidRDefault="0032235C" w:rsidP="007E061E">
      <w:pPr>
        <w:pStyle w:val="Heading2"/>
      </w:pPr>
      <w:commentRangeStart w:id="7"/>
      <w:r w:rsidRPr="0032235C">
        <w:t>Statistical analysis</w:t>
      </w:r>
      <w:commentRangeEnd w:id="7"/>
      <w:r w:rsidR="002707EC">
        <w:rPr>
          <w:rStyle w:val="CommentReference"/>
          <w:rFonts w:ascii="Calibri" w:eastAsia="Calibri" w:hAnsi="Calibri" w:cs="Times New Roman"/>
          <w:caps w:val="0"/>
          <w:spacing w:val="0"/>
        </w:rPr>
        <w:commentReference w:id="7"/>
      </w:r>
    </w:p>
    <w:p w14:paraId="50819097" w14:textId="77777777" w:rsidR="00950553" w:rsidRPr="0032235C" w:rsidRDefault="00950553" w:rsidP="00E02BE1">
      <w:r>
        <w:t>Statistical analyses were performed in R</w:t>
      </w:r>
      <w:r w:rsidR="0086508A">
        <w:fldChar w:fldCharType="begin"/>
      </w:r>
      <w:r w:rsidR="00544D29">
        <w:instrText xml:space="preserve"> ADDIN ZOTERO_ITEM CSL_CITATION {"citationID":"284k1eo5dd","properties":{"formattedCitation":"(17)","plainCitation":"(17)"},"citationItems":[{"id":66,"uris":["http://zotero.org/users/local/QWbLI5ai/items/72QXSG9P"],"uri":["http://zotero.org/users/local/QWbLI5ai/items/72QXSG9P"],"itemData":{"id":66,"type":"book","title":"R: A language and environment for statistical computing","publisher":"R Foundation for Statistical Computing","publisher-place":"Vienna, Austria","event-place":"Vienna, Austria","URL":"http://www.R-project.org","ISBN":"3-900051-07-0","author":[{"family":"R Development Core Team","given":""}],"issued":{"date-parts":[["2008"]]}}}],"schema":"https://github.com/citation-style-language/schema/raw/master/csl-citation.json"} </w:instrText>
      </w:r>
      <w:r w:rsidR="0086508A">
        <w:fldChar w:fldCharType="separate"/>
      </w:r>
      <w:r w:rsidR="00544D29" w:rsidRPr="00544D29">
        <w:rPr>
          <w:rFonts w:ascii="Calibri" w:hAnsi="Calibri"/>
        </w:rPr>
        <w:t>(17)</w:t>
      </w:r>
      <w:r w:rsidR="0086508A">
        <w:fldChar w:fldCharType="end"/>
      </w:r>
      <w:r w:rsidR="002E1920">
        <w:t>,</w:t>
      </w:r>
      <w:r>
        <w:t xml:space="preserve"> using packages sourced from CRAN and Bioconductor</w:t>
      </w:r>
      <w:r w:rsidR="0086508A">
        <w:fldChar w:fldCharType="begin"/>
      </w:r>
      <w:r w:rsidR="00B93E87">
        <w:instrText xml:space="preserve"> ADDIN ZOTERO_ITEM CSL_CITATION {"citationID":"26ood4g9b","properties":{"formattedCitation":"(18)","plainCitation":"(18)"},"citationItems":[{"id":67,"uris":["http://zotero.org/users/local/QWbLI5ai/items/SZEZXSHU"],"uri":["http://zotero.org/users/local/QWbLI5ai/items/SZEZXSHU"],"itemData":{"id":67,"type":"article-journal","title":"Orchestrating high-throughput genomic analysis with Bioconductor","container-title":"Nature Methods","page":"115-121","volume":"12","issue":"2","source":"PubMed","abstract":"Bioconductor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contributors.","DOI":"10.1038/nmeth.3252","ISSN":"1548-7105","note":"PMID: 25633503\nPMCID: PMC4509590","journalAbbreviation":"Nat. Methods","language":"eng","author":[{"family":"Huber","given":"Wolfgang"},{"family":"Carey","given":"Vincent J."},{"family":"Gentleman","given":"Robert"},{"family":"Anders","given":"Simon"},{"family":"Carlson","given":"Marc"},{"family":"Carvalho","given":"Benilton S."},{"family":"Bravo","given":"Hector Corrada"},{"family":"Davis","given":"Sean"},{"family":"Gatto","given":"Laurent"},{"family":"Girke","given":"Thomas"},{"family":"Gottardo","given":"Raphael"},{"family":"Hahne","given":"Florian"},{"family":"Hansen","given":"Kasper D."},{"family":"Irizarry","given":"Rafael A."},{"family":"Lawrence","given":"Michael"},{"family":"Love","given":"Michael I."},{"family":"MacDonald","given":"James"},{"family":"Obenchain","given":"Valerie"},{"family":"Oleś","given":"Andrzej K."},{"family":"Pagès","given":"Hervé"},{"family":"Reyes","given":"Alejandro"},{"family":"Shannon","given":"Paul"},{"family":"Smyth","given":"Gordon K."},{"family":"Tenenbaum","given":"Dan"},{"family":"Waldron","given":"Levi"},{"family":"Morgan","given":"Martin"}],"issued":{"date-parts":[["2015",2]]},"PMID":"25633503","PMCID":"PMC4509590"}}],"schema":"https://github.com/citation-style-language/schema/raw/master/csl-citation.json"} </w:instrText>
      </w:r>
      <w:r w:rsidR="0086508A">
        <w:fldChar w:fldCharType="separate"/>
      </w:r>
      <w:r w:rsidR="00B93E87" w:rsidRPr="00B93E87">
        <w:rPr>
          <w:rFonts w:ascii="Calibri" w:hAnsi="Calibri"/>
        </w:rPr>
        <w:t>(18)</w:t>
      </w:r>
      <w:r w:rsidR="0086508A">
        <w:fldChar w:fldCharType="end"/>
      </w:r>
      <w:r>
        <w:t>.</w:t>
      </w:r>
      <w:r w:rsidR="000814C8">
        <w:t xml:space="preserve"> </w:t>
      </w:r>
      <w:r w:rsidR="009A06CF">
        <w:t>Patient demographics were</w:t>
      </w:r>
      <w:r w:rsidR="000814C8">
        <w:t xml:space="preserve"> assess</w:t>
      </w:r>
      <w:r w:rsidR="00A6780D">
        <w:t>ed</w:t>
      </w:r>
      <w:r w:rsidR="000814C8">
        <w:t xml:space="preserve"> using ANOVA </w:t>
      </w:r>
      <w:r w:rsidR="00C57911">
        <w:t xml:space="preserve">and </w:t>
      </w:r>
      <w:r w:rsidR="00C57911" w:rsidRPr="00C57911">
        <w:t xml:space="preserve">Kruskal-Wallis </w:t>
      </w:r>
      <w:r w:rsidR="000814C8">
        <w:t>for continuous variables, and Fisher’s exact test for categorical variables.</w:t>
      </w:r>
    </w:p>
    <w:p w14:paraId="1594CEF8" w14:textId="77777777" w:rsidR="00A53169" w:rsidRDefault="00624657" w:rsidP="00A53169">
      <w:pPr>
        <w:pStyle w:val="Heading3"/>
      </w:pPr>
      <w:r>
        <w:t>Normalization</w:t>
      </w:r>
    </w:p>
    <w:p w14:paraId="08D4B8F8" w14:textId="77777777" w:rsidR="00624657" w:rsidRDefault="00E0246E" w:rsidP="00624657">
      <w:r>
        <w:lastRenderedPageBreak/>
        <w:t xml:space="preserve">Gene expression data from ECLIPSE and from Rapid Transition were normalized together to enable comparisons. </w:t>
      </w:r>
      <w:r w:rsidR="002A0937">
        <w:t>Raw</w:t>
      </w:r>
      <w:r w:rsidR="002A0937" w:rsidRPr="0032235C">
        <w:t xml:space="preserve"> CEL files </w:t>
      </w:r>
      <w:r w:rsidR="002A0937">
        <w:t xml:space="preserve">were processed </w:t>
      </w:r>
      <w:r w:rsidR="002A0937" w:rsidRPr="0032235C">
        <w:t>us</w:t>
      </w:r>
      <w:r w:rsidR="00624657">
        <w:t xml:space="preserve">ing the </w:t>
      </w:r>
      <w:r w:rsidR="00624657" w:rsidRPr="00624657">
        <w:rPr>
          <w:i/>
        </w:rPr>
        <w:t>oligo</w:t>
      </w:r>
      <w:r w:rsidR="00FB7CA2">
        <w:t xml:space="preserve"> package</w:t>
      </w:r>
      <w:r w:rsidR="0086508A">
        <w:fldChar w:fldCharType="begin"/>
      </w:r>
      <w:r w:rsidR="00FB7CA2">
        <w:instrText xml:space="preserve"> ADDIN ZOTERO_ITEM CSL_CITATION {"citationID":"1iagahh0fv","properties":{"formattedCitation":"(19)","plainCitation":"(19)"},"citationItems":[{"id":69,"uris":["http://zotero.org/users/local/QWbLI5ai/items/3IEZ4DSF"],"uri":["http://zotero.org/users/local/QWbLI5ai/items/3IEZ4DSF"],"itemData":{"id":69,"type":"article-journal","title":"A framework for oligonucleotide microarray preprocessing","container-title":"Bioinformatics (Oxford, England)","page":"2363-2367","volume":"26","issue":"19","source":"PubMed","abstract":"MOTIVATION: The availability of flexible open source software for the analysis of gene expression raw level data has greatly facilitated the development of widely used preprocessing methods for these technologies. However, the expansion of microarray applications has exposed the limitation of existing tools.\nRESULTS: We developed the oligo package to provide a more general solution that supports a wide range of applications. The package is based on the BioConductor principles of transparency, reproducibility and efficiency of development. It extends the existing tools and leverages existing code for visualization, accessing data and widely used preprocessing routines. The oligo package implements a unified paradigm for preprocessing data and interfaces with other BioConductor tools for downstream analysis. Our infrastructure is general and can be used by other BioConductor packages.\nAVAILABILITY: The oligo package is freely available through BioConductor, http://www.bioconductor.org.","DOI":"10.1093/bioinformatics/btq431","ISSN":"1367-4811","note":"PMID: 20688976\nPMCID: PMC2944196","journalAbbreviation":"Bioinformatics","language":"eng","author":[{"family":"Carvalho","given":"Benilton S."},{"family":"Irizarry","given":"Rafael A."}],"issued":{"date-parts":[["2010",10,1]]},"PMID":"20688976","PMCID":"PMC2944196"}}],"schema":"https://github.com/citation-style-language/schema/raw/master/csl-citation.json"} </w:instrText>
      </w:r>
      <w:r w:rsidR="0086508A">
        <w:fldChar w:fldCharType="separate"/>
      </w:r>
      <w:r w:rsidR="00FB7CA2" w:rsidRPr="00FB7CA2">
        <w:rPr>
          <w:rFonts w:ascii="Calibri" w:hAnsi="Calibri"/>
        </w:rPr>
        <w:t>(19)</w:t>
      </w:r>
      <w:r w:rsidR="0086508A">
        <w:fldChar w:fldCharType="end"/>
      </w:r>
      <w:r w:rsidR="00FB7CA2">
        <w:t xml:space="preserve"> </w:t>
      </w:r>
      <w:r w:rsidR="00624657">
        <w:t>to assess quality and perform the Robust Multi-array Average</w:t>
      </w:r>
      <w:r w:rsidR="00FB7CA2">
        <w:t xml:space="preserve"> normalization method</w:t>
      </w:r>
      <w:r w:rsidR="0086508A">
        <w:fldChar w:fldCharType="begin"/>
      </w:r>
      <w:r w:rsidR="00FB7CA2">
        <w:instrText xml:space="preserve"> ADDIN ZOTERO_ITEM CSL_CITATION {"citationID":"lv5ha7qq3","properties":{"formattedCitation":"(20)","plainCitation":"(20)"},"citationItems":[{"id":71,"uris":["http://zotero.org/users/local/QWbLI5ai/items/WPZDFK9F"],"uri":["http://zotero.org/users/local/QWbLI5ai/items/WPZDFK9F"],"itemData":{"id":71,"type":"article-journal","title":"Exploration, normalization, and summaries of high density oligonucleotide array probe level data","container-title":"Biostatistics (Oxford, England)","page":"249-264","volume":"4","issue":"2","source":"PubMed","abstract":"In this paper we report exploratory analyses of high-density oligonucleotide array data from the Affymetrix GeneChip system with the objective of improving upon currently used measures of gene expression. Our analyses make use of three data sets: a small experimental study consisting of five MGU74A mouse GeneChip arrays, part of the data from an extensive spike-in study conducted by Gene Logic and Wyeth's Genetics Institute involving 95 HG-U95A human GeneChip arrays; and part of a dilution study conducted by Gene Logic involving 75 HG-U95A GeneChip arrays. We display some familiar features of the perfect match and mismatch probe (PM and MM) values of these data, and examine the variance-mean relationship with probe-level data from probes believed to be defective, and so delivering noise only. We explain why we need to normalize the arrays to one another using probe level intensities. We then examine the behavior of the PM and MM using spike-in data and assess three commonly used summary measures: Affymetrix's (i) average difference (AvDiff) and (ii) MAS 5.0 signal, and (iii) the Li and Wong multiplicative model-based expression index (MBEI). The exploratory data analyses of the probe level data motivate a new summary measure that is a robust multi-array average (RMA) of background-adjusted, normalized, and log-transformed PM values. We evaluate the four expression summary measures using the dilution study data, assessing their behavior in terms of bias, variance and (for MBEI and RMA) model fit. Finally, we evaluate the algorithms in terms of their ability to detect known levels of differential expression using the spike-in data. We conclude that there is no obvious downside to using RMA and attaching a standard error (SE) to this quantity using a linear model which removes probe-specific affinities.","DOI":"10.1093/biostatistics/4.2.249","ISSN":"1465-4644","note":"PMID: 12925520","journalAbbreviation":"Biostatistics","language":"eng","author":[{"family":"Irizarry","given":"Rafael A."},{"family":"Hobbs","given":"Bridget"},{"family":"Collin","given":"Francois"},{"family":"Beazer-Barclay","given":"Yasmin D."},{"family":"Antonellis","given":"Kristen J."},{"family":"Scherf","given":"Uwe"},{"family":"Speed","given":"Terence P."}],"issued":{"date-parts":[["2003",4]]},"PMID":"12925520"}}],"schema":"https://github.com/citation-style-language/schema/raw/master/csl-citation.json"} </w:instrText>
      </w:r>
      <w:r w:rsidR="0086508A">
        <w:fldChar w:fldCharType="separate"/>
      </w:r>
      <w:r w:rsidR="00FB7CA2" w:rsidRPr="00FB7CA2">
        <w:rPr>
          <w:rFonts w:ascii="Calibri" w:hAnsi="Calibri"/>
        </w:rPr>
        <w:t>(20)</w:t>
      </w:r>
      <w:r w:rsidR="0086508A">
        <w:fldChar w:fldCharType="end"/>
      </w:r>
      <w:r w:rsidR="00624657">
        <w:t xml:space="preserve">, with probes summarized at the transcript </w:t>
      </w:r>
      <w:r w:rsidR="002E1920">
        <w:t xml:space="preserve">cluster </w:t>
      </w:r>
      <w:r w:rsidR="00624657">
        <w:t>level. B</w:t>
      </w:r>
      <w:r w:rsidR="002A0937" w:rsidRPr="0032235C">
        <w:t xml:space="preserve">atch </w:t>
      </w:r>
      <w:r w:rsidR="00624657">
        <w:t xml:space="preserve">correction was performed using the </w:t>
      </w:r>
      <w:r w:rsidR="00624657" w:rsidRPr="00624657">
        <w:rPr>
          <w:i/>
        </w:rPr>
        <w:t>ComBat</w:t>
      </w:r>
      <w:r w:rsidR="00B72CDF">
        <w:t xml:space="preserve"> algorithm</w:t>
      </w:r>
      <w:r w:rsidR="0086508A">
        <w:fldChar w:fldCharType="begin"/>
      </w:r>
      <w:r w:rsidR="00B72CDF">
        <w:instrText xml:space="preserve"> ADDIN ZOTERO_ITEM CSL_CITATION {"citationID":"cj775juu3","properties":{"formattedCitation":"(21)","plainCitation":"(21)"},"citationItems":[{"id":73,"uris":["http://zotero.org/users/local/QWbLI5ai/items/6MZ2M9TF"],"uri":["http://zotero.org/users/local/QWbLI5ai/items/6MZ2M9TF"],"itemData":{"id":73,"type":"article-journal","title":"Removing Batch Effects in Analysis of Expression Microarray Data: An Evaluation of Six Batch Adjustment Methods","container-title":"PLoS ONE","volume":"6","issue":"2","source":"PubMed Central","abstract":"The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samples.","URL":"https://www.ncbi.nlm.nih.gov/pmc/articles/PMC3046121/","DOI":"10.1371/journal.pone.0017238","ISSN":"1932-6203","note":"PMID: 21386892\nPMCID: PMC3046121","shortTitle":"Removing Batch Effects in Analysis of Expression Microarray Data","journalAbbreviation":"PLoS One","author":[{"family":"Chen","given":"Chao"},{"family":"Grennan","given":"Kay"},{"family":"Badner","given":"Judith"},{"family":"Zhang","given":"Dandan"},{"family":"Gershon","given":"Elliot"},{"family":"Jin","given":"Li"},{"family":"Liu","given":"Chunyu"}],"issued":{"date-parts":[["2011",2,28]]},"PMID":"21386892","PMCID":"PMC3046121"}}],"schema":"https://github.com/citation-style-language/schema/raw/master/csl-citation.json"} </w:instrText>
      </w:r>
      <w:r w:rsidR="0086508A">
        <w:fldChar w:fldCharType="separate"/>
      </w:r>
      <w:r w:rsidR="00B72CDF" w:rsidRPr="00B72CDF">
        <w:rPr>
          <w:rFonts w:ascii="Calibri" w:hAnsi="Calibri"/>
        </w:rPr>
        <w:t>(21)</w:t>
      </w:r>
      <w:r w:rsidR="0086508A">
        <w:fldChar w:fldCharType="end"/>
      </w:r>
      <w:r>
        <w:t xml:space="preserve"> to correct for plate-to-plate artifacts</w:t>
      </w:r>
      <w:r w:rsidR="00842006">
        <w:t xml:space="preserve">, without </w:t>
      </w:r>
      <w:r w:rsidR="002D5205">
        <w:t>incorporating</w:t>
      </w:r>
      <w:r w:rsidR="00842006">
        <w:t xml:space="preserve"> any phenotypic information</w:t>
      </w:r>
      <w:r w:rsidR="002A0937" w:rsidRPr="0032235C">
        <w:t>.</w:t>
      </w:r>
      <w:r w:rsidR="002D5205">
        <w:t xml:space="preserve"> </w:t>
      </w:r>
    </w:p>
    <w:p w14:paraId="63C8B066" w14:textId="77777777" w:rsidR="00624657" w:rsidRDefault="00624657" w:rsidP="00624657">
      <w:pPr>
        <w:pStyle w:val="Heading3"/>
      </w:pPr>
      <w:r>
        <w:t>Gene-level Summarization</w:t>
      </w:r>
    </w:p>
    <w:p w14:paraId="25241CA3" w14:textId="77777777" w:rsidR="00624657" w:rsidRPr="0032235C" w:rsidRDefault="00624657" w:rsidP="009F7CDB">
      <w:r>
        <w:t>To ensure biologically meaningful results, transcript</w:t>
      </w:r>
      <w:r w:rsidR="002E1920">
        <w:t xml:space="preserve"> cluster</w:t>
      </w:r>
      <w:r>
        <w:t xml:space="preserve">-level data was summarized at the gene level using </w:t>
      </w:r>
      <w:r w:rsidR="009B7E15">
        <w:t xml:space="preserve">Affymetrix Human Gene 1.1 ST transcript cluster annotations (version </w:t>
      </w:r>
      <w:r w:rsidR="004C5324">
        <w:t>36</w:t>
      </w:r>
      <w:r w:rsidR="009B7E15">
        <w:t>). U</w:t>
      </w:r>
      <w:r w:rsidR="001B6B81">
        <w:t>n-annotated transcripts</w:t>
      </w:r>
      <w:r w:rsidR="00081EC2">
        <w:t xml:space="preserve"> and transcripts that mapped </w:t>
      </w:r>
      <w:r w:rsidR="001B6B81">
        <w:t>to multiple genes</w:t>
      </w:r>
      <w:r w:rsidR="009B7E15">
        <w:t xml:space="preserve"> were removed from the data. Genes with multiple transcripts assigned to them were </w:t>
      </w:r>
      <w:r w:rsidR="00081EC2">
        <w:t>assigned</w:t>
      </w:r>
      <w:r w:rsidR="009B7E15">
        <w:t xml:space="preserve"> a value equal to the average of their corresponding transcripts</w:t>
      </w:r>
      <w:r w:rsidR="00081EC2">
        <w:t>.</w:t>
      </w:r>
      <w:r w:rsidR="001177EF">
        <w:t xml:space="preserve"> The result of this summarization will be referred to as the gene expression data.</w:t>
      </w:r>
    </w:p>
    <w:p w14:paraId="756B5C0C" w14:textId="77777777" w:rsidR="00B0494A" w:rsidRDefault="00B0494A" w:rsidP="00A53169">
      <w:pPr>
        <w:pStyle w:val="Heading3"/>
      </w:pPr>
      <w:r>
        <w:t>Gene regulatory module identification</w:t>
      </w:r>
    </w:p>
    <w:p w14:paraId="32B73976" w14:textId="77777777" w:rsidR="00B0494A" w:rsidRDefault="001177EF" w:rsidP="009F7CDB">
      <w:r>
        <w:rPr>
          <w:color w:val="000000"/>
          <w:shd w:val="clear" w:color="auto" w:fill="FFFFFF"/>
        </w:rPr>
        <w:t>We carried out an untargeted discovery of co-expressed gene modules using the gene expression data of 226 ECLIPSE subjects</w:t>
      </w:r>
      <w:r w:rsidR="00DB7DC3">
        <w:rPr>
          <w:color w:val="000000"/>
          <w:shd w:val="clear" w:color="auto" w:fill="FFFFFF"/>
        </w:rPr>
        <w:t xml:space="preserve"> with month 3 samples</w:t>
      </w:r>
      <w:r>
        <w:rPr>
          <w:color w:val="000000"/>
          <w:shd w:val="clear" w:color="auto" w:fill="FFFFFF"/>
        </w:rPr>
        <w:t xml:space="preserve">. Many systemic inflammatory markers are elevated during AECOPD and it is reasonable to assume this is associated with changes in gene expression in various component cells of the blood. This untargeted approach may identify novel pathways and mechanisms specific to AECOPD. </w:t>
      </w:r>
      <w:r w:rsidR="00CC127A">
        <w:t>Weighted Gene Co-expressi</w:t>
      </w:r>
      <w:r w:rsidR="003B62E4">
        <w:t>on Network Analysis (WGCNA)</w:t>
      </w:r>
      <w:r w:rsidR="0086508A">
        <w:fldChar w:fldCharType="begin"/>
      </w:r>
      <w:r w:rsidR="003B62E4">
        <w:instrText xml:space="preserve"> ADDIN ZOTERO_ITEM CSL_CITATION {"citationID":"9pnjo7ptj","properties":{"formattedCitation":"(22)","plainCitation":"(22)"},"citationItems":[{"id":16,"uris":["http://zotero.org/users/local/QWbLI5ai/items/SDNVGH6T"],"uri":["http://zotero.org/users/local/QWbLI5ai/items/SDNVGH6T"],"itemData":{"id":16,"type":"article-journal","title":"A general framework for weighted gene co-expression network analysis","container-title":"Stat Appl Genet Mol Biol","volume":"4","journalAbbreviation":"Stat Appl Genet Mol Biol","author":[{"family":"Zhang","given":"B."},{"family":"Horvath","given":"S."}],"issued":{"date-parts":[["2005"]]}}}],"schema":"https://github.com/citation-style-language/schema/raw/master/csl-citation.json"} </w:instrText>
      </w:r>
      <w:r w:rsidR="0086508A">
        <w:fldChar w:fldCharType="separate"/>
      </w:r>
      <w:r w:rsidR="003B62E4" w:rsidRPr="003B62E4">
        <w:rPr>
          <w:rFonts w:ascii="Calibri" w:hAnsi="Calibri"/>
        </w:rPr>
        <w:t>(22)</w:t>
      </w:r>
      <w:r w:rsidR="0086508A">
        <w:fldChar w:fldCharType="end"/>
      </w:r>
      <w:r w:rsidR="00CC127A">
        <w:t xml:space="preserve"> was used to</w:t>
      </w:r>
      <w:r w:rsidR="00CC127A" w:rsidRPr="00CC127A">
        <w:t xml:space="preserve"> </w:t>
      </w:r>
      <w:r w:rsidR="00CC127A">
        <w:t xml:space="preserve">identify </w:t>
      </w:r>
      <w:r w:rsidR="00FC39B8">
        <w:t>modules</w:t>
      </w:r>
      <w:r w:rsidR="00AD4E71">
        <w:t xml:space="preserve"> of co-expressed genes, with the idea that co-expression may serve as a surrogate for regulatory relationships.</w:t>
      </w:r>
      <w:r w:rsidR="00CC127A">
        <w:t xml:space="preserve"> </w:t>
      </w:r>
      <w:r w:rsidR="00CA692F">
        <w:t xml:space="preserve">WGCNA performs hierarchical clustering on a weighted gene-gene correlation matrix that has approximately scale-free topology. </w:t>
      </w:r>
      <w:r w:rsidR="00AD4E71">
        <w:t>Unsigned correlations were used and the minimum module size was set at 50</w:t>
      </w:r>
      <w:r w:rsidR="00AB56AA">
        <w:t xml:space="preserve"> genes</w:t>
      </w:r>
      <w:r w:rsidR="00AD4E71">
        <w:t>.</w:t>
      </w:r>
    </w:p>
    <w:p w14:paraId="3A243C82" w14:textId="77777777" w:rsidR="00AC6399" w:rsidRPr="0032235C" w:rsidRDefault="00AC6399" w:rsidP="00AC6399">
      <w:pPr>
        <w:pStyle w:val="Heading3"/>
      </w:pPr>
      <w:r w:rsidRPr="0032235C">
        <w:t xml:space="preserve">Pathway </w:t>
      </w:r>
      <w:r>
        <w:t xml:space="preserve">Enrichment </w:t>
      </w:r>
      <w:r w:rsidRPr="0032235C">
        <w:t>analysis</w:t>
      </w:r>
    </w:p>
    <w:p w14:paraId="1B321C7F" w14:textId="77777777" w:rsidR="00AC6399" w:rsidRDefault="00AC6399" w:rsidP="009F7CDB">
      <w:r>
        <w:lastRenderedPageBreak/>
        <w:t xml:space="preserve">The </w:t>
      </w:r>
      <w:r w:rsidR="00AB56AA">
        <w:t>modules of</w:t>
      </w:r>
      <w:r>
        <w:t xml:space="preserve"> genes </w:t>
      </w:r>
      <w:r w:rsidRPr="0032235C">
        <w:t xml:space="preserve">identified </w:t>
      </w:r>
      <w:r w:rsidR="00AB56AA">
        <w:t>by WGCNA</w:t>
      </w:r>
      <w:r w:rsidRPr="0032235C">
        <w:t xml:space="preserve"> </w:t>
      </w:r>
      <w:r>
        <w:t xml:space="preserve">were compared </w:t>
      </w:r>
      <w:r w:rsidRPr="0032235C">
        <w:t>to</w:t>
      </w:r>
      <w:r w:rsidR="00F018DA">
        <w:t xml:space="preserve"> approximately</w:t>
      </w:r>
      <w:r w:rsidRPr="0032235C">
        <w:t xml:space="preserve"> </w:t>
      </w:r>
      <w:r w:rsidR="00F018DA">
        <w:t>13,</w:t>
      </w:r>
      <w:r w:rsidRPr="00C74DAB">
        <w:t>000 annotated gene sets from the Broad Institute’s MSigDB collection</w:t>
      </w:r>
      <w:r w:rsidR="00F018DA">
        <w:t>s</w:t>
      </w:r>
      <w:r w:rsidR="0086508A">
        <w:fldChar w:fldCharType="begin"/>
      </w:r>
      <w:r w:rsidR="00F018DA">
        <w:instrText xml:space="preserve"> ADDIN ZOTERO_ITEM CSL_CITATION {"citationID":"dp9146qnv","properties":{"formattedCitation":"(23, 24)","plainCitation":"(23, 24)"},"citationItems":[{"id":76,"uris":["http://zotero.org/users/local/QWbLI5ai/items/BSZIZG2P"],"uri":["http://zotero.org/users/local/QWbLI5ai/items/BSZIZG2P"],"itemData":{"id":76,"type":"article-journal","title":"Gene set enrichment analysis: A knowledge-based approach for interpreting genome-wide expression profiles","container-title":"Proceedings of the National Academy of Sciences","page":"15545-15550","volume":"102","issue":"43","source":"www.pnas.org","abstract":"Although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sets.","DOI":"10.1073/pnas.0506580102","ISSN":"0027-8424, 1091-6490","note":"PMID: 16199517","shortTitle":"Gene set enrichment analysis","journalAbbreviation":"PNAS","language":"en","author":[{"family":"Subramanian","given":"Aravind"},{"family":"Tamayo","given":"Pablo"},{"family":"Mootha","given":"Vamsi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P."}],"issued":{"date-parts":[["2005",10,25]]},"PMID":"16199517"}},{"id":80,"uris":["http://zotero.org/users/local/QWbLI5ai/items/8BRI25T4"],"uri":["http://zotero.org/users/local/QWbLI5ai/items/8BRI25T4"],"itemData":{"id":80,"type":"article-journal","title":"Molecular signatures database (MSigDB) 3.0","container-title":"Bioinformatics","page":"1739-1740","volume":"27","issue":"12","source":"academic.oup.com","abstract":"Motivation: Well-annotated gene sets representing the universe of the biological processes are critical for meaningful and insightful interpretation of large-scale genomic data. The Molecular Signatures Database (MSigDB) is one of the most widely used repositories of such sets.Results: We report the availability of a new version of the database, MSigDB 3.0, with over 6700 gene sets, a complete revision of the collection of canonical pathways and experimental signatures from publications, enhanced annotations and upgrades to the web site.Availability and Implementation: MSigDB is freely available for non-commercial use at http://www.broadinstitute.org/msigdb.Contact:gsea@broadinstitute.org","DOI":"10.1093/bioinformatics/btr260","ISSN":"1367-4803","journalAbbreviation":"Bioinformatics","author":[{"family":"Liberzon","given":"Arthur"},{"family":"Subramanian","given":"Aravind"},{"family":"Pinchback","given":"Reid"},{"family":"Thorvaldsdóttir","given":"Helga"},{"family":"Tamayo","given":"Pablo"},{"family":"Mesirov","given":"Jill P."}],"issued":{"date-parts":[["2011",6,15]]}}}],"schema":"https://github.com/citation-style-language/schema/raw/master/csl-citation.json"} </w:instrText>
      </w:r>
      <w:r w:rsidR="0086508A">
        <w:fldChar w:fldCharType="separate"/>
      </w:r>
      <w:r w:rsidR="00F018DA" w:rsidRPr="00F018DA">
        <w:rPr>
          <w:rFonts w:ascii="Calibri" w:hAnsi="Calibri"/>
        </w:rPr>
        <w:t>(23, 24)</w:t>
      </w:r>
      <w:r w:rsidR="0086508A">
        <w:fldChar w:fldCharType="end"/>
      </w:r>
      <w:r w:rsidR="00F018DA">
        <w:t xml:space="preserve">, </w:t>
      </w:r>
      <w:r w:rsidR="00BB56FC">
        <w:t>350 Blood Transcription Modules</w:t>
      </w:r>
      <w:r w:rsidR="0086508A">
        <w:fldChar w:fldCharType="begin"/>
      </w:r>
      <w:r w:rsidR="00BB56FC">
        <w:instrText xml:space="preserve"> ADDIN ZOTERO_ITEM CSL_CITATION {"citationID":"1563i7n8lg","properties":{"formattedCitation":"(25)","plainCitation":"(25)"},"citationItems":[{"id":31,"uris":["http://zotero.org/users/local/QWbLI5ai/items/WFBPGU8F"],"uri":["http://zotero.org/users/local/QWbLI5ai/items/WFBPGU8F"],"itemData":{"id":31,"type":"article-journal","title":"Molecular signatures of antibody responses derived from a systems biology study of five human vaccines","container-title":"Nat Immunol","volume":"15","URL":"http://dx.doi.org/10.1038/ni.2789","DOI":"10.1038/ni.2789","journalAbbreviation":"Nat Immunol","author":[{"family":"Li","given":"S."},{"family":"Rouphael","given":"N."},{"family":"Duraisingham","given":"S."},{"family":"Romero-Steiner","given":"S."},{"family":"Presnell","given":"S."},{"family":"Davis","given":"C."}],"issued":{"date-parts":[["2013"]]}}}],"schema":"https://github.com/citation-style-language/schema/raw/master/csl-citation.json"} </w:instrText>
      </w:r>
      <w:r w:rsidR="0086508A">
        <w:fldChar w:fldCharType="separate"/>
      </w:r>
      <w:r w:rsidR="00BB56FC" w:rsidRPr="00BB56FC">
        <w:rPr>
          <w:rFonts w:ascii="Calibri" w:hAnsi="Calibri"/>
        </w:rPr>
        <w:t>(25)</w:t>
      </w:r>
      <w:r w:rsidR="0086508A">
        <w:fldChar w:fldCharType="end"/>
      </w:r>
      <w:r w:rsidRPr="00C74DAB">
        <w:t>, and 73 tissue-specific gene sets</w:t>
      </w:r>
      <w:r w:rsidR="0086508A">
        <w:fldChar w:fldCharType="begin"/>
      </w:r>
      <w:r w:rsidR="00F824A7">
        <w:instrText xml:space="preserve"> ADDIN ZOTERO_ITEM CSL_CITATION {"citationID":"1gturen0u5","properties":{"formattedCitation":"(26)","plainCitation":"(26)"},"citationItems":[{"id":108,"uris":["http://zotero.org/users/local/QWbLI5ai/items/TW3IGWZ3"],"uri":["http://zotero.org/users/local/QWbLI5ai/items/TW3IGWZ3"],"itemData":{"id":108,"type":"webpage","title":"Gene enrichment profiles reveal T-cell development, differentiation, and lineage-specific transcription factors including ZBTB25 as a novel NF-AT r... - PubMed - NCBI","URL":"https://www.ncbi.nlm.nih.gov/pubmed/20410506","accessed":{"date-parts":[["2018",1,8]]}}}],"schema":"https://github.com/citation-style-language/schema/raw/master/csl-citation.json"} </w:instrText>
      </w:r>
      <w:r w:rsidR="0086508A">
        <w:fldChar w:fldCharType="separate"/>
      </w:r>
      <w:r w:rsidR="00F824A7" w:rsidRPr="00F824A7">
        <w:rPr>
          <w:rFonts w:ascii="Calibri" w:hAnsi="Calibri"/>
        </w:rPr>
        <w:t>(26)</w:t>
      </w:r>
      <w:r w:rsidR="0086508A">
        <w:fldChar w:fldCharType="end"/>
      </w:r>
      <w:r w:rsidRPr="0032235C">
        <w:t xml:space="preserve">. </w:t>
      </w:r>
      <w:r>
        <w:t>A</w:t>
      </w:r>
      <w:r w:rsidRPr="0032235C">
        <w:t xml:space="preserve"> hypergeometric test </w:t>
      </w:r>
      <w:r>
        <w:t xml:space="preserve">was </w:t>
      </w:r>
      <w:r w:rsidR="00141FD9">
        <w:t xml:space="preserve">used </w:t>
      </w:r>
      <w:r w:rsidRPr="0032235C">
        <w:t xml:space="preserve">to identify </w:t>
      </w:r>
      <w:r>
        <w:t xml:space="preserve">which of these annotated </w:t>
      </w:r>
      <w:r w:rsidRPr="0032235C">
        <w:t xml:space="preserve">genes sets </w:t>
      </w:r>
      <w:r>
        <w:t xml:space="preserve">were </w:t>
      </w:r>
      <w:r w:rsidR="008C3F65">
        <w:t xml:space="preserve">statistically </w:t>
      </w:r>
      <w:r>
        <w:t xml:space="preserve">over-represented in </w:t>
      </w:r>
      <w:r w:rsidR="00AB56AA">
        <w:t>the modules</w:t>
      </w:r>
      <w:r>
        <w:t xml:space="preserve"> identified </w:t>
      </w:r>
      <w:r w:rsidR="001E13D1">
        <w:t xml:space="preserve">by </w:t>
      </w:r>
      <w:r w:rsidR="00AB56AA">
        <w:t>WGCNA</w:t>
      </w:r>
      <w:r w:rsidRPr="0032235C">
        <w:t xml:space="preserve">, </w:t>
      </w:r>
      <w:r>
        <w:t>with correction for multiple</w:t>
      </w:r>
      <w:r w:rsidRPr="0032235C">
        <w:t xml:space="preserve"> </w:t>
      </w:r>
      <w:r>
        <w:t xml:space="preserve">testing </w:t>
      </w:r>
      <w:r w:rsidR="008C3F65">
        <w:t>performed</w:t>
      </w:r>
      <w:r w:rsidRPr="0032235C">
        <w:t xml:space="preserve"> using the Ben</w:t>
      </w:r>
      <w:r w:rsidR="00AE0780">
        <w:t>jamini-Hochberg procedure</w:t>
      </w:r>
      <w:r w:rsidR="0086508A">
        <w:fldChar w:fldCharType="begin"/>
      </w:r>
      <w:r w:rsidR="00F824A7">
        <w:instrText xml:space="preserve"> ADDIN ZOTERO_ITEM CSL_CITATION {"citationID":"kus0mkcko","properties":{"formattedCitation":"(27)","plainCitation":"(27)"},"citationItems":[{"id":89,"uris":["http://zotero.org/users/local/QWbLI5ai/items/M8KSN8ZE"],"uri":["http://zotero.org/users/local/QWbLI5ai/items/M8KSN8ZE"],"itemData":{"id":89,"type":"article-journal","title":"Controlling the False Discovery Rate: A Practical and Powerful Approach to Multiple Testing","container-title":"Journal of the Royal Statistical Society. Series B (Methodological)","page":"289-300","volume":"57","issue":"1","source":"JSTOR","abstract":"The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86508A">
        <w:fldChar w:fldCharType="separate"/>
      </w:r>
      <w:r w:rsidR="00F824A7" w:rsidRPr="00F824A7">
        <w:rPr>
          <w:rFonts w:ascii="Calibri" w:hAnsi="Calibri"/>
        </w:rPr>
        <w:t>(27)</w:t>
      </w:r>
      <w:r w:rsidR="0086508A">
        <w:fldChar w:fldCharType="end"/>
      </w:r>
      <w:r>
        <w:t>.</w:t>
      </w:r>
    </w:p>
    <w:p w14:paraId="6C7C02BC" w14:textId="77777777" w:rsidR="007916DA" w:rsidRDefault="002B37E9" w:rsidP="00A53169">
      <w:pPr>
        <w:pStyle w:val="Heading3"/>
      </w:pPr>
      <w:r>
        <w:t xml:space="preserve">Module-based </w:t>
      </w:r>
      <w:r w:rsidR="00B0494A">
        <w:t>Biomark</w:t>
      </w:r>
      <w:r w:rsidR="00A53169">
        <w:t>er discovery</w:t>
      </w:r>
    </w:p>
    <w:p w14:paraId="6C81D4E3" w14:textId="77777777" w:rsidR="00A85CAC" w:rsidRDefault="002F0A3B" w:rsidP="002F0A3B">
      <w:r>
        <w:rPr>
          <w:color w:val="000000"/>
          <w:shd w:val="clear" w:color="auto" w:fill="FFFFFF"/>
        </w:rPr>
        <w:t xml:space="preserve">We identified </w:t>
      </w:r>
      <w:r>
        <w:t xml:space="preserve">20 imminent exacerbators (IE; patients who exacerbate without 60 days post-blood draw) and </w:t>
      </w:r>
      <w:r w:rsidR="00FD6698">
        <w:t>122</w:t>
      </w:r>
      <w:r>
        <w:t xml:space="preserve"> non-exacerbators (NE; patients who are exacerbation-free for ≥365 days post-blood draw) from the ECLIPSE cohort. These were subjects </w:t>
      </w:r>
      <w:r w:rsidR="00DB7DC3">
        <w:t xml:space="preserve">with year 1 samples, </w:t>
      </w:r>
      <w:r>
        <w:t xml:space="preserve">whose data was not </w:t>
      </w:r>
      <w:r w:rsidR="00A407DB">
        <w:rPr>
          <w:color w:val="000000"/>
          <w:shd w:val="clear" w:color="auto" w:fill="FFFFFF"/>
        </w:rPr>
        <w:t>previously</w:t>
      </w:r>
      <w:r w:rsidR="00A407DB">
        <w:t xml:space="preserve"> </w:t>
      </w:r>
      <w:r>
        <w:t>used to derive the</w:t>
      </w:r>
      <w:r>
        <w:rPr>
          <w:color w:val="000000"/>
          <w:shd w:val="clear" w:color="auto" w:fill="FFFFFF"/>
        </w:rPr>
        <w:t xml:space="preserve"> co-expression modules. Differential </w:t>
      </w:r>
      <w:r w:rsidR="00A85CAC">
        <w:rPr>
          <w:color w:val="000000"/>
          <w:shd w:val="clear" w:color="auto" w:fill="FFFFFF"/>
        </w:rPr>
        <w:t xml:space="preserve">gene </w:t>
      </w:r>
      <w:r>
        <w:rPr>
          <w:color w:val="000000"/>
          <w:shd w:val="clear" w:color="auto" w:fill="FFFFFF"/>
        </w:rPr>
        <w:t xml:space="preserve">expression between IE and NE patients was assessed on a per-module basis using the moderated </w:t>
      </w:r>
      <w:r>
        <w:rPr>
          <w:i/>
          <w:color w:val="000000"/>
          <w:shd w:val="clear" w:color="auto" w:fill="FFFFFF"/>
        </w:rPr>
        <w:t>t</w:t>
      </w:r>
      <w:r>
        <w:rPr>
          <w:color w:val="000000"/>
          <w:shd w:val="clear" w:color="auto" w:fill="FFFFFF"/>
        </w:rPr>
        <w:t xml:space="preserve">-test provided by the </w:t>
      </w:r>
      <w:r w:rsidRPr="00A6780D">
        <w:t>Linear Models for Microarray Data (LIMMA)</w:t>
      </w:r>
      <w:r w:rsidR="0086508A">
        <w:fldChar w:fldCharType="begin"/>
      </w:r>
      <w:r w:rsidR="00F824A7">
        <w:instrText xml:space="preserve"> ADDIN ZOTERO_ITEM CSL_CITATION {"citationID":"24itlsj54c","properties":{"formattedCitation":"(28)","plainCitation":"(28)"},"citationItems":[{"id":91,"uris":["http://zotero.org/users/local/QWbLI5ai/items/IGDISEMZ"],"uri":["http://zotero.org/users/local/QWbLI5ai/items/IGDISEMZ"],"itemData":{"id":91,"type":"article-journal","title":"limma powers differential expression analyses for RNA-sequencing and microarray studies","container-title":"Nucleic Acids Research","page":"e47","volume":"43","issue":"7","source":"PubMed","abstract":"limma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described.","DOI":"10.1093/nar/gkv007","ISSN":"1362-4962","note":"PMID: 25605792\nPMCID: PMC4402510","journalAbbreviation":"Nucleic Acids Res.","language":"eng","author":[{"family":"Ritchie","given":"Matthew E."},{"family":"Phipson","given":"Belinda"},{"family":"Wu","given":"Di"},{"family":"Hu","given":"Yifang"},{"family":"Law","given":"Charity W."},{"family":"Shi","given":"Wei"},{"family":"Smyth","given":"Gordon K."}],"issued":{"date-parts":[["2015",4,20]]},"PMID":"25605792","PMCID":"PMC4402510"}}],"schema":"https://github.com/citation-style-language/schema/raw/master/csl-citation.json"} </w:instrText>
      </w:r>
      <w:r w:rsidR="0086508A">
        <w:fldChar w:fldCharType="separate"/>
      </w:r>
      <w:r w:rsidR="00F824A7" w:rsidRPr="00F824A7">
        <w:rPr>
          <w:rFonts w:ascii="Calibri" w:hAnsi="Calibri"/>
        </w:rPr>
        <w:t>(28)</w:t>
      </w:r>
      <w:r w:rsidR="0086508A">
        <w:fldChar w:fldCharType="end"/>
      </w:r>
      <w:r w:rsidRPr="00A6780D">
        <w:t xml:space="preserve"> package</w:t>
      </w:r>
      <w:r>
        <w:t xml:space="preserve">. </w:t>
      </w:r>
      <w:r w:rsidRPr="00A6780D">
        <w:t xml:space="preserve">Genes with p-value &lt;0.05 were selected as </w:t>
      </w:r>
      <w:r w:rsidR="0036554E">
        <w:t xml:space="preserve">candidates for the </w:t>
      </w:r>
      <w:r w:rsidRPr="00A6780D">
        <w:t>biomarker panel</w:t>
      </w:r>
      <w:r w:rsidR="000D1E38">
        <w:t>s</w:t>
      </w:r>
      <w:r w:rsidRPr="00A6780D">
        <w:t xml:space="preserve">. </w:t>
      </w:r>
      <w:r w:rsidR="000D1E38">
        <w:t>We then applied e</w:t>
      </w:r>
      <w:r w:rsidR="0036554E">
        <w:t xml:space="preserve">lastic </w:t>
      </w:r>
      <w:r w:rsidRPr="00A6780D">
        <w:t xml:space="preserve">net regularized </w:t>
      </w:r>
      <w:r w:rsidR="0036554E">
        <w:t>logistic regression</w:t>
      </w:r>
      <w:r w:rsidR="0086508A">
        <w:fldChar w:fldCharType="begin"/>
      </w:r>
      <w:r w:rsidR="00F824A7">
        <w:instrText xml:space="preserve"> ADDIN ZOTERO_ITEM CSL_CITATION {"citationID":"2hcvu9p5e2","properties":{"formattedCitation":"(29)","plainCitation":"(29)"},"citationItems":[{"id":93,"uris":["http://zotero.org/users/local/QWbLI5ai/items/BD7ISA7C"],"uri":["http://zotero.org/users/local/QWbLI5ai/items/BD7ISA7C"],"itemData":{"id":93,"type":"article-journal","title":"Regularization and variable selection via the elastic net","container-title":"Journal of the Royal Statistical Society: Series B (Statistical Methodology)","page":"301-320","volume":"67","issue":"2","source":"Wiley Online Library","abstract":"Summary.  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w:instrText>
      </w:r>
      <w:r w:rsidR="00F824A7">
        <w:rPr>
          <w:rFonts w:ascii="Cambria Math" w:hAnsi="Cambria Math" w:cs="Cambria Math"/>
        </w:rPr>
        <w:instrText>≫</w:instrText>
      </w:r>
      <w:r w:rsidR="00F824A7">
        <w:rPr>
          <w:rFonts w:ascii="Calibri" w:hAnsi="Calibri" w:cs="Calibri"/>
        </w:rPr>
        <w:instrText>n c</w:instrText>
      </w:r>
      <w:r w:rsidR="00F824A7">
        <w:instrText xml:space="preserve">ase. An algorithm called LARS-EN is proposed for computing elastic net regularization paths efficiently, much like algorithm LARS does for the lasso.","DOI":"10.1111/j.1467-9868.2005.00503.x","ISSN":"1467-9868","language":"en","author":[{"family":"Zou","given":"Hui"},{"family":"Hastie","given":"Trevor"}],"issued":{"date-parts":[["2005",4,1]]}}}],"schema":"https://github.com/citation-style-language/schema/raw/master/csl-citation.json"} </w:instrText>
      </w:r>
      <w:r w:rsidR="0086508A">
        <w:fldChar w:fldCharType="separate"/>
      </w:r>
      <w:r w:rsidR="00F824A7" w:rsidRPr="00F824A7">
        <w:rPr>
          <w:rFonts w:ascii="Calibri" w:hAnsi="Calibri"/>
        </w:rPr>
        <w:t>(29)</w:t>
      </w:r>
      <w:r w:rsidR="0086508A">
        <w:fldChar w:fldCharType="end"/>
      </w:r>
      <w:r w:rsidR="000D1E38">
        <w:t xml:space="preserve"> </w:t>
      </w:r>
      <w:r w:rsidRPr="00A6780D">
        <w:t xml:space="preserve">to </w:t>
      </w:r>
      <w:r w:rsidR="000D1E38">
        <w:t>each list</w:t>
      </w:r>
      <w:r w:rsidRPr="00A6780D">
        <w:t xml:space="preserve"> of </w:t>
      </w:r>
      <w:r w:rsidR="000D1E38">
        <w:t xml:space="preserve">candidate genes, separately </w:t>
      </w:r>
      <w:r w:rsidRPr="00A6780D">
        <w:t xml:space="preserve">for each module, to </w:t>
      </w:r>
      <w:r w:rsidR="000D1E38">
        <w:t>build</w:t>
      </w:r>
      <w:r w:rsidRPr="00A6780D">
        <w:t xml:space="preserve"> </w:t>
      </w:r>
      <w:r w:rsidR="000D1E38">
        <w:t xml:space="preserve">binary classifiers for </w:t>
      </w:r>
      <w:r w:rsidRPr="00A6780D">
        <w:t xml:space="preserve">IE from NE. </w:t>
      </w:r>
      <w:r>
        <w:t>As</w:t>
      </w:r>
      <w:r w:rsidRPr="00A6780D">
        <w:t xml:space="preserve"> elastic net </w:t>
      </w:r>
      <w:r>
        <w:t>performs regularization in addition to regression</w:t>
      </w:r>
      <w:r w:rsidRPr="00A6780D">
        <w:t xml:space="preserve">, </w:t>
      </w:r>
      <w:r w:rsidR="000D1E38">
        <w:t xml:space="preserve">only a subset of </w:t>
      </w:r>
      <w:r w:rsidR="00A85CAC">
        <w:t xml:space="preserve">the candidate </w:t>
      </w:r>
      <w:r w:rsidR="000D1E38">
        <w:t xml:space="preserve">genes </w:t>
      </w:r>
      <w:r w:rsidR="00A85CAC">
        <w:t>is given non-zero weights. We call the set of non-zero weighted genes in a given</w:t>
      </w:r>
      <w:r w:rsidR="00CB7AA7">
        <w:t xml:space="preserve"> elastic net model a </w:t>
      </w:r>
      <w:r w:rsidR="00A85CAC">
        <w:t>“biomarker panel”</w:t>
      </w:r>
      <w:r w:rsidR="00CB7AA7">
        <w:t>.</w:t>
      </w:r>
    </w:p>
    <w:p w14:paraId="4BD10C90" w14:textId="77777777" w:rsidR="00CF6B8A" w:rsidRPr="00CB7AA7" w:rsidRDefault="002F0A3B" w:rsidP="009F7CDB">
      <w:pPr>
        <w:rPr>
          <w:iCs/>
        </w:rPr>
      </w:pPr>
      <w:r w:rsidRPr="00A6780D">
        <w:t xml:space="preserve">Area under the receiver operating characteristics curve (AUC) was selected as the </w:t>
      </w:r>
      <w:r w:rsidR="00A85CAC">
        <w:t xml:space="preserve">primary </w:t>
      </w:r>
      <w:r w:rsidRPr="00A6780D">
        <w:t xml:space="preserve">performance metric of interest, </w:t>
      </w:r>
      <w:r w:rsidR="00A85CAC">
        <w:t>since it summarizes discriminative power independently of decision thresholds.</w:t>
      </w:r>
      <w:r w:rsidR="00A85CAC" w:rsidRPr="00A6780D">
        <w:t xml:space="preserve"> </w:t>
      </w:r>
      <w:r w:rsidRPr="00A6780D">
        <w:t xml:space="preserve">To obtain out-of-sample AUC estimates </w:t>
      </w:r>
      <w:r w:rsidR="00A85CAC">
        <w:t>for each of the</w:t>
      </w:r>
      <w:r w:rsidRPr="00A6780D">
        <w:t xml:space="preserve"> elastic net models,</w:t>
      </w:r>
      <w:r w:rsidR="00A85CAC">
        <w:t xml:space="preserve"> </w:t>
      </w:r>
      <w:r w:rsidRPr="009A06CF">
        <w:t>10</w:t>
      </w:r>
      <w:r w:rsidRPr="00A6780D">
        <w:t xml:space="preserve">-fold </w:t>
      </w:r>
      <w:r w:rsidR="00A85CAC">
        <w:t xml:space="preserve">stratified </w:t>
      </w:r>
      <w:r w:rsidRPr="00A6780D">
        <w:t>cross-validation</w:t>
      </w:r>
      <w:r w:rsidR="00674771">
        <w:t xml:space="preserve"> </w:t>
      </w:r>
      <w:r w:rsidRPr="00A6780D">
        <w:t xml:space="preserve">was </w:t>
      </w:r>
      <w:r w:rsidR="00674771">
        <w:t>applied</w:t>
      </w:r>
      <w:r w:rsidRPr="00A6780D">
        <w:t xml:space="preserve"> to the </w:t>
      </w:r>
      <w:r>
        <w:t xml:space="preserve">entire </w:t>
      </w:r>
      <w:r w:rsidRPr="00A6780D">
        <w:t>biomarker discovery process</w:t>
      </w:r>
      <w:r w:rsidR="00674771">
        <w:t xml:space="preserve"> described above, for each gene module</w:t>
      </w:r>
      <w:r w:rsidRPr="00A6780D">
        <w:t xml:space="preserve">. </w:t>
      </w:r>
      <w:r w:rsidR="00674771">
        <w:t>Briefly, s</w:t>
      </w:r>
      <w:r w:rsidRPr="00A6780D">
        <w:t>amples were</w:t>
      </w:r>
      <w:r>
        <w:t xml:space="preserve"> divided into 10 </w:t>
      </w:r>
      <w:r w:rsidRPr="00A6780D">
        <w:t xml:space="preserve">partitions that were </w:t>
      </w:r>
      <w:r>
        <w:t>approximately balanced for the phenotype of interest</w:t>
      </w:r>
      <w:r w:rsidRPr="00A6780D">
        <w:rPr>
          <w:rStyle w:val="SubtleEmphasis"/>
          <w:i w:val="0"/>
          <w:color w:val="auto"/>
        </w:rPr>
        <w:t xml:space="preserve">. Data from all but one partition was used to identify differentially expressed genes with p-value &lt;0.05 and train an elastic net classifier. This classifier was then </w:t>
      </w:r>
      <w:r w:rsidR="00674771">
        <w:rPr>
          <w:rStyle w:val="SubtleEmphasis"/>
          <w:i w:val="0"/>
          <w:color w:val="auto"/>
        </w:rPr>
        <w:t>tested</w:t>
      </w:r>
      <w:r w:rsidRPr="00A6780D">
        <w:rPr>
          <w:rStyle w:val="SubtleEmphasis"/>
          <w:i w:val="0"/>
          <w:color w:val="auto"/>
        </w:rPr>
        <w:t xml:space="preserve"> </w:t>
      </w:r>
      <w:r w:rsidR="00674771">
        <w:rPr>
          <w:rStyle w:val="SubtleEmphasis"/>
          <w:i w:val="0"/>
          <w:color w:val="auto"/>
        </w:rPr>
        <w:t>using the samples in the</w:t>
      </w:r>
      <w:r w:rsidRPr="00A6780D">
        <w:rPr>
          <w:rStyle w:val="SubtleEmphasis"/>
          <w:i w:val="0"/>
          <w:color w:val="auto"/>
        </w:rPr>
        <w:t xml:space="preserve"> left-out partition</w:t>
      </w:r>
      <w:r w:rsidR="00674771">
        <w:rPr>
          <w:rStyle w:val="SubtleEmphasis"/>
          <w:i w:val="0"/>
          <w:color w:val="auto"/>
        </w:rPr>
        <w:t xml:space="preserve"> to obtain </w:t>
      </w:r>
      <w:r w:rsidRPr="00A6780D">
        <w:rPr>
          <w:rStyle w:val="SubtleEmphasis"/>
          <w:i w:val="0"/>
          <w:color w:val="auto"/>
        </w:rPr>
        <w:t xml:space="preserve">out-of-sample </w:t>
      </w:r>
      <w:r w:rsidR="00674771">
        <w:rPr>
          <w:rStyle w:val="SubtleEmphasis"/>
          <w:i w:val="0"/>
          <w:color w:val="auto"/>
        </w:rPr>
        <w:t>probabilities and AUC</w:t>
      </w:r>
      <w:r w:rsidRPr="00A6780D">
        <w:rPr>
          <w:rStyle w:val="SubtleEmphasis"/>
          <w:i w:val="0"/>
          <w:color w:val="auto"/>
        </w:rPr>
        <w:t xml:space="preserve">. This </w:t>
      </w:r>
      <w:r>
        <w:rPr>
          <w:rStyle w:val="SubtleEmphasis"/>
          <w:i w:val="0"/>
          <w:color w:val="auto"/>
        </w:rPr>
        <w:t xml:space="preserve">process </w:t>
      </w:r>
      <w:r w:rsidRPr="00A6780D">
        <w:rPr>
          <w:rStyle w:val="SubtleEmphasis"/>
          <w:i w:val="0"/>
          <w:color w:val="auto"/>
        </w:rPr>
        <w:t xml:space="preserve">was repeated </w:t>
      </w:r>
      <w:r w:rsidR="00674771">
        <w:rPr>
          <w:rStyle w:val="SubtleEmphasis"/>
          <w:i w:val="0"/>
          <w:color w:val="auto"/>
        </w:rPr>
        <w:t>for e</w:t>
      </w:r>
      <w:r w:rsidRPr="00A6780D">
        <w:rPr>
          <w:rStyle w:val="SubtleEmphasis"/>
          <w:i w:val="0"/>
          <w:color w:val="auto"/>
        </w:rPr>
        <w:t xml:space="preserve">ach of the </w:t>
      </w:r>
      <w:r w:rsidRPr="009A06CF">
        <w:rPr>
          <w:rStyle w:val="SubtleEmphasis"/>
          <w:i w:val="0"/>
          <w:color w:val="auto"/>
        </w:rPr>
        <w:t xml:space="preserve">10 </w:t>
      </w:r>
      <w:r>
        <w:rPr>
          <w:rStyle w:val="SubtleEmphasis"/>
          <w:i w:val="0"/>
          <w:color w:val="auto"/>
        </w:rPr>
        <w:t>p</w:t>
      </w:r>
      <w:r w:rsidR="00674771">
        <w:rPr>
          <w:rStyle w:val="SubtleEmphasis"/>
          <w:i w:val="0"/>
          <w:color w:val="auto"/>
        </w:rPr>
        <w:t>artitions</w:t>
      </w:r>
      <w:r w:rsidRPr="00A6780D">
        <w:rPr>
          <w:rStyle w:val="SubtleEmphasis"/>
          <w:i w:val="0"/>
          <w:color w:val="auto"/>
        </w:rPr>
        <w:t xml:space="preserve">, </w:t>
      </w:r>
      <w:r w:rsidRPr="00A6780D">
        <w:rPr>
          <w:rStyle w:val="SubtleEmphasis"/>
          <w:i w:val="0"/>
          <w:color w:val="auto"/>
        </w:rPr>
        <w:lastRenderedPageBreak/>
        <w:t>and AUC</w:t>
      </w:r>
      <w:r w:rsidR="00674771">
        <w:rPr>
          <w:rStyle w:val="SubtleEmphasis"/>
          <w:i w:val="0"/>
          <w:color w:val="auto"/>
        </w:rPr>
        <w:t>s</w:t>
      </w:r>
      <w:r w:rsidRPr="00A6780D">
        <w:rPr>
          <w:rStyle w:val="SubtleEmphasis"/>
          <w:i w:val="0"/>
          <w:color w:val="auto"/>
        </w:rPr>
        <w:t xml:space="preserve"> across the </w:t>
      </w:r>
      <w:r w:rsidRPr="009A06CF">
        <w:rPr>
          <w:rStyle w:val="SubtleEmphasis"/>
          <w:i w:val="0"/>
          <w:color w:val="auto"/>
        </w:rPr>
        <w:t>10 p</w:t>
      </w:r>
      <w:r w:rsidRPr="00A6780D">
        <w:rPr>
          <w:rStyle w:val="SubtleEmphasis"/>
          <w:i w:val="0"/>
          <w:color w:val="auto"/>
        </w:rPr>
        <w:t xml:space="preserve">artitions </w:t>
      </w:r>
      <w:r w:rsidR="00674771">
        <w:rPr>
          <w:rStyle w:val="SubtleEmphasis"/>
          <w:i w:val="0"/>
          <w:color w:val="auto"/>
        </w:rPr>
        <w:t>were</w:t>
      </w:r>
      <w:r w:rsidRPr="00A6780D">
        <w:rPr>
          <w:rStyle w:val="SubtleEmphasis"/>
          <w:i w:val="0"/>
          <w:color w:val="auto"/>
        </w:rPr>
        <w:t xml:space="preserve"> averaged. </w:t>
      </w:r>
      <w:r w:rsidR="00674771">
        <w:rPr>
          <w:rStyle w:val="SubtleEmphasis"/>
          <w:i w:val="0"/>
          <w:color w:val="auto"/>
        </w:rPr>
        <w:t xml:space="preserve">Cross-validation was repeated a total of </w:t>
      </w:r>
      <w:r w:rsidR="00CB7AA7">
        <w:rPr>
          <w:rStyle w:val="SubtleEmphasis"/>
          <w:i w:val="0"/>
          <w:color w:val="auto"/>
        </w:rPr>
        <w:t>100 times, and average AUC across all runs was</w:t>
      </w:r>
      <w:r w:rsidR="00674771">
        <w:rPr>
          <w:rStyle w:val="SubtleEmphasis"/>
          <w:i w:val="0"/>
          <w:color w:val="auto"/>
        </w:rPr>
        <w:t xml:space="preserve"> reported</w:t>
      </w:r>
      <w:r w:rsidR="00CB7AA7">
        <w:rPr>
          <w:rStyle w:val="SubtleEmphasis"/>
          <w:i w:val="0"/>
          <w:color w:val="auto"/>
        </w:rPr>
        <w:t xml:space="preserve"> for each </w:t>
      </w:r>
      <w:r w:rsidR="009542DF">
        <w:rPr>
          <w:rStyle w:val="SubtleEmphasis"/>
          <w:i w:val="0"/>
          <w:color w:val="auto"/>
        </w:rPr>
        <w:t>biomarker panel</w:t>
      </w:r>
      <w:r w:rsidR="00674771">
        <w:rPr>
          <w:rStyle w:val="SubtleEmphasis"/>
          <w:i w:val="0"/>
          <w:color w:val="auto"/>
        </w:rPr>
        <w:t>.</w:t>
      </w:r>
    </w:p>
    <w:p w14:paraId="2DDBD325" w14:textId="77777777" w:rsidR="00C53D25" w:rsidRPr="00A6780D" w:rsidRDefault="00C53D25" w:rsidP="00C53D25">
      <w:pPr>
        <w:pStyle w:val="Heading3"/>
        <w:rPr>
          <w:rStyle w:val="SubtleEmphasis"/>
          <w:i w:val="0"/>
          <w:color w:val="auto"/>
        </w:rPr>
      </w:pPr>
      <w:r>
        <w:rPr>
          <w:rStyle w:val="SubtleEmphasis"/>
          <w:i w:val="0"/>
          <w:color w:val="auto"/>
        </w:rPr>
        <w:t xml:space="preserve">Biomarker </w:t>
      </w:r>
      <w:r w:rsidR="002B37E9">
        <w:rPr>
          <w:rStyle w:val="SubtleEmphasis"/>
          <w:i w:val="0"/>
          <w:color w:val="auto"/>
        </w:rPr>
        <w:t xml:space="preserve">Panel </w:t>
      </w:r>
      <w:r>
        <w:rPr>
          <w:rStyle w:val="SubtleEmphasis"/>
          <w:i w:val="0"/>
          <w:color w:val="auto"/>
        </w:rPr>
        <w:t>Selection</w:t>
      </w:r>
    </w:p>
    <w:p w14:paraId="653FFC52" w14:textId="77777777" w:rsidR="00FA6446" w:rsidRDefault="008D7594" w:rsidP="000A3EF6">
      <w:pPr>
        <w:rPr>
          <w:rStyle w:val="SubtleEmphasis"/>
          <w:i w:val="0"/>
          <w:color w:val="auto"/>
        </w:rPr>
      </w:pPr>
      <w:r>
        <w:rPr>
          <w:rStyle w:val="SubtleEmphasis"/>
          <w:i w:val="0"/>
          <w:color w:val="auto"/>
        </w:rPr>
        <w:t xml:space="preserve">Biomarker panels with more than 50 genes were eliminated from consideration, in the interest of potential future implementation in a clinical setting. </w:t>
      </w:r>
      <w:r w:rsidR="00FA6446">
        <w:rPr>
          <w:rStyle w:val="SubtleEmphasis"/>
          <w:i w:val="0"/>
          <w:color w:val="auto"/>
        </w:rPr>
        <w:t xml:space="preserve">We </w:t>
      </w:r>
      <w:r>
        <w:rPr>
          <w:rStyle w:val="SubtleEmphasis"/>
          <w:i w:val="0"/>
          <w:color w:val="auto"/>
        </w:rPr>
        <w:t xml:space="preserve">then </w:t>
      </w:r>
      <w:r w:rsidR="00FA6446">
        <w:rPr>
          <w:rStyle w:val="SubtleEmphasis"/>
          <w:i w:val="0"/>
          <w:color w:val="auto"/>
        </w:rPr>
        <w:t>selected the best biomarker panels</w:t>
      </w:r>
      <w:r>
        <w:rPr>
          <w:rStyle w:val="SubtleEmphasis"/>
          <w:i w:val="0"/>
          <w:color w:val="auto"/>
        </w:rPr>
        <w:t xml:space="preserve"> using</w:t>
      </w:r>
      <w:r w:rsidR="009542DF">
        <w:rPr>
          <w:rStyle w:val="SubtleEmphasis"/>
          <w:i w:val="0"/>
          <w:color w:val="auto"/>
        </w:rPr>
        <w:t xml:space="preserve"> a two-step process. First, we identified the biomarker panels</w:t>
      </w:r>
      <w:r w:rsidR="00FA6446">
        <w:rPr>
          <w:rStyle w:val="SubtleEmphasis"/>
          <w:i w:val="0"/>
          <w:color w:val="auto"/>
        </w:rPr>
        <w:t xml:space="preserve"> </w:t>
      </w:r>
      <w:r w:rsidR="009542DF">
        <w:rPr>
          <w:rStyle w:val="SubtleEmphasis"/>
          <w:i w:val="0"/>
          <w:color w:val="auto"/>
        </w:rPr>
        <w:t>with cross-validation AUC &gt;0.65</w:t>
      </w:r>
      <w:r w:rsidR="00107848">
        <w:rPr>
          <w:rStyle w:val="SubtleEmphasis"/>
          <w:i w:val="0"/>
          <w:color w:val="auto"/>
        </w:rPr>
        <w:t xml:space="preserve"> for discriminating between IE and NE. We tested t</w:t>
      </w:r>
      <w:r w:rsidR="009542DF">
        <w:rPr>
          <w:rStyle w:val="SubtleEmphasis"/>
          <w:i w:val="0"/>
          <w:color w:val="auto"/>
        </w:rPr>
        <w:t xml:space="preserve">hese biomarker panels </w:t>
      </w:r>
      <w:r w:rsidR="00107848">
        <w:rPr>
          <w:rStyle w:val="SubtleEmphasis"/>
          <w:i w:val="0"/>
          <w:color w:val="auto"/>
        </w:rPr>
        <w:t>in</w:t>
      </w:r>
      <w:r w:rsidR="009542DF">
        <w:rPr>
          <w:rStyle w:val="SubtleEmphasis"/>
          <w:i w:val="0"/>
          <w:color w:val="auto"/>
        </w:rPr>
        <w:t xml:space="preserve"> the </w:t>
      </w:r>
      <w:r w:rsidR="00AC7E30">
        <w:rPr>
          <w:rStyle w:val="SubtleEmphasis"/>
          <w:i w:val="0"/>
          <w:color w:val="auto"/>
        </w:rPr>
        <w:t xml:space="preserve">first </w:t>
      </w:r>
      <w:r w:rsidR="009542DF">
        <w:rPr>
          <w:rStyle w:val="SubtleEmphasis"/>
          <w:i w:val="0"/>
          <w:color w:val="auto"/>
        </w:rPr>
        <w:t>Ra</w:t>
      </w:r>
      <w:r w:rsidR="00107848">
        <w:rPr>
          <w:rStyle w:val="SubtleEmphasis"/>
          <w:i w:val="0"/>
          <w:color w:val="auto"/>
        </w:rPr>
        <w:t xml:space="preserve">pid Transition </w:t>
      </w:r>
      <w:r w:rsidR="00AC7E30">
        <w:rPr>
          <w:rStyle w:val="SubtleEmphasis"/>
          <w:i w:val="0"/>
          <w:color w:val="auto"/>
        </w:rPr>
        <w:t>sub</w:t>
      </w:r>
      <w:r w:rsidR="00107848">
        <w:rPr>
          <w:rStyle w:val="SubtleEmphasis"/>
          <w:i w:val="0"/>
          <w:color w:val="auto"/>
        </w:rPr>
        <w:t>cohort, which consist</w:t>
      </w:r>
      <w:r w:rsidR="00AC7E30">
        <w:rPr>
          <w:rStyle w:val="SubtleEmphasis"/>
          <w:i w:val="0"/>
          <w:color w:val="auto"/>
        </w:rPr>
        <w:t>ed</w:t>
      </w:r>
      <w:r w:rsidR="00107848">
        <w:rPr>
          <w:rStyle w:val="SubtleEmphasis"/>
          <w:i w:val="0"/>
          <w:color w:val="auto"/>
        </w:rPr>
        <w:t xml:space="preserve"> of </w:t>
      </w:r>
      <w:r w:rsidR="00427216">
        <w:rPr>
          <w:rStyle w:val="SubtleEmphasis"/>
          <w:i w:val="0"/>
          <w:color w:val="auto"/>
        </w:rPr>
        <w:t>62</w:t>
      </w:r>
      <w:r w:rsidR="00AC7E30">
        <w:rPr>
          <w:rStyle w:val="SubtleEmphasis"/>
          <w:i w:val="0"/>
          <w:color w:val="auto"/>
        </w:rPr>
        <w:t xml:space="preserve"> </w:t>
      </w:r>
      <w:r w:rsidR="00107848">
        <w:rPr>
          <w:rStyle w:val="SubtleEmphasis"/>
          <w:i w:val="0"/>
          <w:color w:val="auto"/>
        </w:rPr>
        <w:t xml:space="preserve">AECOPD, </w:t>
      </w:r>
      <w:r w:rsidR="00427216">
        <w:rPr>
          <w:rStyle w:val="SubtleEmphasis"/>
          <w:i w:val="0"/>
          <w:color w:val="auto"/>
        </w:rPr>
        <w:t>15</w:t>
      </w:r>
      <w:r w:rsidR="00AC7E30">
        <w:rPr>
          <w:rStyle w:val="SubtleEmphasis"/>
          <w:i w:val="0"/>
          <w:color w:val="auto"/>
        </w:rPr>
        <w:t xml:space="preserve"> day 30 </w:t>
      </w:r>
      <w:r w:rsidR="00107848">
        <w:rPr>
          <w:rStyle w:val="SubtleEmphasis"/>
          <w:i w:val="0"/>
          <w:color w:val="auto"/>
        </w:rPr>
        <w:t xml:space="preserve">convalescent, </w:t>
      </w:r>
      <w:r w:rsidR="00427216">
        <w:rPr>
          <w:rStyle w:val="SubtleEmphasis"/>
          <w:i w:val="0"/>
          <w:color w:val="auto"/>
        </w:rPr>
        <w:t>54</w:t>
      </w:r>
      <w:r w:rsidR="00AC7E30">
        <w:rPr>
          <w:rStyle w:val="SubtleEmphasis"/>
          <w:i w:val="0"/>
          <w:color w:val="auto"/>
        </w:rPr>
        <w:t xml:space="preserve"> day 90 convalescent </w:t>
      </w:r>
      <w:r w:rsidR="00107848">
        <w:rPr>
          <w:rStyle w:val="SubtleEmphasis"/>
          <w:i w:val="0"/>
          <w:color w:val="auto"/>
        </w:rPr>
        <w:t xml:space="preserve">and </w:t>
      </w:r>
      <w:r w:rsidR="00427216">
        <w:rPr>
          <w:rStyle w:val="SubtleEmphasis"/>
          <w:i w:val="0"/>
          <w:color w:val="auto"/>
        </w:rPr>
        <w:t>34</w:t>
      </w:r>
      <w:r w:rsidR="00AC7E30">
        <w:rPr>
          <w:rStyle w:val="SubtleEmphasis"/>
          <w:i w:val="0"/>
          <w:color w:val="auto"/>
        </w:rPr>
        <w:t xml:space="preserve"> </w:t>
      </w:r>
      <w:r w:rsidR="00107848">
        <w:rPr>
          <w:rStyle w:val="SubtleEmphasis"/>
          <w:i w:val="0"/>
          <w:color w:val="auto"/>
        </w:rPr>
        <w:t xml:space="preserve">stable COPD subjects. </w:t>
      </w:r>
      <w:r w:rsidR="00D76A7F">
        <w:rPr>
          <w:rStyle w:val="SubtleEmphasis"/>
          <w:i w:val="0"/>
          <w:color w:val="auto"/>
        </w:rPr>
        <w:t>We then</w:t>
      </w:r>
      <w:r w:rsidR="00107848">
        <w:rPr>
          <w:rStyle w:val="SubtleEmphasis"/>
          <w:i w:val="0"/>
          <w:color w:val="auto"/>
        </w:rPr>
        <w:t xml:space="preserve"> identified biomarker panels with the </w:t>
      </w:r>
      <w:r w:rsidR="00B61002">
        <w:rPr>
          <w:rStyle w:val="SubtleEmphasis"/>
          <w:i w:val="0"/>
          <w:color w:val="auto"/>
        </w:rPr>
        <w:t xml:space="preserve">best AUCs and </w:t>
      </w:r>
      <w:r w:rsidR="00107848">
        <w:rPr>
          <w:rStyle w:val="SubtleEmphasis"/>
          <w:i w:val="0"/>
          <w:color w:val="auto"/>
        </w:rPr>
        <w:t>most promising</w:t>
      </w:r>
      <w:r w:rsidR="00B61002">
        <w:rPr>
          <w:rStyle w:val="SubtleEmphasis"/>
          <w:i w:val="0"/>
          <w:color w:val="auto"/>
        </w:rPr>
        <w:t xml:space="preserve"> visual</w:t>
      </w:r>
      <w:r w:rsidR="00107848">
        <w:rPr>
          <w:rStyle w:val="SubtleEmphasis"/>
          <w:i w:val="0"/>
          <w:color w:val="auto"/>
        </w:rPr>
        <w:t xml:space="preserve"> patterns</w:t>
      </w:r>
      <w:r w:rsidR="002B37E9">
        <w:rPr>
          <w:rStyle w:val="SubtleEmphasis"/>
          <w:i w:val="0"/>
          <w:color w:val="auto"/>
        </w:rPr>
        <w:t>. That is, we looked for patterns</w:t>
      </w:r>
      <w:r w:rsidR="00107848">
        <w:rPr>
          <w:rStyle w:val="SubtleEmphasis"/>
          <w:i w:val="0"/>
          <w:color w:val="auto"/>
        </w:rPr>
        <w:t xml:space="preserve"> consistent with our hypothesis that a true marker of COPD disease activity should rise with upcoming AECOPD, peak during AECOPD onset, then fall during convalescence and remain low during periods of stability.</w:t>
      </w:r>
    </w:p>
    <w:p w14:paraId="62BFB35F" w14:textId="77777777" w:rsidR="00C53D25" w:rsidRDefault="00C53D25" w:rsidP="000A3EF6">
      <w:pPr>
        <w:pStyle w:val="Heading3"/>
        <w:rPr>
          <w:rStyle w:val="SubtleEmphasis"/>
          <w:i w:val="0"/>
          <w:color w:val="auto"/>
        </w:rPr>
      </w:pPr>
      <w:r>
        <w:rPr>
          <w:rStyle w:val="SubtleEmphasis"/>
          <w:i w:val="0"/>
          <w:color w:val="auto"/>
        </w:rPr>
        <w:t xml:space="preserve">Biomarker </w:t>
      </w:r>
      <w:r w:rsidR="002B37E9">
        <w:rPr>
          <w:rStyle w:val="SubtleEmphasis"/>
          <w:i w:val="0"/>
          <w:color w:val="auto"/>
        </w:rPr>
        <w:t xml:space="preserve">Panel </w:t>
      </w:r>
      <w:r>
        <w:rPr>
          <w:rStyle w:val="SubtleEmphasis"/>
          <w:i w:val="0"/>
          <w:color w:val="auto"/>
        </w:rPr>
        <w:t>Replication</w:t>
      </w:r>
    </w:p>
    <w:p w14:paraId="6F513EB1" w14:textId="77777777" w:rsidR="00FB2D57" w:rsidRPr="00FB2D57" w:rsidRDefault="00AC7E30" w:rsidP="000A3EF6">
      <w:r>
        <w:t xml:space="preserve">The top biomarker panels were replicated in the second Rapid Transition subcohort, which </w:t>
      </w:r>
      <w:r>
        <w:rPr>
          <w:rStyle w:val="SubtleEmphasis"/>
          <w:i w:val="0"/>
          <w:color w:val="auto"/>
        </w:rPr>
        <w:t xml:space="preserve">consisted of </w:t>
      </w:r>
      <w:r w:rsidR="00573105">
        <w:rPr>
          <w:rStyle w:val="SubtleEmphasis"/>
          <w:i w:val="0"/>
          <w:color w:val="auto"/>
        </w:rPr>
        <w:t>177</w:t>
      </w:r>
      <w:r>
        <w:rPr>
          <w:rStyle w:val="SubtleEmphasis"/>
          <w:i w:val="0"/>
          <w:color w:val="auto"/>
        </w:rPr>
        <w:t xml:space="preserve"> AECOPD, </w:t>
      </w:r>
      <w:r w:rsidR="00573105">
        <w:rPr>
          <w:rStyle w:val="SubtleEmphasis"/>
          <w:i w:val="0"/>
          <w:color w:val="auto"/>
        </w:rPr>
        <w:t>20</w:t>
      </w:r>
      <w:r>
        <w:rPr>
          <w:rStyle w:val="SubtleEmphasis"/>
          <w:i w:val="0"/>
          <w:color w:val="auto"/>
        </w:rPr>
        <w:t xml:space="preserve"> day 30 convalescent, </w:t>
      </w:r>
      <w:r w:rsidR="00573105">
        <w:rPr>
          <w:rStyle w:val="SubtleEmphasis"/>
          <w:i w:val="0"/>
          <w:color w:val="auto"/>
        </w:rPr>
        <w:t>82</w:t>
      </w:r>
      <w:r>
        <w:rPr>
          <w:rStyle w:val="SubtleEmphasis"/>
          <w:i w:val="0"/>
          <w:color w:val="auto"/>
        </w:rPr>
        <w:t xml:space="preserve"> day 90 convalescent and </w:t>
      </w:r>
      <w:r w:rsidR="00573105">
        <w:rPr>
          <w:rStyle w:val="SubtleEmphasis"/>
          <w:i w:val="0"/>
          <w:color w:val="auto"/>
        </w:rPr>
        <w:t>57</w:t>
      </w:r>
      <w:r>
        <w:rPr>
          <w:rStyle w:val="SubtleEmphasis"/>
          <w:i w:val="0"/>
          <w:color w:val="auto"/>
        </w:rPr>
        <w:t xml:space="preserve"> stable COPD subjects. There was no overlap between these subjects and the subjects previously used to select the best biomarker panels. We </w:t>
      </w:r>
      <w:r w:rsidR="00B61002">
        <w:rPr>
          <w:rStyle w:val="SubtleEmphasis"/>
          <w:i w:val="0"/>
          <w:color w:val="auto"/>
        </w:rPr>
        <w:t>evaluated the success of the replication using AUCs and visual assessment.</w:t>
      </w:r>
    </w:p>
    <w:p w14:paraId="1ADEFDD2" w14:textId="77777777" w:rsidR="00730D1F" w:rsidRDefault="005140F6" w:rsidP="009F7CDB">
      <w:pPr>
        <w:pStyle w:val="Heading1"/>
      </w:pPr>
      <w:commentRangeStart w:id="8"/>
      <w:r>
        <w:t>Results</w:t>
      </w:r>
      <w:commentRangeEnd w:id="8"/>
      <w:r w:rsidR="00081CF2">
        <w:rPr>
          <w:rStyle w:val="CommentReference"/>
          <w:rFonts w:ascii="Calibri" w:eastAsia="Calibri" w:hAnsi="Calibri" w:cs="Times New Roman"/>
          <w:b w:val="0"/>
          <w:bCs w:val="0"/>
          <w:caps w:val="0"/>
          <w:color w:val="auto"/>
          <w:spacing w:val="0"/>
        </w:rPr>
        <w:commentReference w:id="8"/>
      </w:r>
    </w:p>
    <w:p w14:paraId="77BC1BF4" w14:textId="77777777" w:rsidR="004C2F83" w:rsidRDefault="001D01CD" w:rsidP="009F7CDB">
      <w:r>
        <w:t>T</w:t>
      </w:r>
      <w:r w:rsidR="00500E9A">
        <w:t>his study used 226</w:t>
      </w:r>
      <w:r>
        <w:t xml:space="preserve"> stable COPD subjec</w:t>
      </w:r>
      <w:r w:rsidR="002B37E9">
        <w:t>ts from the ECLIPSE cohort</w:t>
      </w:r>
      <w:r>
        <w:t xml:space="preserve"> to derive gene co-express</w:t>
      </w:r>
      <w:r w:rsidR="00E96C10">
        <w:t>ion modules</w:t>
      </w:r>
      <w:r>
        <w:t xml:space="preserve">, </w:t>
      </w:r>
      <w:r w:rsidR="00500E9A">
        <w:t>20</w:t>
      </w:r>
      <w:r>
        <w:t xml:space="preserve"> IE versus </w:t>
      </w:r>
      <w:r w:rsidR="00FD6698">
        <w:t>122</w:t>
      </w:r>
      <w:r>
        <w:t xml:space="preserve"> NE </w:t>
      </w:r>
      <w:r w:rsidR="00B45A63">
        <w:t xml:space="preserve">subjects </w:t>
      </w:r>
      <w:r>
        <w:t>from the ECLIPSE coho</w:t>
      </w:r>
      <w:r w:rsidR="00500E9A">
        <w:t>rt (non-overlapping with the 226</w:t>
      </w:r>
      <w:r>
        <w:t xml:space="preserve">) to identify prognostic </w:t>
      </w:r>
      <w:r w:rsidR="00500E9A">
        <w:t>biomarkers</w:t>
      </w:r>
      <w:r>
        <w:t xml:space="preserve"> of AECOPD</w:t>
      </w:r>
      <w:r w:rsidR="00500E9A">
        <w:t xml:space="preserve">, </w:t>
      </w:r>
      <w:r w:rsidR="00EE6481">
        <w:t xml:space="preserve">112 </w:t>
      </w:r>
      <w:r w:rsidR="00C15F80">
        <w:t xml:space="preserve">subjects </w:t>
      </w:r>
      <w:r w:rsidR="00500E9A">
        <w:t>from the Rapid Transition cohort to select the most promising biomarker panels, and</w:t>
      </w:r>
      <w:r w:rsidR="00C15F80">
        <w:t xml:space="preserve"> </w:t>
      </w:r>
      <w:r w:rsidR="007570DC">
        <w:t xml:space="preserve">293 </w:t>
      </w:r>
      <w:r w:rsidR="00C15F80">
        <w:t xml:space="preserve">(non-overlapping with the </w:t>
      </w:r>
      <w:r w:rsidR="00372D11">
        <w:t>112</w:t>
      </w:r>
      <w:r w:rsidR="00C15F80">
        <w:t>) additional subjects from the Rapid Transition cohort to replicate the top biomarker panels</w:t>
      </w:r>
      <w:r>
        <w:t>. The demographics of these study populations are shown in Table 1.</w:t>
      </w:r>
      <w:r w:rsidR="001C6AC8">
        <w:t xml:space="preserve"> </w:t>
      </w:r>
      <w:r w:rsidR="004C2F83">
        <w:t xml:space="preserve">Note that in the Rapid </w:t>
      </w:r>
      <w:r w:rsidR="004C2F83">
        <w:lastRenderedPageBreak/>
        <w:t xml:space="preserve">Transition cohort, </w:t>
      </w:r>
      <w:commentRangeStart w:id="9"/>
      <w:r w:rsidR="004C2F83">
        <w:t>16 of 112 subjects and 59 of 293 subjects did not have a baseline AECOPD or stable COPD sample</w:t>
      </w:r>
      <w:commentRangeEnd w:id="9"/>
      <w:r w:rsidR="004C2F83">
        <w:rPr>
          <w:rStyle w:val="CommentReference"/>
          <w:rFonts w:ascii="Calibri" w:eastAsia="Calibri" w:hAnsi="Calibri" w:cs="Times New Roman"/>
        </w:rPr>
        <w:commentReference w:id="9"/>
      </w:r>
      <w:r w:rsidR="004C2F83">
        <w:t xml:space="preserve">; </w:t>
      </w:r>
      <w:r w:rsidR="003C639E">
        <w:t>we did not use these</w:t>
      </w:r>
      <w:r w:rsidR="004C2F83">
        <w:t xml:space="preserve"> to calculate performance metrics, </w:t>
      </w:r>
      <w:r w:rsidR="003C639E">
        <w:t>and they are not</w:t>
      </w:r>
      <w:r w:rsidR="000072E4">
        <w:t xml:space="preserve"> included in</w:t>
      </w:r>
      <w:r w:rsidR="004C2F83">
        <w:t xml:space="preserve"> Table 1.</w:t>
      </w:r>
    </w:p>
    <w:p w14:paraId="06896877" w14:textId="77777777" w:rsidR="001D01CD" w:rsidRDefault="001C6AC8" w:rsidP="009F7CDB">
      <w:commentRangeStart w:id="10"/>
      <w:r w:rsidRPr="00F86C59">
        <w:t>There was a significant difference</w:t>
      </w:r>
      <w:r w:rsidR="00EE6481">
        <w:t xml:space="preserve"> (p&lt;0.05) in FEV1, FEV1 %predicted, and lymphocytes when comparing IE and NE, with IE having worse lung function and lower lymphocytes as a percentage of total white blood cells. Within the subjects used to select biomarker panels, there were significant differences between AECOPD and stable COPD in bronchodilator use, inhaled corticosteroid use, white blood cells (overall and composition)</w:t>
      </w:r>
      <w:r w:rsidR="009F3CFA">
        <w:t>, and NT-proBNP</w:t>
      </w:r>
      <w:r w:rsidR="00EE6481">
        <w:t>. The AECOPD group saw lower inhaled corticosteroid use</w:t>
      </w:r>
      <w:r w:rsidR="008450B9">
        <w:t xml:space="preserve">, higher white blood cells </w:t>
      </w:r>
      <w:r w:rsidR="00EE6481">
        <w:t>and neutrophils</w:t>
      </w:r>
      <w:r w:rsidR="005D142D">
        <w:t>, and elevated NT-proBNP</w:t>
      </w:r>
      <w:r w:rsidR="00EE6481">
        <w:t>.</w:t>
      </w:r>
      <w:r w:rsidR="009B527B">
        <w:t xml:space="preserve"> The</w:t>
      </w:r>
      <w:r w:rsidR="000072E4">
        <w:t xml:space="preserve"> replication subjects also showed significant differences between AECOPD and stable COPD in bronchodilator use, inhaled corticosteroid use, white blood cells (overall and composition), </w:t>
      </w:r>
      <w:r w:rsidR="00CE1266">
        <w:t>and NT-proBNP, but also in ethnicity and</w:t>
      </w:r>
      <w:r w:rsidR="000072E4">
        <w:t xml:space="preserve"> smoking status.</w:t>
      </w:r>
      <w:r w:rsidR="008450B9">
        <w:t xml:space="preserve"> Again, the AECOPD subjects seemed to have l</w:t>
      </w:r>
      <w:r w:rsidR="00CE1266">
        <w:t xml:space="preserve">ower inhaled corticosteroid use, </w:t>
      </w:r>
      <w:r w:rsidR="008450B9">
        <w:t xml:space="preserve">higher white blood cells, </w:t>
      </w:r>
      <w:r w:rsidR="00CE1266">
        <w:t xml:space="preserve">and elevated NT-proBNP, </w:t>
      </w:r>
      <w:r w:rsidR="003C639E">
        <w:t>and also had a</w:t>
      </w:r>
      <w:r w:rsidR="00CE1266">
        <w:t xml:space="preserve"> higher proportion of current smokers.</w:t>
      </w:r>
      <w:commentRangeEnd w:id="10"/>
      <w:r w:rsidR="00944A3B">
        <w:rPr>
          <w:rStyle w:val="CommentReference"/>
          <w:rFonts w:ascii="Calibri" w:eastAsia="Calibri" w:hAnsi="Calibri" w:cs="Times New Roman"/>
        </w:rPr>
        <w:commentReference w:id="10"/>
      </w:r>
    </w:p>
    <w:p w14:paraId="6079446B" w14:textId="1D73D6F7" w:rsidR="008D7594" w:rsidRDefault="003C639E" w:rsidP="008D7594">
      <w:r>
        <w:t xml:space="preserve">Normalizing the </w:t>
      </w:r>
      <w:r w:rsidR="004E3C9F">
        <w:t xml:space="preserve">Human Gene 1.1 ST microarray data </w:t>
      </w:r>
      <w:r>
        <w:t>and summarizing it</w:t>
      </w:r>
      <w:r w:rsidR="004E3C9F">
        <w:t xml:space="preserve"> a</w:t>
      </w:r>
      <w:r>
        <w:t xml:space="preserve">t the transcript cluster level </w:t>
      </w:r>
      <w:r w:rsidR="000E4294">
        <w:t>produced 33,397</w:t>
      </w:r>
      <w:r w:rsidR="004E3C9F">
        <w:t xml:space="preserve"> </w:t>
      </w:r>
      <w:r w:rsidR="000F627D">
        <w:t>probe sets</w:t>
      </w:r>
      <w:r w:rsidR="004E3C9F">
        <w:t xml:space="preserve">. </w:t>
      </w:r>
      <w:r w:rsidR="001B6B81">
        <w:t xml:space="preserve">After </w:t>
      </w:r>
      <w:r>
        <w:t>we removed</w:t>
      </w:r>
      <w:r w:rsidR="001B6B81">
        <w:t xml:space="preserve"> un-annotated </w:t>
      </w:r>
      <w:r w:rsidR="000F627D">
        <w:t xml:space="preserve">probe sets </w:t>
      </w:r>
      <w:r w:rsidR="001B6B81">
        <w:t>(</w:t>
      </w:r>
      <w:r w:rsidR="004C5324">
        <w:t>11,041</w:t>
      </w:r>
      <w:r w:rsidR="001B6B81">
        <w:t>)</w:t>
      </w:r>
      <w:r w:rsidR="004E3C9F">
        <w:t xml:space="preserve"> and</w:t>
      </w:r>
      <w:r w:rsidR="001B6B81">
        <w:t xml:space="preserve"> transcripts assigned to multiple genes (</w:t>
      </w:r>
      <w:r w:rsidR="004C5324">
        <w:t>2121</w:t>
      </w:r>
      <w:r w:rsidR="001B6B81">
        <w:t xml:space="preserve">), </w:t>
      </w:r>
      <w:r>
        <w:t>then summarized genes with multiple</w:t>
      </w:r>
      <w:r w:rsidR="001B6B81">
        <w:t xml:space="preserve"> </w:t>
      </w:r>
      <w:r>
        <w:t xml:space="preserve">probe set mappings </w:t>
      </w:r>
      <w:r w:rsidR="001B6B81">
        <w:t>(</w:t>
      </w:r>
      <w:r w:rsidR="003F6779">
        <w:t>676</w:t>
      </w:r>
      <w:r w:rsidR="001B6B81">
        <w:t xml:space="preserve">), the resulting </w:t>
      </w:r>
      <w:r w:rsidR="004E3C9F">
        <w:t>expression data</w:t>
      </w:r>
      <w:r w:rsidR="001B6B81">
        <w:t xml:space="preserve"> consisted of </w:t>
      </w:r>
      <w:r w:rsidR="000126ED">
        <w:t>19,245</w:t>
      </w:r>
      <w:r w:rsidR="001B6B81">
        <w:t xml:space="preserve"> unique genes</w:t>
      </w:r>
      <w:r w:rsidR="004E3C9F">
        <w:t>.</w:t>
      </w:r>
      <w:r w:rsidR="001B6B81">
        <w:t xml:space="preserve"> </w:t>
      </w:r>
      <w:r w:rsidR="00E96C10">
        <w:t xml:space="preserve">WGCNA </w:t>
      </w:r>
      <w:r w:rsidR="00DB533A">
        <w:t>identified</w:t>
      </w:r>
      <w:r w:rsidR="00E96C10">
        <w:t xml:space="preserve"> </w:t>
      </w:r>
      <w:r w:rsidR="00FB2395">
        <w:t>23 distinct</w:t>
      </w:r>
      <w:r w:rsidR="004E3C9F">
        <w:t xml:space="preserve"> modules of co-expressed genes in the </w:t>
      </w:r>
      <w:r w:rsidR="001A7DAE">
        <w:t>226</w:t>
      </w:r>
      <w:r w:rsidR="00C95CCE">
        <w:t xml:space="preserve"> </w:t>
      </w:r>
      <w:r w:rsidR="004E3C9F">
        <w:t>ECLIPSE</w:t>
      </w:r>
      <w:r w:rsidR="00C95CCE">
        <w:t xml:space="preserve"> </w:t>
      </w:r>
      <w:r w:rsidR="00FB2395">
        <w:t>subjects</w:t>
      </w:r>
      <w:r w:rsidR="004E3C9F">
        <w:t xml:space="preserve">. The sizes of these modules and </w:t>
      </w:r>
      <w:r w:rsidR="00463B71">
        <w:t xml:space="preserve">their </w:t>
      </w:r>
      <w:r w:rsidR="004E3C9F">
        <w:t xml:space="preserve">biological </w:t>
      </w:r>
      <w:r w:rsidR="00463B71">
        <w:t xml:space="preserve">annotation </w:t>
      </w:r>
      <w:r w:rsidR="004E3C9F">
        <w:t>are included in Table 2.</w:t>
      </w:r>
      <w:r w:rsidR="008D7594">
        <w:t xml:space="preserve"> </w:t>
      </w:r>
    </w:p>
    <w:p w14:paraId="274296A3" w14:textId="77777777" w:rsidR="008D7594" w:rsidRDefault="007135A4" w:rsidP="008D7594">
      <w:r>
        <w:t>For each of the</w:t>
      </w:r>
      <w:r w:rsidRPr="007135A4">
        <w:t xml:space="preserve"> </w:t>
      </w:r>
      <w:r>
        <w:t>gene module</w:t>
      </w:r>
      <w:r w:rsidR="008D7594">
        <w:t>s</w:t>
      </w:r>
      <w:r>
        <w:t xml:space="preserve"> identified, we </w:t>
      </w:r>
      <w:r w:rsidR="0058687B">
        <w:t>carried out</w:t>
      </w:r>
      <w:r>
        <w:t xml:space="preserve"> differential gene expression analysis in </w:t>
      </w:r>
      <w:r w:rsidR="00B701B9">
        <w:t>20 IE</w:t>
      </w:r>
      <w:r w:rsidR="00C95CCE">
        <w:t xml:space="preserve"> versus </w:t>
      </w:r>
      <w:r w:rsidR="00FD6698">
        <w:t>122</w:t>
      </w:r>
      <w:r w:rsidR="00B701B9">
        <w:t xml:space="preserve"> NE </w:t>
      </w:r>
      <w:r w:rsidR="00C95CCE">
        <w:t>fr</w:t>
      </w:r>
      <w:r>
        <w:t xml:space="preserve">om the </w:t>
      </w:r>
      <w:r w:rsidR="00B701B9">
        <w:t>ECLIPSE</w:t>
      </w:r>
      <w:r>
        <w:t xml:space="preserve"> cohort</w:t>
      </w:r>
      <w:r w:rsidR="00C95CCE">
        <w:t xml:space="preserve">, </w:t>
      </w:r>
      <w:r w:rsidR="009E776E">
        <w:t xml:space="preserve">and built classifier panels using </w:t>
      </w:r>
      <w:r w:rsidR="00C95CCE">
        <w:t>elastic net</w:t>
      </w:r>
      <w:r w:rsidR="00B701B9">
        <w:t xml:space="preserve"> regression</w:t>
      </w:r>
      <w:r w:rsidR="00C95CCE">
        <w:t xml:space="preserve">. </w:t>
      </w:r>
      <w:r w:rsidR="0058687B">
        <w:t>We obtained o</w:t>
      </w:r>
      <w:r w:rsidR="00C95CCE">
        <w:t xml:space="preserve">ut-of-sample estimates for the AUC </w:t>
      </w:r>
      <w:r w:rsidR="008364AA">
        <w:t xml:space="preserve">of </w:t>
      </w:r>
      <w:r w:rsidR="00C95CCE">
        <w:t xml:space="preserve">each </w:t>
      </w:r>
      <w:r w:rsidR="008364AA">
        <w:t xml:space="preserve">of the </w:t>
      </w:r>
      <w:r w:rsidR="00570B7D">
        <w:t xml:space="preserve">resulting </w:t>
      </w:r>
      <w:r w:rsidR="00C95CCE">
        <w:t>classifier</w:t>
      </w:r>
      <w:r w:rsidR="00AE7155">
        <w:t>s</w:t>
      </w:r>
      <w:r w:rsidR="00C95CCE">
        <w:t xml:space="preserve"> via 10-fold cross</w:t>
      </w:r>
      <w:r w:rsidR="0057308B">
        <w:t>-validation</w:t>
      </w:r>
      <w:r w:rsidR="008D7594">
        <w:t>, repeated 100 times</w:t>
      </w:r>
      <w:r w:rsidR="000E7F9F">
        <w:t xml:space="preserve">. </w:t>
      </w:r>
      <w:r w:rsidR="0057308B">
        <w:t>The results of the</w:t>
      </w:r>
      <w:r w:rsidR="00D36331">
        <w:t>se biomarker discovery analyses, including</w:t>
      </w:r>
      <w:r w:rsidR="0057308B">
        <w:t xml:space="preserve"> </w:t>
      </w:r>
      <w:r w:rsidR="00945F3A">
        <w:t>which module the genes came from,</w:t>
      </w:r>
      <w:r w:rsidR="0057308B">
        <w:t xml:space="preserve"> number of differentially expres</w:t>
      </w:r>
      <w:r w:rsidR="00945F3A">
        <w:t>sed genes, biomarker panel size, cross-validation AUC estimate, and 95% confidence interval</w:t>
      </w:r>
      <w:r w:rsidR="0057308B">
        <w:t xml:space="preserve"> (CI) for the AUC</w:t>
      </w:r>
      <w:r w:rsidR="00D36331">
        <w:t>, are shown in Table 3</w:t>
      </w:r>
      <w:r w:rsidR="0057308B">
        <w:t xml:space="preserve">. </w:t>
      </w:r>
      <w:r w:rsidR="00945F3A">
        <w:t xml:space="preserve">A total of six biomarker panels had cross-validation AUC &gt;0.65 while consisting of </w:t>
      </w:r>
      <w:r w:rsidR="0058687B">
        <w:t xml:space="preserve">fewer than </w:t>
      </w:r>
      <w:r w:rsidR="00945F3A">
        <w:t>50 genes.</w:t>
      </w:r>
    </w:p>
    <w:p w14:paraId="4099B5EB" w14:textId="77777777" w:rsidR="004F212D" w:rsidRDefault="008D7594" w:rsidP="008D7594">
      <w:r>
        <w:lastRenderedPageBreak/>
        <w:t>When the</w:t>
      </w:r>
      <w:r w:rsidR="00945F3A">
        <w:t>se six</w:t>
      </w:r>
      <w:r>
        <w:t xml:space="preserve"> biomarker </w:t>
      </w:r>
      <w:r w:rsidR="00945F3A">
        <w:t>panels</w:t>
      </w:r>
      <w:r>
        <w:t xml:space="preserve"> were applied off-the-shelf to the </w:t>
      </w:r>
      <w:r w:rsidR="00945F3A">
        <w:t xml:space="preserve">first </w:t>
      </w:r>
      <w:r>
        <w:t xml:space="preserve">Rapid Transition </w:t>
      </w:r>
      <w:r w:rsidR="004F212D">
        <w:t>subcohort</w:t>
      </w:r>
      <w:r>
        <w:t xml:space="preserve">, </w:t>
      </w:r>
      <w:r w:rsidR="00945F3A">
        <w:t xml:space="preserve">four of them showed a peak in predicted disease activity at the time of AECOPD followed by gradually decreasing levels at day 3, day 30, day 90, and in stable COPD subjects. Of these, three </w:t>
      </w:r>
      <w:r w:rsidR="00FF217C">
        <w:t>(</w:t>
      </w:r>
      <w:r w:rsidR="006F31EB">
        <w:t xml:space="preserve">derived from the salmon, green, and </w:t>
      </w:r>
      <w:r w:rsidR="00A305FF">
        <w:t>light-cyan</w:t>
      </w:r>
      <w:r w:rsidR="006F31EB">
        <w:t xml:space="preserve"> WGCNA modules</w:t>
      </w:r>
      <w:r w:rsidR="00FF217C">
        <w:t xml:space="preserve">) </w:t>
      </w:r>
      <w:r w:rsidR="00223560">
        <w:t>demonstrated AUC</w:t>
      </w:r>
      <w:r w:rsidR="00945F3A">
        <w:t xml:space="preserve"> &gt;0.75 for discriminating AECOPD from stable COPD.</w:t>
      </w:r>
      <w:r w:rsidR="00506997">
        <w:t xml:space="preserve"> The AUCs </w:t>
      </w:r>
      <w:r w:rsidR="00B614D0">
        <w:t xml:space="preserve">and patterns </w:t>
      </w:r>
      <w:r w:rsidR="00506997">
        <w:t xml:space="preserve">described here can be seen in </w:t>
      </w:r>
      <w:r w:rsidR="00B614D0">
        <w:t xml:space="preserve">Table 3 and </w:t>
      </w:r>
      <w:r w:rsidR="00506997">
        <w:t xml:space="preserve">Figure </w:t>
      </w:r>
      <w:r w:rsidR="0036477B">
        <w:t>4</w:t>
      </w:r>
      <w:r w:rsidR="00506997">
        <w:t>.</w:t>
      </w:r>
      <w:r w:rsidR="00945F3A">
        <w:t xml:space="preserve"> </w:t>
      </w:r>
      <w:r w:rsidR="00B305E7">
        <w:t xml:space="preserve">Finally, the </w:t>
      </w:r>
      <w:r w:rsidR="00B132F9">
        <w:t xml:space="preserve">performance of these </w:t>
      </w:r>
      <w:r w:rsidR="004F212D">
        <w:t xml:space="preserve">three selected biomarker panels </w:t>
      </w:r>
      <w:r w:rsidR="00B132F9">
        <w:t xml:space="preserve">was confirmed </w:t>
      </w:r>
      <w:r w:rsidR="004F212D">
        <w:t xml:space="preserve">in the second Rapid Transition subcohort in AECOPD, day 30, day 90, and stable COPD </w:t>
      </w:r>
      <w:r w:rsidR="007E4095">
        <w:t>samples</w:t>
      </w:r>
      <w:r w:rsidR="00AE7F4C">
        <w:t>, with AUCs ranging 0.74 – 0.84 between AECOPD and stable COPD</w:t>
      </w:r>
      <w:r w:rsidR="00FE4954">
        <w:t xml:space="preserve"> (</w:t>
      </w:r>
      <w:r w:rsidR="00E40891">
        <w:t xml:space="preserve">Table 3, </w:t>
      </w:r>
      <w:r w:rsidR="004F212D">
        <w:t xml:space="preserve">Figure </w:t>
      </w:r>
      <w:r w:rsidR="0036477B">
        <w:t>5</w:t>
      </w:r>
      <w:r w:rsidR="00FE4954">
        <w:t>)</w:t>
      </w:r>
      <w:r w:rsidR="004F212D">
        <w:t>.</w:t>
      </w:r>
    </w:p>
    <w:p w14:paraId="63E4D5E1" w14:textId="77777777" w:rsidR="00945F3A" w:rsidRDefault="00CE6DC2">
      <w:r>
        <w:t xml:space="preserve">Biological characterization of these 3 modules revealed </w:t>
      </w:r>
      <w:r w:rsidR="003077FA">
        <w:t xml:space="preserve">that, while entirely distinct at the gene level, there was significant functional overlap between the salmon and </w:t>
      </w:r>
      <w:r w:rsidR="00A305FF">
        <w:t>light-cyan</w:t>
      </w:r>
      <w:r w:rsidR="003077FA">
        <w:t xml:space="preserve"> modules</w:t>
      </w:r>
      <w:r w:rsidR="009A306F">
        <w:t xml:space="preserve">, with </w:t>
      </w:r>
      <w:r w:rsidR="00CB6269">
        <w:t xml:space="preserve">both modules </w:t>
      </w:r>
      <w:r w:rsidR="009A306F">
        <w:t xml:space="preserve">reflecting </w:t>
      </w:r>
      <w:r w:rsidR="00E678AF">
        <w:t xml:space="preserve">T-cell </w:t>
      </w:r>
      <w:r w:rsidR="00CB6269">
        <w:t>activation and differentiation</w:t>
      </w:r>
      <w:r w:rsidR="00E678AF">
        <w:t xml:space="preserve">, as well as recruitment (e.g. BTM modules: </w:t>
      </w:r>
      <w:r w:rsidR="00E678AF" w:rsidRPr="00E678AF">
        <w:t>T cell activation (I) (M7.1)</w:t>
      </w:r>
      <w:r w:rsidR="00E90C67">
        <w:t xml:space="preserve"> and T cell activation (III) (M7.4</w:t>
      </w:r>
      <w:r w:rsidR="00E90C67" w:rsidRPr="00E678AF">
        <w:t>)</w:t>
      </w:r>
      <w:r w:rsidR="00E90C67">
        <w:t xml:space="preserve">, </w:t>
      </w:r>
      <w:r w:rsidR="00CF72D9">
        <w:t>enriched in T cells (I) (M7.0)</w:t>
      </w:r>
      <w:r w:rsidR="00E90C67">
        <w:t xml:space="preserve"> and enriched in T cells (II) (M223)</w:t>
      </w:r>
      <w:r w:rsidR="00CF72D9">
        <w:t xml:space="preserve">, </w:t>
      </w:r>
      <w:r w:rsidR="00E678AF" w:rsidRPr="00E678AF">
        <w:t>T cell differentiation (M14)</w:t>
      </w:r>
      <w:r w:rsidR="00E678AF">
        <w:t xml:space="preserve">, </w:t>
      </w:r>
      <w:r w:rsidR="00E90C67" w:rsidRPr="00E90C67">
        <w:t>T cell differentiation (Th2) (M19)</w:t>
      </w:r>
      <w:r w:rsidR="00E90C67">
        <w:t xml:space="preserve">, </w:t>
      </w:r>
      <w:r w:rsidR="00E678AF" w:rsidRPr="00E678AF">
        <w:t>T cell surface signature (S0)</w:t>
      </w:r>
      <w:r w:rsidR="00E678AF">
        <w:t xml:space="preserve">, </w:t>
      </w:r>
      <w:r w:rsidR="00A2189E" w:rsidRPr="00A2189E">
        <w:t>cell adhesion (GO) (M117)</w:t>
      </w:r>
      <w:r w:rsidR="00E678AF">
        <w:t xml:space="preserve">, </w:t>
      </w:r>
      <w:r w:rsidR="00E678AF" w:rsidRPr="00E678AF">
        <w:t>receptors, cell migration (M109)</w:t>
      </w:r>
      <w:r w:rsidR="00E678AF">
        <w:t xml:space="preserve">, </w:t>
      </w:r>
      <w:r w:rsidR="0003221D">
        <w:t xml:space="preserve">and </w:t>
      </w:r>
      <w:r w:rsidR="0003221D" w:rsidRPr="0003221D">
        <w:t>IL2, IL7, TCR network (M65)</w:t>
      </w:r>
      <w:r w:rsidR="00E678AF">
        <w:t>)</w:t>
      </w:r>
      <w:r w:rsidR="00CB6269">
        <w:t>.</w:t>
      </w:r>
      <w:r w:rsidR="00F836EA">
        <w:t xml:space="preserve"> </w:t>
      </w:r>
      <w:r w:rsidR="00EF4363">
        <w:t>T</w:t>
      </w:r>
      <w:r w:rsidR="00F836EA">
        <w:t xml:space="preserve">he salmon </w:t>
      </w:r>
      <w:r w:rsidR="006A23E1">
        <w:t xml:space="preserve">module </w:t>
      </w:r>
      <w:r w:rsidR="00371B76">
        <w:t xml:space="preserve">was </w:t>
      </w:r>
      <w:r w:rsidR="001B211D">
        <w:t xml:space="preserve">additionally </w:t>
      </w:r>
      <w:r w:rsidR="00371B76">
        <w:t>enriched</w:t>
      </w:r>
      <w:r w:rsidR="001B211D">
        <w:t xml:space="preserve"> in NK cell-specific BTMs </w:t>
      </w:r>
      <w:r w:rsidR="00F836EA">
        <w:t xml:space="preserve">(e.g. BTM modules: </w:t>
      </w:r>
      <w:r w:rsidR="00CB720E">
        <w:t xml:space="preserve">enriched in NK cells (I) (M7.2), </w:t>
      </w:r>
      <w:r w:rsidR="00F836EA">
        <w:t>enriched in NK cells (III) (M157), and enriched in NK cells (receptor activation) (M61.2))</w:t>
      </w:r>
      <w:r w:rsidR="001D6AF6">
        <w:t>.</w:t>
      </w:r>
      <w:r w:rsidR="00C21425">
        <w:t xml:space="preserve"> </w:t>
      </w:r>
      <w:r w:rsidR="001E688B">
        <w:t>Comparing module membership to cell-specific gene signatures derived from peripheral whole blood</w:t>
      </w:r>
      <w:r w:rsidR="0086508A">
        <w:fldChar w:fldCharType="begin"/>
      </w:r>
      <w:r w:rsidR="00D76640">
        <w:instrText xml:space="preserve"> ADDIN ZOTERO_ITEM CSL_CITATION {"citationID":"2bn97k366l","properties":{"formattedCitation":"(26)","plainCitation":"(26)"},"citationItems":[{"id":108,"uris":["http://zotero.org/users/local/QWbLI5ai/items/TW3IGWZ3"],"uri":["http://zotero.org/users/local/QWbLI5ai/items/TW3IGWZ3"],"itemData":{"id":108,"type":"webpage","title":"Gene enrichment profiles reveal T-cell development, differentiation, and lineage-specific transcription factors including ZBTB25 as a novel NF-AT r... - PubMed - NCBI","URL":"https://www.ncbi.nlm.nih.gov/pubmed/20410506","accessed":{"date-parts":[["2018",1,8]]}}}],"schema":"https://github.com/citation-style-language/schema/raw/master/csl-citation.json"} </w:instrText>
      </w:r>
      <w:r w:rsidR="0086508A">
        <w:fldChar w:fldCharType="separate"/>
      </w:r>
      <w:r w:rsidR="00D76640" w:rsidRPr="00D76640">
        <w:rPr>
          <w:rFonts w:ascii="Calibri" w:hAnsi="Calibri"/>
        </w:rPr>
        <w:t>(26)</w:t>
      </w:r>
      <w:r w:rsidR="0086508A">
        <w:fldChar w:fldCharType="end"/>
      </w:r>
      <w:r w:rsidR="003E092E">
        <w:t xml:space="preserve">, we again found the salmon and </w:t>
      </w:r>
      <w:r w:rsidR="00A305FF">
        <w:t>light-cyan</w:t>
      </w:r>
      <w:r w:rsidR="003E092E">
        <w:t xml:space="preserve"> modules to have very similar profiles: significantly enriched for genes characteristic of CD4+ and CD8+ T-cells, as well as Treg cells. Once again, the salmon module was significantly enriched in NK cell-specific genes, while the </w:t>
      </w:r>
      <w:r w:rsidR="00A305FF">
        <w:t>light-cyan</w:t>
      </w:r>
      <w:r w:rsidR="003E092E">
        <w:t xml:space="preserve"> module was not.</w:t>
      </w:r>
      <w:r w:rsidR="0020521F">
        <w:t xml:space="preserve"> </w:t>
      </w:r>
      <w:r w:rsidR="00F86A1A">
        <w:t xml:space="preserve">While the green module did not correspond well to any BTM, it was significantly enriched in genes involved in </w:t>
      </w:r>
      <w:r w:rsidR="004968B6">
        <w:t>endoplasmic reticulum stress and unfolded protein response</w:t>
      </w:r>
      <w:r w:rsidR="00E36354">
        <w:t>s</w:t>
      </w:r>
      <w:r w:rsidR="004968B6">
        <w:t xml:space="preserve"> </w:t>
      </w:r>
      <w:r w:rsidR="000743DC">
        <w:t>(MSigDB Hallmark Collection: Unfolded Protein Response</w:t>
      </w:r>
      <w:r w:rsidR="00B36B58">
        <w:t>)</w:t>
      </w:r>
      <w:r w:rsidR="00514CD2">
        <w:t>.</w:t>
      </w:r>
      <w:r w:rsidR="00514CD2" w:rsidDel="00CE6DC2">
        <w:t xml:space="preserve"> </w:t>
      </w:r>
    </w:p>
    <w:p w14:paraId="5CEE0CF3" w14:textId="77777777" w:rsidR="005140F6" w:rsidRDefault="005140F6" w:rsidP="009F7CDB">
      <w:pPr>
        <w:pStyle w:val="Heading1"/>
      </w:pPr>
      <w:r>
        <w:t>Discussion</w:t>
      </w:r>
    </w:p>
    <w:p w14:paraId="2A48C023" w14:textId="397DE465" w:rsidR="005F2182" w:rsidRPr="004C279E" w:rsidRDefault="00B01EA6" w:rsidP="00B01EA6">
      <w:pPr>
        <w:rPr>
          <w:color w:val="000000"/>
          <w:shd w:val="clear" w:color="auto" w:fill="FFFFFF"/>
          <w:lang w:val="en-CA"/>
        </w:rPr>
      </w:pPr>
      <w:r>
        <w:rPr>
          <w:color w:val="000000"/>
          <w:shd w:val="clear" w:color="auto" w:fill="FFFFFF"/>
        </w:rPr>
        <w:t xml:space="preserve">Diagnosis of AECOPD is largely based on subjective assessments. </w:t>
      </w:r>
      <w:r>
        <w:rPr>
          <w:color w:val="000000"/>
          <w:shd w:val="clear" w:color="auto" w:fill="FFFFFF"/>
          <w:lang w:val="en-CA"/>
        </w:rPr>
        <w:t>AECOPD s</w:t>
      </w:r>
      <w:r w:rsidRPr="00A80F31">
        <w:rPr>
          <w:color w:val="000000"/>
          <w:shd w:val="clear" w:color="auto" w:fill="FFFFFF"/>
          <w:lang w:val="en-CA"/>
        </w:rPr>
        <w:t xml:space="preserve">ymptoms </w:t>
      </w:r>
      <w:r>
        <w:rPr>
          <w:color w:val="000000"/>
          <w:shd w:val="clear" w:color="auto" w:fill="FFFFFF"/>
          <w:lang w:val="en-CA"/>
        </w:rPr>
        <w:t>tend to be non-specific and</w:t>
      </w:r>
      <w:r w:rsidRPr="00A80F31">
        <w:rPr>
          <w:color w:val="000000"/>
          <w:shd w:val="clear" w:color="auto" w:fill="FFFFFF"/>
          <w:lang w:val="en-CA"/>
        </w:rPr>
        <w:t xml:space="preserve"> overlap with those of </w:t>
      </w:r>
      <w:r>
        <w:rPr>
          <w:color w:val="000000"/>
          <w:shd w:val="clear" w:color="auto" w:fill="FFFFFF"/>
          <w:lang w:val="en-CA"/>
        </w:rPr>
        <w:t xml:space="preserve">many other co-morbidities, </w:t>
      </w:r>
      <w:r w:rsidR="00C2297E">
        <w:rPr>
          <w:color w:val="000000"/>
          <w:shd w:val="clear" w:color="auto" w:fill="FFFFFF"/>
          <w:lang w:val="en-CA"/>
        </w:rPr>
        <w:t xml:space="preserve">making correct diagnosis in </w:t>
      </w:r>
      <w:r w:rsidR="00C2297E">
        <w:rPr>
          <w:color w:val="000000"/>
          <w:shd w:val="clear" w:color="auto" w:fill="FFFFFF"/>
          <w:lang w:val="en-CA"/>
        </w:rPr>
        <w:lastRenderedPageBreak/>
        <w:t xml:space="preserve">an ED setting challenging. </w:t>
      </w:r>
      <w:r w:rsidR="00C73E01">
        <w:rPr>
          <w:color w:val="000000"/>
          <w:shd w:val="clear" w:color="auto" w:fill="FFFFFF"/>
          <w:lang w:val="en-CA"/>
        </w:rPr>
        <w:t xml:space="preserve">Even when correctly diagnosed, </w:t>
      </w:r>
      <w:r>
        <w:rPr>
          <w:color w:val="000000"/>
          <w:shd w:val="clear" w:color="auto" w:fill="FFFFFF"/>
          <w:lang w:val="en-CA"/>
        </w:rPr>
        <w:t xml:space="preserve">treatment </w:t>
      </w:r>
      <w:r w:rsidR="00C73E01">
        <w:rPr>
          <w:color w:val="000000"/>
          <w:shd w:val="clear" w:color="auto" w:fill="FFFFFF"/>
          <w:lang w:val="en-CA"/>
        </w:rPr>
        <w:t xml:space="preserve">is </w:t>
      </w:r>
      <w:r w:rsidR="00137290">
        <w:rPr>
          <w:color w:val="000000"/>
          <w:shd w:val="clear" w:color="auto" w:fill="FFFFFF"/>
          <w:lang w:val="en-CA"/>
        </w:rPr>
        <w:t xml:space="preserve">often </w:t>
      </w:r>
      <w:r w:rsidR="00C73E01">
        <w:rPr>
          <w:color w:val="000000"/>
          <w:shd w:val="clear" w:color="auto" w:fill="FFFFFF"/>
          <w:lang w:val="en-CA"/>
        </w:rPr>
        <w:t xml:space="preserve">not informed by the </w:t>
      </w:r>
      <w:r>
        <w:rPr>
          <w:color w:val="000000"/>
          <w:shd w:val="clear" w:color="auto" w:fill="FFFFFF"/>
          <w:lang w:val="en-CA"/>
        </w:rPr>
        <w:t>underlying etiology</w:t>
      </w:r>
      <w:r w:rsidR="001252E1">
        <w:rPr>
          <w:color w:val="000000"/>
          <w:shd w:val="clear" w:color="auto" w:fill="FFFFFF"/>
          <w:lang w:val="en-CA"/>
        </w:rPr>
        <w:t xml:space="preserve">. </w:t>
      </w:r>
      <w:r w:rsidR="001D739E">
        <w:rPr>
          <w:color w:val="000000"/>
          <w:shd w:val="clear" w:color="auto" w:fill="FFFFFF"/>
          <w:lang w:val="en-CA"/>
        </w:rPr>
        <w:t>P</w:t>
      </w:r>
      <w:r w:rsidRPr="00A80F31">
        <w:rPr>
          <w:color w:val="000000"/>
          <w:shd w:val="clear" w:color="auto" w:fill="FFFFFF"/>
          <w:lang w:val="en-CA"/>
        </w:rPr>
        <w:t xml:space="preserve">atients are often over- or under-treated, </w:t>
      </w:r>
      <w:r>
        <w:rPr>
          <w:color w:val="000000"/>
          <w:shd w:val="clear" w:color="auto" w:fill="FFFFFF"/>
          <w:lang w:val="en-CA"/>
        </w:rPr>
        <w:t xml:space="preserve">leading to </w:t>
      </w:r>
      <w:r w:rsidRPr="00A80F31">
        <w:rPr>
          <w:color w:val="000000"/>
          <w:shd w:val="clear" w:color="auto" w:fill="FFFFFF"/>
          <w:lang w:val="en-CA"/>
        </w:rPr>
        <w:t>significant morbidity and mortality</w:t>
      </w:r>
      <w:r>
        <w:rPr>
          <w:color w:val="000000"/>
          <w:shd w:val="clear" w:color="auto" w:fill="FFFFFF"/>
          <w:lang w:val="en-CA"/>
        </w:rPr>
        <w:t xml:space="preserve"> [</w:t>
      </w:r>
      <w:commentRangeStart w:id="11"/>
      <w:r>
        <w:rPr>
          <w:color w:val="000000"/>
          <w:shd w:val="clear" w:color="auto" w:fill="FFFFFF"/>
          <w:lang w:val="en-CA"/>
        </w:rPr>
        <w:t>00</w:t>
      </w:r>
      <w:commentRangeEnd w:id="11"/>
      <w:r>
        <w:rPr>
          <w:rStyle w:val="CommentReference"/>
          <w:rFonts w:ascii="Calibri" w:eastAsia="Calibri" w:hAnsi="Calibri" w:cs="Times New Roman"/>
        </w:rPr>
        <w:commentReference w:id="11"/>
      </w:r>
      <w:r>
        <w:rPr>
          <w:color w:val="000000"/>
          <w:shd w:val="clear" w:color="auto" w:fill="FFFFFF"/>
          <w:lang w:val="en-CA"/>
        </w:rPr>
        <w:t>]</w:t>
      </w:r>
      <w:r w:rsidRPr="00A80F31">
        <w:rPr>
          <w:color w:val="000000"/>
          <w:shd w:val="clear" w:color="auto" w:fill="FFFFFF"/>
          <w:lang w:val="en-CA"/>
        </w:rPr>
        <w:t>.</w:t>
      </w:r>
      <w:r w:rsidR="009379E9">
        <w:rPr>
          <w:color w:val="000000"/>
          <w:shd w:val="clear" w:color="auto" w:fill="FFFFFF"/>
          <w:lang w:val="en-CA"/>
        </w:rPr>
        <w:t xml:space="preserve"> </w:t>
      </w:r>
      <w:r w:rsidR="009379E9">
        <w:t>Predicting and preventing AECOPD episodes is an important primary care goal</w:t>
      </w:r>
      <w:r w:rsidR="009379E9">
        <w:fldChar w:fldCharType="begin"/>
      </w:r>
      <w:r w:rsidR="009379E9">
        <w:instrText xml:space="preserve"> ADDIN ZOTERO_ITEM CSL_CITATION {"citationID":"lff0v15go","properties":{"formattedCitation":"(32)","plainCitation":"(32)"},"citationItems":[{"id":133,"uris":["http://zotero.org/users/local/QWbLI5ai/items/2KQSUE76"],"uri":["http://zotero.org/users/local/QWbLI5ai/items/2KQSUE76"],"itemData":{"id":133,"type":"article-journal","title":"Preventing COPD exacerbations: new options for a crucial and growing problem","container-title":"Federal practitioner: for the health care professionals of the VA, DoD, and PHS","page":"18S-24S","volume":"31","issue":"3","source":"PubMed","ISSN":"1078-4497","note":"PMID: 25750508\nPMCID: PMC4350387","shortTitle":"Preventing COPD exacerbations","journalAbbreviation":"Fed Pract","language":"eng","author":[{"family":"Curtis","given":"Jeffrey L."},{"family":"Martinez","given":"Carlos H."}],"issued":{"date-parts":[["2014",3]]},"PMID":"25750508","PMCID":"PMC4350387"}}],"schema":"https://github.com/citation-style-language/schema/raw/master/csl-citation.json"} </w:instrText>
      </w:r>
      <w:r w:rsidR="009379E9">
        <w:fldChar w:fldCharType="separate"/>
      </w:r>
      <w:r w:rsidR="009379E9" w:rsidRPr="00786992">
        <w:rPr>
          <w:rFonts w:ascii="Calibri" w:hAnsi="Calibri"/>
        </w:rPr>
        <w:t>(32)</w:t>
      </w:r>
      <w:r w:rsidR="009379E9">
        <w:fldChar w:fldCharType="end"/>
      </w:r>
      <w:r w:rsidR="009379E9">
        <w:t>, but, currently, no clinically useful score exists capable of predicting short term AECOPD risk (</w:t>
      </w:r>
      <w:commentRangeStart w:id="12"/>
      <w:r w:rsidR="009379E9">
        <w:t>00</w:t>
      </w:r>
      <w:commentRangeEnd w:id="12"/>
      <w:r w:rsidR="009379E9">
        <w:rPr>
          <w:rStyle w:val="CommentReference"/>
          <w:rFonts w:ascii="Calibri" w:eastAsia="Calibri" w:hAnsi="Calibri" w:cs="Times New Roman"/>
        </w:rPr>
        <w:commentReference w:id="12"/>
      </w:r>
      <w:r w:rsidR="009379E9">
        <w:t xml:space="preserve">). Thus, </w:t>
      </w:r>
      <w:r w:rsidR="009379E9">
        <w:rPr>
          <w:color w:val="000000"/>
          <w:shd w:val="clear" w:color="auto" w:fill="FFFFFF"/>
          <w:lang w:val="en-CA"/>
        </w:rPr>
        <w:t>t</w:t>
      </w:r>
      <w:r w:rsidRPr="006306BD">
        <w:rPr>
          <w:color w:val="000000"/>
          <w:shd w:val="clear" w:color="auto" w:fill="FFFFFF"/>
          <w:lang w:val="en-CA"/>
        </w:rPr>
        <w:t xml:space="preserve">here is a pressing need for biomarkers </w:t>
      </w:r>
      <w:r>
        <w:rPr>
          <w:color w:val="000000"/>
          <w:shd w:val="clear" w:color="auto" w:fill="FFFFFF"/>
          <w:lang w:val="en-CA"/>
        </w:rPr>
        <w:t xml:space="preserve">to improve </w:t>
      </w:r>
      <w:r w:rsidRPr="006306BD">
        <w:rPr>
          <w:color w:val="000000"/>
          <w:shd w:val="clear" w:color="auto" w:fill="FFFFFF"/>
          <w:lang w:val="en-CA"/>
        </w:rPr>
        <w:t>prevention and management of AECOPD.</w:t>
      </w:r>
    </w:p>
    <w:p w14:paraId="3373BBEA" w14:textId="2E658523" w:rsidR="00466187" w:rsidRDefault="009C23B9">
      <w:r>
        <w:t>The purpose of the current work was to identify COPD-specific co-expressed gene modules and derive modifiable biomarkers</w:t>
      </w:r>
      <w:r w:rsidR="009B2600">
        <w:t>.</w:t>
      </w:r>
      <w:r w:rsidR="00632CDA">
        <w:t xml:space="preserve"> </w:t>
      </w:r>
      <w:r w:rsidR="00BA3853">
        <w:t xml:space="preserve">Modifiable biomarkers track disease activity, </w:t>
      </w:r>
      <w:r w:rsidR="008D2E68">
        <w:t xml:space="preserve">and </w:t>
      </w:r>
      <w:r w:rsidR="00BA3853">
        <w:t xml:space="preserve">may </w:t>
      </w:r>
      <w:r w:rsidR="00D244AC">
        <w:t xml:space="preserve">be </w:t>
      </w:r>
      <w:r w:rsidR="00BA3853">
        <w:t>u</w:t>
      </w:r>
      <w:r w:rsidR="00D244AC">
        <w:t>s</w:t>
      </w:r>
      <w:r w:rsidR="00BA3853">
        <w:t xml:space="preserve">ed to anticipate </w:t>
      </w:r>
      <w:r w:rsidR="003374DE">
        <w:t>worsening disease</w:t>
      </w:r>
      <w:r w:rsidR="008D2E68">
        <w:t xml:space="preserve"> and </w:t>
      </w:r>
      <w:r w:rsidR="00632CDA">
        <w:t>gui</w:t>
      </w:r>
      <w:r w:rsidR="00D17DAF">
        <w:t>de</w:t>
      </w:r>
      <w:r w:rsidR="00BA3853">
        <w:t xml:space="preserve"> </w:t>
      </w:r>
      <w:r w:rsidR="00D17DAF">
        <w:t xml:space="preserve">interventions when </w:t>
      </w:r>
      <w:r w:rsidR="00481912">
        <w:t xml:space="preserve">providing patient care. </w:t>
      </w:r>
      <w:r w:rsidR="00727084">
        <w:t>Hospitalization due to AECOPD is are major cost to the healthcare system and</w:t>
      </w:r>
      <w:r w:rsidR="00481912">
        <w:t xml:space="preserve"> </w:t>
      </w:r>
      <w:r w:rsidR="00FA77B8">
        <w:t>the ability to anticipate episodes of increased disease activity</w:t>
      </w:r>
      <w:r w:rsidR="00727084">
        <w:t xml:space="preserve"> </w:t>
      </w:r>
      <w:r w:rsidR="00FA77B8">
        <w:t xml:space="preserve">would </w:t>
      </w:r>
      <w:r w:rsidR="00481912">
        <w:t xml:space="preserve">result in </w:t>
      </w:r>
      <w:commentRangeStart w:id="13"/>
      <w:r w:rsidR="00481912">
        <w:t>significant savings to the healthcare system</w:t>
      </w:r>
      <w:commentRangeEnd w:id="13"/>
      <w:r w:rsidR="00A23559">
        <w:rPr>
          <w:rStyle w:val="CommentReference"/>
          <w:rFonts w:ascii="Calibri" w:eastAsia="Calibri" w:hAnsi="Calibri" w:cs="Times New Roman"/>
        </w:rPr>
        <w:commentReference w:id="13"/>
      </w:r>
      <w:r w:rsidR="00481912">
        <w:t>.</w:t>
      </w:r>
      <w:r w:rsidR="00AA3A9F">
        <w:t xml:space="preserve"> </w:t>
      </w:r>
      <w:r w:rsidR="00C5270B">
        <w:t>We</w:t>
      </w:r>
      <w:r w:rsidR="00BF77A4">
        <w:t xml:space="preserve"> leveraged</w:t>
      </w:r>
      <w:r w:rsidR="000E61C3">
        <w:t xml:space="preserve"> two </w:t>
      </w:r>
      <w:r w:rsidR="004E07EF">
        <w:t>large COPD patient cohorts and gene expression profiling in</w:t>
      </w:r>
      <w:r w:rsidR="00A14605">
        <w:t xml:space="preserve"> peripheral whole</w:t>
      </w:r>
      <w:r w:rsidR="004E07EF">
        <w:t xml:space="preserve"> blood to attempt to identify such modifiable biomarkers.</w:t>
      </w:r>
      <w:r w:rsidR="00466187">
        <w:t xml:space="preserve"> </w:t>
      </w:r>
      <w:r w:rsidR="00543A62">
        <w:t xml:space="preserve">Starting from </w:t>
      </w:r>
      <w:r w:rsidR="006817C3">
        <w:t>2</w:t>
      </w:r>
      <w:r w:rsidR="004D5DCF">
        <w:t>3</w:t>
      </w:r>
      <w:r w:rsidR="006817C3">
        <w:t xml:space="preserve"> COPD-specific co-expressed gene modules</w:t>
      </w:r>
      <w:r w:rsidR="00543A62">
        <w:t xml:space="preserve">, </w:t>
      </w:r>
      <w:r w:rsidR="00067598">
        <w:t xml:space="preserve">each </w:t>
      </w:r>
      <w:r w:rsidR="00543A62">
        <w:t xml:space="preserve">representing distinct functional biological units coordinately regulated in </w:t>
      </w:r>
      <w:r w:rsidR="00A17D49">
        <w:t xml:space="preserve">stable </w:t>
      </w:r>
      <w:r w:rsidR="00543A62">
        <w:t xml:space="preserve">COPD, we </w:t>
      </w:r>
      <w:r w:rsidR="001F0EC9">
        <w:t xml:space="preserve">constructed </w:t>
      </w:r>
      <w:r w:rsidR="00543A62">
        <w:t xml:space="preserve">biomarker panels prognostic of </w:t>
      </w:r>
      <w:r w:rsidR="00A86D8E">
        <w:t xml:space="preserve">imminent </w:t>
      </w:r>
      <w:r w:rsidR="00543A62">
        <w:t>AECOPD, identified which of these signatures tracked with</w:t>
      </w:r>
      <w:r w:rsidR="00A86D8E">
        <w:t xml:space="preserve"> disease activity, and confirmed this behavior in an independent </w:t>
      </w:r>
      <w:r w:rsidR="00DF1FE6">
        <w:t xml:space="preserve">test </w:t>
      </w:r>
      <w:r w:rsidR="00A86D8E">
        <w:t>set of &gt;300 COPD patient.</w:t>
      </w:r>
      <w:r w:rsidR="00466187">
        <w:t xml:space="preserve"> </w:t>
      </w:r>
    </w:p>
    <w:p w14:paraId="79FCE096" w14:textId="08EF785B" w:rsidR="007E2C88" w:rsidRDefault="00466187">
      <w:r>
        <w:t>We identif</w:t>
      </w:r>
      <w:r w:rsidR="009073B1">
        <w:t>ied</w:t>
      </w:r>
      <w:r>
        <w:t xml:space="preserve"> three </w:t>
      </w:r>
      <w:r w:rsidR="00ED194C">
        <w:t xml:space="preserve">suitable </w:t>
      </w:r>
      <w:r>
        <w:t xml:space="preserve">panels, derived from the </w:t>
      </w:r>
      <w:r w:rsidR="002715FF">
        <w:t>salmon</w:t>
      </w:r>
      <w:r>
        <w:t xml:space="preserve">, </w:t>
      </w:r>
      <w:r w:rsidR="00A305FF">
        <w:t>light-cyan</w:t>
      </w:r>
      <w:r w:rsidR="002715FF">
        <w:t xml:space="preserve">, and green </w:t>
      </w:r>
      <w:r w:rsidR="001C0EED">
        <w:t xml:space="preserve">WGCNA </w:t>
      </w:r>
      <w:r>
        <w:t xml:space="preserve">modules.  These three panels had </w:t>
      </w:r>
      <w:r w:rsidR="00DD3A46">
        <w:t xml:space="preserve">reasonable performance </w:t>
      </w:r>
      <w:r w:rsidR="00C31B27">
        <w:t xml:space="preserve">in cross-validation </w:t>
      </w:r>
      <w:r w:rsidR="00DD3A46">
        <w:t>when predicting AECOPD ≤ 60 days</w:t>
      </w:r>
      <w:r w:rsidR="00BD4387">
        <w:t xml:space="preserve"> (AUC = 0.71, 0.68, and 0.67 for the salmon, light-cyan, and green module derived panels, respectively)</w:t>
      </w:r>
      <w:r w:rsidR="00DD3A46">
        <w:t xml:space="preserve">, </w:t>
      </w:r>
      <w:r w:rsidR="00701553">
        <w:t xml:space="preserve">and </w:t>
      </w:r>
      <w:r>
        <w:t>good off-the-shelf classification performance in distinguishing AECOPD from stable COPD controls (AUC = 0.</w:t>
      </w:r>
      <w:r w:rsidR="00996150">
        <w:t>84</w:t>
      </w:r>
      <w:r>
        <w:t>, 0.</w:t>
      </w:r>
      <w:r w:rsidR="00996150">
        <w:t>77</w:t>
      </w:r>
      <w:r>
        <w:t>, and 0.</w:t>
      </w:r>
      <w:r w:rsidR="00996150">
        <w:t>74</w:t>
      </w:r>
      <w:r>
        <w:t xml:space="preserve"> for the </w:t>
      </w:r>
      <w:r w:rsidR="00996150">
        <w:t>salmon</w:t>
      </w:r>
      <w:r>
        <w:t xml:space="preserve">, </w:t>
      </w:r>
      <w:r w:rsidR="00996150">
        <w:t>light-cyan</w:t>
      </w:r>
      <w:r>
        <w:t xml:space="preserve">, and </w:t>
      </w:r>
      <w:r w:rsidR="00996150">
        <w:t xml:space="preserve">green </w:t>
      </w:r>
      <w:r>
        <w:t>module derived panels, respectively</w:t>
      </w:r>
      <w:r w:rsidR="00D323F5">
        <w:t>)</w:t>
      </w:r>
      <w:r>
        <w:t>.</w:t>
      </w:r>
      <w:r w:rsidR="00653CFA">
        <w:t xml:space="preserve"> Moreover, the </w:t>
      </w:r>
      <w:r>
        <w:t xml:space="preserve">temporal patterns of the biomarker scores </w:t>
      </w:r>
      <w:r w:rsidR="00927FE3">
        <w:t xml:space="preserve">obtained from these </w:t>
      </w:r>
      <w:r>
        <w:t xml:space="preserve">panels suggest that they may </w:t>
      </w:r>
      <w:r w:rsidR="00EC02A7">
        <w:t xml:space="preserve">be used to </w:t>
      </w:r>
      <w:r>
        <w:t>monito</w:t>
      </w:r>
      <w:r w:rsidR="00E53D8B">
        <w:t>r</w:t>
      </w:r>
      <w:r>
        <w:t xml:space="preserve"> disease activity in COPD patients.</w:t>
      </w:r>
      <w:r w:rsidR="00687E57">
        <w:t xml:space="preserve"> </w:t>
      </w:r>
      <w:r w:rsidR="00F35903">
        <w:t xml:space="preserve">These </w:t>
      </w:r>
      <w:r w:rsidR="00522812">
        <w:t xml:space="preserve">results </w:t>
      </w:r>
      <w:r w:rsidR="00F35903">
        <w:t xml:space="preserve">are </w:t>
      </w:r>
      <w:r>
        <w:t xml:space="preserve">particularly interesting given that no additional tuning was carried out by </w:t>
      </w:r>
      <w:r w:rsidR="00E368CE">
        <w:t>us. The panels were trained on</w:t>
      </w:r>
      <w:r w:rsidR="00EE12D5">
        <w:t xml:space="preserve"> </w:t>
      </w:r>
      <w:r>
        <w:t>different patient cohort</w:t>
      </w:r>
      <w:r w:rsidR="0052166E">
        <w:t>s</w:t>
      </w:r>
      <w:r>
        <w:t xml:space="preserve"> using conceptually related, but different </w:t>
      </w:r>
      <w:r w:rsidR="007155E4">
        <w:t>phenotypes</w:t>
      </w:r>
      <w:r>
        <w:t xml:space="preserve"> (imminent, but non-symptomatic vs. active exacerbation), </w:t>
      </w:r>
      <w:r>
        <w:lastRenderedPageBreak/>
        <w:t>with gene expression profiles generat</w:t>
      </w:r>
      <w:r w:rsidR="00AC1631">
        <w:t xml:space="preserve">ed at different times (though </w:t>
      </w:r>
      <w:r>
        <w:t>batch-correction was applied) and achieved reasonable classification performance in this unseen dataset.</w:t>
      </w:r>
    </w:p>
    <w:p w14:paraId="7A8BA5A7" w14:textId="77777777" w:rsidR="00FC60F3" w:rsidRDefault="002B37E9" w:rsidP="00933A7E">
      <w:pPr>
        <w:pStyle w:val="Heading2"/>
      </w:pPr>
      <w:r>
        <w:t>Comparison with</w:t>
      </w:r>
      <w:r w:rsidR="001625F4" w:rsidRPr="001625F4">
        <w:t xml:space="preserve"> existing AECOPD </w:t>
      </w:r>
      <w:commentRangeStart w:id="14"/>
      <w:r w:rsidR="001625F4" w:rsidRPr="001625F4">
        <w:t>prognostics</w:t>
      </w:r>
      <w:commentRangeEnd w:id="14"/>
      <w:r w:rsidR="00DD1C10">
        <w:rPr>
          <w:rStyle w:val="CommentReference"/>
          <w:rFonts w:ascii="Calibri" w:eastAsia="Calibri" w:hAnsi="Calibri" w:cs="Times New Roman"/>
          <w:caps w:val="0"/>
          <w:spacing w:val="0"/>
        </w:rPr>
        <w:commentReference w:id="14"/>
      </w:r>
    </w:p>
    <w:p w14:paraId="014E59F6" w14:textId="44318611" w:rsidR="00531F9B" w:rsidRDefault="006525CF" w:rsidP="004E6487">
      <w:r>
        <w:t>S</w:t>
      </w:r>
      <w:r w:rsidRPr="00CA7F92">
        <w:t xml:space="preserve">everal sociodemographic, </w:t>
      </w:r>
      <w:r w:rsidR="00C90F32">
        <w:t>physiological</w:t>
      </w:r>
      <w:r w:rsidR="00351286">
        <w:t xml:space="preserve">, </w:t>
      </w:r>
      <w:r w:rsidR="00CF59A9">
        <w:t xml:space="preserve">psychological, </w:t>
      </w:r>
      <w:r w:rsidR="00351286">
        <w:t xml:space="preserve">and clinical </w:t>
      </w:r>
      <w:r w:rsidRPr="00CA7F92">
        <w:t xml:space="preserve">factors are </w:t>
      </w:r>
      <w:r>
        <w:t xml:space="preserve">associated with </w:t>
      </w:r>
      <w:r w:rsidRPr="00CA7F92">
        <w:t xml:space="preserve">a higher risk of </w:t>
      </w:r>
      <w:commentRangeStart w:id="15"/>
      <w:r>
        <w:t xml:space="preserve">hospitalizations </w:t>
      </w:r>
      <w:r w:rsidRPr="00CA7F92">
        <w:t>in COPD</w:t>
      </w:r>
      <w:commentRangeEnd w:id="15"/>
      <w:r>
        <w:rPr>
          <w:rStyle w:val="CommentReference"/>
          <w:rFonts w:ascii="Calibri" w:eastAsia="Calibri" w:hAnsi="Calibri" w:cs="Times New Roman"/>
        </w:rPr>
        <w:commentReference w:id="15"/>
      </w:r>
      <w:r>
        <w:t xml:space="preserve">. Multi-dimensional indices that capture these risk factors, such as </w:t>
      </w:r>
      <w:commentRangeStart w:id="16"/>
      <w:r>
        <w:t>St George´s Respiratory Questionnaire (SGRQ)</w:t>
      </w:r>
      <w:commentRangeEnd w:id="16"/>
      <w:r>
        <w:t>, the Clinical COPD Questionnaire (CCQ)</w:t>
      </w:r>
      <w:r w:rsidR="00A34224">
        <w:t xml:space="preserve"> (</w:t>
      </w:r>
      <w:commentRangeStart w:id="17"/>
      <w:r w:rsidR="00A34224">
        <w:t>00</w:t>
      </w:r>
      <w:commentRangeEnd w:id="17"/>
      <w:r w:rsidR="00A34224">
        <w:rPr>
          <w:rStyle w:val="CommentReference"/>
          <w:rFonts w:ascii="Calibri" w:eastAsia="Calibri" w:hAnsi="Calibri" w:cs="Times New Roman"/>
        </w:rPr>
        <w:commentReference w:id="17"/>
      </w:r>
      <w:r w:rsidR="00A34224">
        <w:t>)</w:t>
      </w:r>
      <w:r w:rsidR="00210850">
        <w:t>,</w:t>
      </w:r>
      <w:r w:rsidR="00E50C74">
        <w:t xml:space="preserve"> </w:t>
      </w:r>
      <w:r>
        <w:rPr>
          <w:rStyle w:val="CommentReference"/>
          <w:rFonts w:ascii="Calibri" w:eastAsia="Calibri" w:hAnsi="Calibri" w:cs="Times New Roman"/>
        </w:rPr>
        <w:commentReference w:id="16"/>
      </w:r>
      <w:r>
        <w:t>BODE</w:t>
      </w:r>
      <w:r w:rsidRPr="00AC7605">
        <w:t xml:space="preserve"> (body mass index [BMI], airflow obstruction, dyspnea</w:t>
      </w:r>
      <w:r>
        <w:t>, and exercise capacity)</w:t>
      </w:r>
      <w:r w:rsidR="000471EA">
        <w:t xml:space="preserve"> (</w:t>
      </w:r>
      <w:commentRangeStart w:id="18"/>
      <w:r w:rsidR="000471EA">
        <w:t>00</w:t>
      </w:r>
      <w:commentRangeEnd w:id="18"/>
      <w:r w:rsidR="000471EA">
        <w:rPr>
          <w:rStyle w:val="CommentReference"/>
          <w:rFonts w:ascii="Calibri" w:eastAsia="Calibri" w:hAnsi="Calibri" w:cs="Times New Roman"/>
        </w:rPr>
        <w:commentReference w:id="18"/>
      </w:r>
      <w:r w:rsidR="000471EA">
        <w:t>)</w:t>
      </w:r>
      <w:r>
        <w:t>, BODEX</w:t>
      </w:r>
      <w:r w:rsidRPr="00AC7605">
        <w:t xml:space="preserve"> (BMI, airflow obstruction, dyspnea, and prev</w:t>
      </w:r>
      <w:r>
        <w:t>ious severe exacerbations)</w:t>
      </w:r>
      <w:r w:rsidR="009F6937">
        <w:t xml:space="preserve"> (</w:t>
      </w:r>
      <w:commentRangeStart w:id="19"/>
      <w:r w:rsidR="009F6937">
        <w:t>00</w:t>
      </w:r>
      <w:commentRangeEnd w:id="19"/>
      <w:r w:rsidR="009F6937">
        <w:rPr>
          <w:rStyle w:val="CommentReference"/>
          <w:rFonts w:ascii="Calibri" w:eastAsia="Calibri" w:hAnsi="Calibri" w:cs="Times New Roman"/>
        </w:rPr>
        <w:commentReference w:id="19"/>
      </w:r>
      <w:r w:rsidR="009F6937">
        <w:t>)</w:t>
      </w:r>
      <w:r>
        <w:t>, ADO</w:t>
      </w:r>
      <w:r w:rsidRPr="00AC7605">
        <w:t xml:space="preserve"> (age, dyspnea, and</w:t>
      </w:r>
      <w:r>
        <w:t xml:space="preserve"> airflow obstruction)</w:t>
      </w:r>
      <w:r w:rsidR="009F6937">
        <w:t xml:space="preserve"> (</w:t>
      </w:r>
      <w:commentRangeStart w:id="20"/>
      <w:r w:rsidR="009F6937">
        <w:t>00</w:t>
      </w:r>
      <w:commentRangeEnd w:id="20"/>
      <w:r w:rsidR="009F6937">
        <w:rPr>
          <w:rStyle w:val="CommentReference"/>
          <w:rFonts w:ascii="Calibri" w:eastAsia="Calibri" w:hAnsi="Calibri" w:cs="Times New Roman"/>
        </w:rPr>
        <w:commentReference w:id="20"/>
      </w:r>
      <w:r w:rsidR="009F6937">
        <w:t>)</w:t>
      </w:r>
      <w:r>
        <w:t>, DOSE</w:t>
      </w:r>
      <w:r w:rsidRPr="00AC7605">
        <w:t xml:space="preserve"> (dyspnea, airflow obstruction, smoking stat</w:t>
      </w:r>
      <w:r>
        <w:t>us, and exacerbation frequency)</w:t>
      </w:r>
      <w:r w:rsidR="009F6937">
        <w:t xml:space="preserve"> (</w:t>
      </w:r>
      <w:commentRangeStart w:id="21"/>
      <w:r w:rsidR="009F6937">
        <w:t>00</w:t>
      </w:r>
      <w:commentRangeEnd w:id="21"/>
      <w:r w:rsidR="009F6937">
        <w:rPr>
          <w:rStyle w:val="CommentReference"/>
          <w:rFonts w:ascii="Calibri" w:eastAsia="Calibri" w:hAnsi="Calibri" w:cs="Times New Roman"/>
        </w:rPr>
        <w:commentReference w:id="21"/>
      </w:r>
      <w:r w:rsidR="009F6937">
        <w:t>)</w:t>
      </w:r>
      <w:r w:rsidR="00BA233A">
        <w:t xml:space="preserve">, </w:t>
      </w:r>
      <w:r w:rsidR="00732FCC">
        <w:t xml:space="preserve">CODEX </w:t>
      </w:r>
      <w:r w:rsidR="00732FCC" w:rsidRPr="00732FCC">
        <w:t>(comorbidity, obstruction, dyspnea, and</w:t>
      </w:r>
      <w:r w:rsidR="00732FCC">
        <w:t xml:space="preserve"> previous severe exacerbations) (</w:t>
      </w:r>
      <w:commentRangeStart w:id="22"/>
      <w:r w:rsidR="00732FCC">
        <w:t>00</w:t>
      </w:r>
      <w:commentRangeEnd w:id="22"/>
      <w:r w:rsidR="00732FCC">
        <w:rPr>
          <w:rStyle w:val="CommentReference"/>
          <w:rFonts w:ascii="Calibri" w:eastAsia="Calibri" w:hAnsi="Calibri" w:cs="Times New Roman"/>
        </w:rPr>
        <w:commentReference w:id="22"/>
      </w:r>
      <w:r w:rsidR="00732FCC">
        <w:t xml:space="preserve">), </w:t>
      </w:r>
      <w:r w:rsidR="00BA233A">
        <w:t>and SCOPEX (</w:t>
      </w:r>
      <w:r w:rsidR="0035716A">
        <w:rPr>
          <w:color w:val="000000"/>
          <w:shd w:val="clear" w:color="auto" w:fill="FFFFFF"/>
        </w:rPr>
        <w:t>short-term [6-month] risk of COPD exacerbations</w:t>
      </w:r>
      <w:r w:rsidR="00BA233A">
        <w:t>) (</w:t>
      </w:r>
      <w:commentRangeStart w:id="23"/>
      <w:r w:rsidR="00BA233A">
        <w:t>00</w:t>
      </w:r>
      <w:commentRangeEnd w:id="23"/>
      <w:r w:rsidR="004A5DE5">
        <w:rPr>
          <w:rStyle w:val="CommentReference"/>
          <w:rFonts w:ascii="Calibri" w:eastAsia="Calibri" w:hAnsi="Calibri" w:cs="Times New Roman"/>
        </w:rPr>
        <w:commentReference w:id="23"/>
      </w:r>
      <w:r w:rsidR="00BA233A">
        <w:t>)</w:t>
      </w:r>
      <w:r w:rsidR="00EF7EB4">
        <w:t xml:space="preserve"> scores</w:t>
      </w:r>
      <w:r>
        <w:t xml:space="preserve"> have all been assessed for their ability to predict exacerbation</w:t>
      </w:r>
      <w:r w:rsidR="00352CC6">
        <w:t xml:space="preserve"> in the</w:t>
      </w:r>
      <w:r w:rsidR="00F82766">
        <w:t xml:space="preserve"> </w:t>
      </w:r>
      <w:r w:rsidR="00B47A56">
        <w:t>medium</w:t>
      </w:r>
      <w:r w:rsidR="007F6DE8">
        <w:t>-long</w:t>
      </w:r>
      <w:r w:rsidR="00B47A56">
        <w:t xml:space="preserve"> </w:t>
      </w:r>
      <w:r w:rsidR="00F82766">
        <w:t xml:space="preserve">term (1 </w:t>
      </w:r>
      <w:r w:rsidR="00352CC6">
        <w:t>year)</w:t>
      </w:r>
      <w:r w:rsidR="0032256F">
        <w:t xml:space="preserve"> </w:t>
      </w:r>
      <w:r w:rsidR="005847A5">
        <w:t>(AUC = 0.65 – 0.69)</w:t>
      </w:r>
      <w:r w:rsidR="009A5CF7">
        <w:t>.</w:t>
      </w:r>
      <w:r w:rsidR="009B5493">
        <w:t xml:space="preserve"> Risk of exacerbation naturally varies throughout the course of the dise</w:t>
      </w:r>
      <w:r w:rsidR="007F6DE8">
        <w:t xml:space="preserve">ase and disease GOLD stage itself </w:t>
      </w:r>
      <w:r w:rsidR="009B5493">
        <w:t>has been shown to be moderately predictive of AECOPD (AUC = 0.69) during 1 year follow-up.</w:t>
      </w:r>
      <w:r w:rsidR="00CB1E2C">
        <w:t xml:space="preserve"> </w:t>
      </w:r>
      <w:r w:rsidR="00200D21">
        <w:t xml:space="preserve">Importantly, these multi-dimensional scores </w:t>
      </w:r>
      <w:r w:rsidR="00270DF3">
        <w:t xml:space="preserve">cannot be used to identify </w:t>
      </w:r>
      <w:r w:rsidR="00200D21">
        <w:t>imminent AECOPD an</w:t>
      </w:r>
      <w:r w:rsidR="00531F9B">
        <w:t>d guide intervention/treatment.</w:t>
      </w:r>
    </w:p>
    <w:p w14:paraId="49DC91B8" w14:textId="6716BD3C" w:rsidR="00CB1E2C" w:rsidRDefault="009911ED" w:rsidP="004E6487">
      <w:r>
        <w:t>Modifiabl</w:t>
      </w:r>
      <w:r w:rsidR="009104D4">
        <w:t xml:space="preserve">e </w:t>
      </w:r>
      <w:r w:rsidR="00531F9B">
        <w:t>bio</w:t>
      </w:r>
      <w:r w:rsidR="009104D4">
        <w:t>marker</w:t>
      </w:r>
      <w:r w:rsidR="0068110A">
        <w:t>s have also been investigated</w:t>
      </w:r>
      <w:r w:rsidR="00531F9B">
        <w:t>.</w:t>
      </w:r>
      <w:r w:rsidR="0068110A">
        <w:t xml:space="preserve"> </w:t>
      </w:r>
      <w:r w:rsidR="00531F9B">
        <w:t>Thomsen and others (</w:t>
      </w:r>
      <w:commentRangeStart w:id="24"/>
      <w:r w:rsidR="00531F9B">
        <w:t>00</w:t>
      </w:r>
      <w:commentRangeEnd w:id="24"/>
      <w:r w:rsidR="00531F9B">
        <w:rPr>
          <w:rStyle w:val="CommentReference"/>
          <w:rFonts w:ascii="Calibri" w:eastAsia="Calibri" w:hAnsi="Calibri" w:cs="Times New Roman"/>
        </w:rPr>
        <w:commentReference w:id="24"/>
      </w:r>
      <w:r w:rsidR="00531F9B">
        <w:t xml:space="preserve">) found that elevated CRP, fibrinogen, and leukocyte counts (relative to baseline levels) were associated with </w:t>
      </w:r>
      <w:r w:rsidR="000C276D">
        <w:t xml:space="preserve">frequent </w:t>
      </w:r>
      <w:r w:rsidR="00531F9B">
        <w:t>exacerbation (1.2</w:t>
      </w:r>
      <w:r w:rsidR="000C276D">
        <w:t>-</w:t>
      </w:r>
      <w:r w:rsidR="00531F9B">
        <w:t>, 1.7</w:t>
      </w:r>
      <w:r w:rsidR="000C276D">
        <w:t>-</w:t>
      </w:r>
      <w:r w:rsidR="00531F9B">
        <w:t xml:space="preserve">, </w:t>
      </w:r>
      <w:r w:rsidR="000C276D">
        <w:t>and 3.7-</w:t>
      </w:r>
      <w:r w:rsidR="00531F9B">
        <w:t xml:space="preserve">fold for 1, 2, and 3 elevated markers, respectively). </w:t>
      </w:r>
      <w:r w:rsidR="00457A25">
        <w:t>A</w:t>
      </w:r>
      <w:r w:rsidR="006248DC">
        <w:t xml:space="preserve">ddition of these modifiable inflammatory markers to a model including </w:t>
      </w:r>
      <w:r w:rsidR="000549C1">
        <w:t xml:space="preserve">basic demographic and clinical factors </w:t>
      </w:r>
      <w:r w:rsidR="006248DC">
        <w:t xml:space="preserve">significantly </w:t>
      </w:r>
      <w:r w:rsidR="006248DC" w:rsidRPr="006248DC">
        <w:t xml:space="preserve">improved </w:t>
      </w:r>
      <w:r w:rsidR="000549C1">
        <w:t>classification performance (</w:t>
      </w:r>
      <w:r w:rsidR="006248DC" w:rsidRPr="006248DC">
        <w:t xml:space="preserve">C statistics </w:t>
      </w:r>
      <w:r w:rsidR="000549C1">
        <w:t xml:space="preserve">= </w:t>
      </w:r>
      <w:r w:rsidR="009B6D04">
        <w:t>0.73</w:t>
      </w:r>
      <w:r w:rsidR="000549C1">
        <w:t>)</w:t>
      </w:r>
      <w:r w:rsidR="003E3296">
        <w:t xml:space="preserve"> when trying to identify frequent exacerbators</w:t>
      </w:r>
      <w:r w:rsidR="006248DC">
        <w:t>.</w:t>
      </w:r>
      <w:r w:rsidR="00457A25">
        <w:t xml:space="preserve"> Eosinophilia has also been associated with an </w:t>
      </w:r>
      <w:r w:rsidR="00457A25" w:rsidRPr="0032256F">
        <w:t>increas</w:t>
      </w:r>
      <w:r w:rsidR="00457A25">
        <w:t>ed risk of severe exacerbations a</w:t>
      </w:r>
      <w:r w:rsidR="00457A25" w:rsidRPr="0032256F">
        <w:t xml:space="preserve">mong individuals with </w:t>
      </w:r>
      <w:r w:rsidR="00457A25">
        <w:t>COPD in the general population (</w:t>
      </w:r>
      <w:r w:rsidR="00457A25" w:rsidRPr="0032256F">
        <w:t>1.76-fold</w:t>
      </w:r>
      <w:r w:rsidR="00457A25">
        <w:t>) (</w:t>
      </w:r>
      <w:commentRangeStart w:id="25"/>
      <w:r w:rsidR="00457A25">
        <w:t>00</w:t>
      </w:r>
      <w:commentRangeEnd w:id="25"/>
      <w:r w:rsidR="00457A25">
        <w:rPr>
          <w:rStyle w:val="CommentReference"/>
          <w:rFonts w:ascii="Calibri" w:eastAsia="Calibri" w:hAnsi="Calibri" w:cs="Times New Roman"/>
        </w:rPr>
        <w:commentReference w:id="25"/>
      </w:r>
      <w:r w:rsidR="00457A25">
        <w:t>). U</w:t>
      </w:r>
      <w:r w:rsidR="00457A25" w:rsidRPr="00CA62A8">
        <w:t>rokinase-type plasminogen activator receptor</w:t>
      </w:r>
      <w:r w:rsidR="00457A25">
        <w:t xml:space="preserve"> is elevated during AECOPD relative to baseline and can discriminate day 1 of AECOPD from day 7 (</w:t>
      </w:r>
      <w:commentRangeStart w:id="26"/>
      <w:r w:rsidR="00457A25">
        <w:t>00</w:t>
      </w:r>
      <w:commentRangeEnd w:id="26"/>
      <w:r w:rsidR="00457A25">
        <w:rPr>
          <w:rStyle w:val="CommentReference"/>
          <w:rFonts w:ascii="Calibri" w:eastAsia="Calibri" w:hAnsi="Calibri" w:cs="Times New Roman"/>
        </w:rPr>
        <w:commentReference w:id="26"/>
      </w:r>
      <w:r w:rsidR="00457A25">
        <w:t>).</w:t>
      </w:r>
      <w:r w:rsidR="004E6487">
        <w:t xml:space="preserve"> </w:t>
      </w:r>
      <w:r w:rsidR="00576B0A">
        <w:t xml:space="preserve">The </w:t>
      </w:r>
      <w:r w:rsidR="003E3296">
        <w:t xml:space="preserve">ability of these modifiable biomarkers to identify imminent AECOPD </w:t>
      </w:r>
      <w:r w:rsidR="00576B0A">
        <w:t xml:space="preserve">is yet to be </w:t>
      </w:r>
      <w:r w:rsidR="003E3296">
        <w:t>evaluated</w:t>
      </w:r>
      <w:r w:rsidR="00576B0A">
        <w:t>.</w:t>
      </w:r>
    </w:p>
    <w:p w14:paraId="11677821" w14:textId="33271127" w:rsidR="004E114B" w:rsidRDefault="009B145D" w:rsidP="004E6487">
      <w:pPr>
        <w:rPr>
          <w:highlight w:val="yellow"/>
        </w:rPr>
      </w:pPr>
      <w:r>
        <w:lastRenderedPageBreak/>
        <w:t>Short-term re-exacerbation risk may be predictable using various demographic and clinical factors (</w:t>
      </w:r>
      <w:commentRangeStart w:id="27"/>
      <w:r>
        <w:t>00</w:t>
      </w:r>
      <w:commentRangeEnd w:id="27"/>
      <w:r w:rsidR="005305A7">
        <w:rPr>
          <w:rStyle w:val="CommentReference"/>
          <w:rFonts w:ascii="Calibri" w:eastAsia="Calibri" w:hAnsi="Calibri" w:cs="Times New Roman"/>
        </w:rPr>
        <w:commentReference w:id="27"/>
      </w:r>
      <w:r>
        <w:t>), but in stable COPD, the task is more challenging.</w:t>
      </w:r>
      <w:r w:rsidR="00996417">
        <w:t xml:space="preserve"> </w:t>
      </w:r>
      <w:r w:rsidR="005C2795">
        <w:t xml:space="preserve">Here there have been a few promising studies leveraging </w:t>
      </w:r>
      <w:r w:rsidR="00996417">
        <w:t>t</w:t>
      </w:r>
      <w:r w:rsidR="00B74EC3">
        <w:t>elehealth monitoring</w:t>
      </w:r>
      <w:r w:rsidR="007B3F0B">
        <w:t xml:space="preserve">. By monitoring breathing rate, oxygen saturation, or other respiratory signals, </w:t>
      </w:r>
      <w:r w:rsidR="00D3032E">
        <w:t xml:space="preserve">various groups were </w:t>
      </w:r>
      <w:r w:rsidR="007B3F0B">
        <w:t>able</w:t>
      </w:r>
      <w:r w:rsidR="00D3032E">
        <w:t xml:space="preserve"> to identify </w:t>
      </w:r>
      <w:r w:rsidR="00041BB7">
        <w:t xml:space="preserve">imminent </w:t>
      </w:r>
      <w:r w:rsidR="00D3032E">
        <w:t>AECOPD with relatively high accuracy</w:t>
      </w:r>
      <w:r w:rsidR="00501023">
        <w:t xml:space="preserve"> </w:t>
      </w:r>
      <w:r w:rsidR="00434F8C">
        <w:t>(</w:t>
      </w:r>
      <w:r w:rsidR="00FD1984">
        <w:t xml:space="preserve">76.0% </w:t>
      </w:r>
      <w:r w:rsidR="00434F8C">
        <w:t xml:space="preserve">– 84.7%) </w:t>
      </w:r>
      <w:r w:rsidR="00501023">
        <w:t>(</w:t>
      </w:r>
      <w:commentRangeStart w:id="28"/>
      <w:r w:rsidR="00501023">
        <w:t>00</w:t>
      </w:r>
      <w:commentRangeEnd w:id="28"/>
      <w:r w:rsidR="00501023">
        <w:rPr>
          <w:rStyle w:val="CommentReference"/>
          <w:rFonts w:ascii="Calibri" w:eastAsia="Calibri" w:hAnsi="Calibri" w:cs="Times New Roman"/>
        </w:rPr>
        <w:commentReference w:id="28"/>
      </w:r>
      <w:r w:rsidR="00501023">
        <w:t>)</w:t>
      </w:r>
      <w:r w:rsidR="00215188">
        <w:t>.</w:t>
      </w:r>
      <w:r w:rsidR="006E4AA0">
        <w:t xml:space="preserve"> </w:t>
      </w:r>
      <w:r w:rsidR="001C4AB7">
        <w:t xml:space="preserve">We note, however, </w:t>
      </w:r>
      <w:r w:rsidR="008F7A7E">
        <w:t>that performance metrics were estimated from the training data, and are likely to be optimistic.</w:t>
      </w:r>
      <w:r w:rsidR="00B80AA1">
        <w:t xml:space="preserve"> </w:t>
      </w:r>
      <w:r w:rsidR="008D0614">
        <w:t>Ultimately, b</w:t>
      </w:r>
      <w:r w:rsidR="00B80AA1">
        <w:t xml:space="preserve">ecause these measure respiratory symptoms, they may detect AECOPD too late for </w:t>
      </w:r>
      <w:r w:rsidR="00606B6A">
        <w:t xml:space="preserve">effective </w:t>
      </w:r>
      <w:r w:rsidR="00B80AA1">
        <w:t>intervention to prevent hospitalization</w:t>
      </w:r>
      <w:r w:rsidR="00640328">
        <w:t xml:space="preserve"> </w:t>
      </w:r>
      <w:r w:rsidR="00B80AA1">
        <w:t>(1-5 days prior).</w:t>
      </w:r>
      <w:r w:rsidR="004F177B" w:rsidRPr="001530CC">
        <w:rPr>
          <w:highlight w:val="yellow"/>
        </w:rPr>
        <w:t xml:space="preserve"> </w:t>
      </w:r>
    </w:p>
    <w:p w14:paraId="78302BBE" w14:textId="77777777" w:rsidR="00FC2AF8" w:rsidRDefault="00FC2AF8" w:rsidP="00FC2AF8">
      <w:pPr>
        <w:pStyle w:val="Heading2"/>
      </w:pPr>
      <w:r w:rsidRPr="00DE1F7F">
        <w:t>Comparison</w:t>
      </w:r>
      <w:r>
        <w:t xml:space="preserve"> with </w:t>
      </w:r>
      <w:r w:rsidRPr="00DE1F7F">
        <w:t xml:space="preserve">existing AECOPD </w:t>
      </w:r>
      <w:r>
        <w:t>diagnostics</w:t>
      </w:r>
    </w:p>
    <w:p w14:paraId="7AFA4BFD" w14:textId="77777777" w:rsidR="005C2812" w:rsidRDefault="00856969" w:rsidP="00FC2AF8">
      <w:r>
        <w:t>M</w:t>
      </w:r>
      <w:r w:rsidR="00FC2AF8">
        <w:t xml:space="preserve">any </w:t>
      </w:r>
      <w:r>
        <w:t xml:space="preserve">studies have attempted to identify </w:t>
      </w:r>
      <w:r w:rsidR="00BC40ED">
        <w:t>molecular</w:t>
      </w:r>
      <w:r w:rsidR="00FC2AF8">
        <w:t xml:space="preserve"> biomarkers </w:t>
      </w:r>
      <w:r>
        <w:t xml:space="preserve">diagnostic </w:t>
      </w:r>
      <w:r w:rsidR="00FC2AF8">
        <w:t xml:space="preserve">of AECOPD. </w:t>
      </w:r>
      <w:r w:rsidR="00126374">
        <w:t>Refer to a recent review by our group for a good overview</w:t>
      </w:r>
      <w:r w:rsidR="00FC2AF8">
        <w:t xml:space="preserve"> </w:t>
      </w:r>
      <w:r w:rsidR="00FC2AF8">
        <w:fldChar w:fldCharType="begin"/>
      </w:r>
      <w:r w:rsidR="00FC2AF8">
        <w:instrText xml:space="preserve"> ADDIN ZOTERO_ITEM CSL_CITATION {"citationID":"23928kkl4a","properties":{"formattedCitation":"(13)","plainCitation":"(13)"},"citationItems":[{"id":"qCdwYnJk/UbEDTi2c","uris":["http://zotero.org/users/892254/items/DGZTP8T3"],"uri":["http://zotero.org/users/892254/items/DGZTP8T3"],"itemData":{"id":"qCdwYnJk/UbEDTi2c","type":"article-journal","title":"A Systematic Review of Diagnostic Biomarkers of COPD Exacerbation","container-title":"PLOS ONE","page":"e0158843","volume":"11","issue":"7","source":"PLoS Journals","abstract":"The aims of this systematic review were to determine which blood-based molecules have been evaluated as possible biomarkers to diagnose chronic obstructive pulmonary disease (COPD) exacerbations (AECOPD) and to ascertain the quality of these biomarker publications. Patients of interest were those that have been diagnosed with COPD. MEDLINE, EMBASE, and CINAHL databases were searched systematically through February 2015 for publications relating to AECOPD diagnostic biomarkers. We used a modified guideline for the REporting of tumor MARKer Studies (mREMARK) to assess study quality. Additional components of quality included the reporting of findings in a replication cohort and the use of receiver-operating characteristics area-under-the curve statistics in evaluating performance. 59 studies were included, in which the most studied biomarkers were C-reactive protein (CRP), interleukin-6 (IL-6), and tumor necrosis factor-alpha (TNF-α). CRP showed consistent elevations in AECOPD compared to control subjects, while IL-6 and TNF-α had variable statistical significance and results. mREMARK scores ranged from 6 to 18 (median score of 13). 12 articles reported ROC analyses and only one study employed a replication cohort to confirm biomarker performance. Studies of AECOPD diagnostic biomarkers remain inconsistent in their reporting, with few studies employing ROC analyses and even fewer demonstrating replication in independent cohorts.","DOI":"10.1371/journal.pone.0158843","ISSN":"1932-6203","journalAbbreviation":"PLOS ONE","author":[{"family":"Chen","given":"Yu-Wei Roy"},{"family":"Leung","given":"Janice M."},{"family":"Sin","given":"Don D."}],"issued":{"year":2016,"month":7,"day":19},"page-first":"e0158843","container-title-short":"PLOS ONE"}}],"schema":"https://github.com/citation-style-language/schema/raw/master/csl-citation.json"} </w:instrText>
      </w:r>
      <w:r w:rsidR="00FC2AF8">
        <w:fldChar w:fldCharType="separate"/>
      </w:r>
      <w:r w:rsidR="00FC2AF8" w:rsidRPr="00BA45F3">
        <w:rPr>
          <w:rFonts w:ascii="Calibri" w:hAnsi="Calibri"/>
        </w:rPr>
        <w:t>(13)</w:t>
      </w:r>
      <w:r w:rsidR="00FC2AF8">
        <w:fldChar w:fldCharType="end"/>
      </w:r>
      <w:r w:rsidR="00394002">
        <w:t>.</w:t>
      </w:r>
    </w:p>
    <w:p w14:paraId="21B35195" w14:textId="6F421AE0" w:rsidR="00FC2AF8" w:rsidRDefault="00FC2AF8" w:rsidP="00FC2AF8">
      <w:r w:rsidRPr="0033795E">
        <w:t xml:space="preserve">Bafadel et al. report on a number of potential single-molecule biomarkers for discriminating between </w:t>
      </w:r>
      <w:r>
        <w:t xml:space="preserve">AECOPD and </w:t>
      </w:r>
      <w:r w:rsidRPr="0033795E">
        <w:t>stable COPD</w:t>
      </w:r>
      <w:r>
        <w:t>,</w:t>
      </w:r>
      <w:r w:rsidRPr="0033795E">
        <w:t xml:space="preserve"> and </w:t>
      </w:r>
      <w:r>
        <w:t>between</w:t>
      </w:r>
      <w:r w:rsidRPr="0033795E">
        <w:t xml:space="preserve"> bacterial*</w:t>
      </w:r>
      <w:r>
        <w:t xml:space="preserve">, </w:t>
      </w:r>
      <w:r w:rsidRPr="0033795E">
        <w:t>viral†</w:t>
      </w:r>
      <w:r>
        <w:t>,</w:t>
      </w:r>
      <w:r w:rsidRPr="0033795E">
        <w:t xml:space="preserve"> </w:t>
      </w:r>
      <w:r>
        <w:t>and</w:t>
      </w:r>
      <w:r w:rsidRPr="0033795E">
        <w:t xml:space="preserve"> </w:t>
      </w:r>
      <w:r>
        <w:t xml:space="preserve">eosinophilic‡ </w:t>
      </w:r>
      <w:r w:rsidRPr="0033795E">
        <w:t>AECOPD</w:t>
      </w:r>
      <w:r>
        <w:fldChar w:fldCharType="begin"/>
      </w:r>
      <w:r>
        <w:instrText xml:space="preserve"> ADDIN ZOTERO_ITEM CSL_CITATION {"citationID":"pkojcbuob","properties":{"formattedCitation":"(30)","plainCitation":"(30)"},"citationItems":[{"id":131,"uris":["http://zotero.org/users/local/QWbLI5ai/items/BEJPBJXH"],"uri":["http://zotero.org/users/local/QWbLI5ai/items/BEJPBJXH"],"itemData":{"id":131,"type":"article-journal","title":"Acute exacerbations of chronic obstructive pulmonary disease: identification of biologic clusters and their biomarkers","container-title":"American Journal of Respiratory and Critical Care Medicine","page":"662-671","volume":"184","issue":"6","source":"PubMed","abstract":"RATIONALE: Exacerbations of chronic obstructive pulmonary disease (COPD) are heterogeneous with respect to inflammation and etiology.\nOBJECTIVES: Investigate biomarker expression in COPD exacerbations to identify biologic clusters and determine biomarkers that recognize clinical COPD exacerbation phenotypes, namely those associated with bacteria, viruses, or eosinophilic airway inflammation.\nMETHODS: Patients with COPD were observed for 1 year at stable and exacerbation visits. Biomarkers were measured in sputum and serum. Viruses and selected bacteria were assessed in sputum by polymerase chain reaction and routine diagnostic bacterial culture. Biologic phenotypes were explored using unbiased cluster analysis and biomarkers that differentiated clinical exacerbation phenotypes were investigated.\nMEASUREMENTS AND MAIN RESULTS: A total of 145 patients (101 men and 44 women) entered the study. A total of 182 exacerbations were captured from 86 patients. Four distinct biologic exacerbation clusters were identified. These were bacterial-, viral-, or eosinophilic-predominant, and a fourth associated with limited changes in the inflammatory profile termed “pauciinflammatory.” Of all exacerbations, 55%, 29%, and 28% were associated with bacteria, virus, or a sputum eosinophilia. The biomarkers that best identified these clinical phenotypes were sputum IL-1β, 0.89 (area under receiver operating characteristic curve) (95% confidence interval [CI], 0.83–0.95); serum CXCL10, 0.83 (95% CI, 0.70–0.96); and percentage peripheral eosinophils, 0.85 (95% CI, 0.78–0.93), respectively.\nCONCLUSIONS: The heterogeneity of the biologic response of COPD exacerbations can be defined. Sputum IL-1β, serum CXCL10, and peripheral eosinophils are biomarkers of bacteria-, virus-, or eosinophil-associated exacerbations of COPD. Whether phenotype-specific biomarkers can be applied to direct therapy warrants further investigation.","DOI":"10.1164/rccm.201104-0597OC","ISSN":"1535-4970","note":"PMID: 21680942","shortTitle":"Acute exacerbations of chronic obstructive pulmonary disease","journalAbbreviation":"Am. J. Respir. Crit. Care Med.","language":"eng","author":[{"family":"Bafadhel","given":"Mona"},{"family":"McKenna","given":"Susan"},{"family":"Terry","given":"Sarah"},{"family":"Mistry","given":"Vijay"},{"family":"Reid","given":"Carlene"},{"family":"Haldar","given":"Pranabashis"},{"family":"McCormick","given":"Margaret"},{"family":"Haldar","given":"Koirobi"},{"family":"Kebadze","given":"Tatiana"},{"family":"Duvoix","given":"Annelyse"},{"family":"Lindblad","given":"Kerstin"},{"family":"Patel","given":"Hemu"},{"family":"Rugman","given":"Paul"},{"family":"Dodson","given":"Paul"},{"family":"Jenkins","given":"Martin"},{"family":"Saunders","given":"Michael"},{"family":"Newbold","given":"Paul"},{"family":"Green","given":"Ruth H."},{"family":"Venge","given":"Per"},{"family":"Lomas","given":"David A."},{"family":"Barer","given":"Michael R."},{"family":"Johnston","given":"Sebastian L."},{"family":"Pavord","given":"Ian D."},{"family":"Brightling","given":"Christopher E."}],"issued":{"date-parts":[["2011",9,15]]},"PMID":"21680942"}}],"schema":"https://github.com/citation-style-language/schema/raw/master/csl-citation.json"} </w:instrText>
      </w:r>
      <w:r>
        <w:fldChar w:fldCharType="separate"/>
      </w:r>
      <w:r w:rsidRPr="0033795E">
        <w:rPr>
          <w:rFonts w:ascii="Calibri" w:hAnsi="Calibri"/>
        </w:rPr>
        <w:t>(30)</w:t>
      </w:r>
      <w:r>
        <w:fldChar w:fldCharType="end"/>
      </w:r>
      <w:r>
        <w:t>. Their independent validation showed the following performance: serum CRP (AUC = 0.70</w:t>
      </w:r>
      <w:r w:rsidRPr="0033795E">
        <w:t xml:space="preserve">*), </w:t>
      </w:r>
      <w:r>
        <w:t xml:space="preserve">sputum </w:t>
      </w:r>
      <w:r w:rsidRPr="0033795E">
        <w:t>IL-</w:t>
      </w:r>
      <w:r>
        <w:t>1β (AUC = 0.73</w:t>
      </w:r>
      <w:r w:rsidRPr="0033795E">
        <w:t xml:space="preserve">*), </w:t>
      </w:r>
      <w:r>
        <w:t>serum CXCL-10 (AUC = 0.65</w:t>
      </w:r>
      <w:r w:rsidRPr="0033795E">
        <w:t>†)</w:t>
      </w:r>
      <w:r>
        <w:t>, and serum eosinophil percent (AUC = 0.95‡)</w:t>
      </w:r>
      <w:r w:rsidRPr="0033795E">
        <w:t>.</w:t>
      </w:r>
      <w:r>
        <w:t xml:space="preserve"> However, they found no single biomarker capable of discriminating between AECOPD and stable COPD with AUC greater than 0.70, whereas our biomarker panels achieve replication AUCs ranging 0.74 – 0.84 for the same comparison. </w:t>
      </w:r>
    </w:p>
    <w:p w14:paraId="774D7799" w14:textId="77777777" w:rsidR="00FC2AF8" w:rsidRDefault="00FC2AF8" w:rsidP="00FC2AF8">
      <w:r>
        <w:t>Hurst et al. found that CRP had the best performance (AUC = 0.73) out of 36 plasma biomarkers, for discriminating between AECOPD and stable COPD</w:t>
      </w:r>
      <w:r>
        <w:fldChar w:fldCharType="begin"/>
      </w:r>
      <w:r>
        <w:instrText xml:space="preserve"> ADDIN ZOTERO_ITEM CSL_CITATION {"citationID":"1bkclgfl35","properties":{"formattedCitation":"(15)","plainCitation":"(15)"},"citationItems":[{"id":"qCdwYnJk/hSd5TgNV","uris":["http://zotero.org/users/892254/items/2SDV7CHF"],"uri":["http://zotero.org/users/892254/items/2SDV7CHF"],"itemData":{"id":"qCdwYnJk/hSd5TgNV","type":"article-journal","title":"Use of Plasma Biomarkers at Exacerbation of Chronic Obstructive Pulmonary Disease","container-title":"American Journal of Respiratory and Critical Care Medicine","page":"867-874","volume":"174","issue":"8","source":"atsjournals.org (Atypon)","abstract":"Impact: This study explores the use of measuring plasma biomarkers at exacerbation of chronic obstructive pulmonary disease (COPD), providing insight into the underlying pathogenesis of these important events.Rationale: The use of measuring C-reactive protein (CRP) to confirm exacerbation, or to assess exacerbation severity, in COPD is unclear. Furthermore, it is not known whether there may be more useful systemic biomarkers.Objective: To assess the use of plasma biomarkers in confirming exacerbation and predicting exacerbation severity.Methods: We assessed 36 biomarkers in 90 paired baseline and exacerbation plasma samples from 90 patients with COPD. The diagnosis of exacerbation fulfilled both health care use and symptom-based criteria. Biomarker concentrations were related to clinical indices of exacerbation severity. Interrelationships between biomarkers were examined to gain information on mechanisms of systemic inflammation at exacerbation of COPD.Measurements and Main Results: To confirm the diagnosis of exacerbation, the most selective biomarker was CRP. However, this was neither sufficiently sensitive nor specific alone (area under the receiver operating characteristic curve [AUC], 0.73; 95% confidence interval, 0.66–0.80). The combination of CRP with any one increased major exacerbation symptom recorded by the patient on that day (dyspnea, sputum volume, or sputum purulence) significantly increased the AUC to 0.88 (95% confidence interval, 0.82–0.93; p &lt; 0.0001). There were no significant relationships between biomarker concentrations and clinical indices of exacerbation severity. Interrelationships between biomarkers suggest that the acute-phase response is related, separately, to monocytic and lymphocytic–neutrophilic pathways.Conclusions: Plasma CRP concentration, in the presence of a major exacerbation symptom, is useful in the confirmation of COPD exacerbation. Systemic biomarkers were not helpful in predicting exacerbation severity. The acute-phase response at exacerbation was most strongly related to indices of monocyte function.","DOI":"10.1164/rccm.200604-506OC","ISSN":"1073-449X","journalAbbreviation":"Am J Respir Crit Care Med","author":[{"family":"Hurst","given":"John R."},{"family":"Donaldson","given":"Gavin C."},{"family":"Perera","given":"Wayomi R."},{"family":"Wilkinson","given":"Tom M. A."},{"family":"Bilello","given":"John A."},{"family":"Hagan","given":"Gerry W."},{"family":"Vessey","given":"Rupert S."},{"family":"Wedzicha","given":"Jadwiga A."}],"issued":{"year":2006,"month":10,"day":15},"page-first":"867","container-title-short":"Am. J. Respir. Crit. Care Med."}}],"schema":"https://github.com/citation-style-language/schema/raw/master/csl-citation.json"} </w:instrText>
      </w:r>
      <w:r>
        <w:fldChar w:fldCharType="separate"/>
      </w:r>
      <w:r w:rsidRPr="00207861">
        <w:rPr>
          <w:rFonts w:ascii="Calibri" w:hAnsi="Calibri"/>
        </w:rPr>
        <w:t>(15)</w:t>
      </w:r>
      <w:r>
        <w:fldChar w:fldCharType="end"/>
      </w:r>
      <w:r>
        <w:t xml:space="preserve">. Combining CRP with other biomarkers did not significantly increase performance, but combining CRP with an observation of at least one major clinical symptom improved performance greatly (AUC = 0.88, 95% CI 0.82 – 0.93). Given that their definition of exacerbation required at least one major symptom, this is not entirely unexpected. One of our panels (derived from the salmon module, AUC = 0.84, 95% CI 0.78 – 0.90) has comparable performance, while our other two panels perform significantly below this level. However, we believe that a diagnostic which does not </w:t>
      </w:r>
      <w:r>
        <w:lastRenderedPageBreak/>
        <w:t>require assessment of symptoms by a clinician, has different utility and potential applications.</w:t>
      </w:r>
      <w:r w:rsidRPr="00080CD2">
        <w:t xml:space="preserve"> </w:t>
      </w:r>
      <w:r>
        <w:t xml:space="preserve">Moreover, </w:t>
      </w:r>
      <w:r>
        <w:rPr>
          <w:rStyle w:val="CommentReference"/>
          <w:rFonts w:ascii="Calibri" w:eastAsia="Calibri" w:hAnsi="Calibri" w:cs="Times New Roman"/>
        </w:rPr>
        <w:commentReference w:id="29"/>
      </w:r>
      <w:r>
        <w:t>CRP alone does not track with AECOPD severity or outcome</w:t>
      </w:r>
      <w:r>
        <w:fldChar w:fldCharType="begin"/>
      </w:r>
      <w:r>
        <w:instrText xml:space="preserve"> ADDIN ZOTERO_ITEM CSL_CITATION {"citationID":"pbg7730e5","properties":{"formattedCitation":"(31)","plainCitation":"(31)"},"citationItems":[{"id":143,"uris":["http://zotero.org/users/local/QWbLI5ai/items/UBPKT6AT"],"uri":["http://zotero.org/users/local/QWbLI5ai/items/UBPKT6AT"],"itemData":{"id":143,"type":"article-journal","title":"C-reactive protein and copeptin: prognostic predictors in chronic obstructive pulmonary disease exacerbations","container-title":"Current Opinion in Pulmonary Medicine","page":"120-125","volume":"15","issue":"2","source":"PubMed","abstract":"PURPOSE OF REVIEW: Acute exacerbation of chronic obstructive pulmonary disease (COPD) is a natural event in the course of COPD and remains a major cause of morbidity and mortality associated with this disease. Clinical criteria that define an acute exacerbation are subjective and open for debate. Identifying biomarkers that would be easily measured and followed in patients with acute exacerbation of COPD seems to be highly attractive. The aim of this review is to assess the role of biomarkers, C-reactive protein (CRP) and copeptin, as prognostic predictors in COPD exacerbations.\nRECENT FINDINGS: Many pulmonary biomarkers have been extensively studied in the recent years. CRP and copeptin have gained particular interest. Recent data suggest that CRP is elevated during an acute exacerbation of COPD but CRP alone is neither sensitive nor specific in predicting clinical severity or outcome. Copeptin increases during acute exacerbation of COPD and may correlate with disease severity.\nSUMMARY: Further studies are needed to determine the role of CRP and copeptin as biomarkers that aid in diagnosis and clinical outcome in acute exacerbation of COPD.","DOI":"10.1097/MCP.0b013e3283218603","ISSN":"1531-6971","note":"PMID: 19532026","shortTitle":"C-reactive protein and copeptin","journalAbbreviation":"Curr Opin Pulm Med","language":"eng","author":[{"family":"Antonescu-Turcu","given":"Andreea L."},{"family":"Tomic","given":"Rade"}],"issued":{"date-parts":[["2009",3]]},"PMID":"19532026"}}],"schema":"https://github.com/citation-style-language/schema/raw/master/csl-citation.json"} </w:instrText>
      </w:r>
      <w:r>
        <w:fldChar w:fldCharType="separate"/>
      </w:r>
      <w:r w:rsidRPr="00255B9E">
        <w:rPr>
          <w:rFonts w:ascii="Calibri" w:hAnsi="Calibri"/>
        </w:rPr>
        <w:t>(31)</w:t>
      </w:r>
      <w:r>
        <w:fldChar w:fldCharType="end"/>
      </w:r>
      <w:r>
        <w:t>.</w:t>
      </w:r>
    </w:p>
    <w:p w14:paraId="71F22ACE" w14:textId="77777777" w:rsidR="00FC2AF8" w:rsidRDefault="00FC2AF8" w:rsidP="00FC2AF8">
      <w:pPr>
        <w:pStyle w:val="ListParagraph"/>
        <w:numPr>
          <w:ilvl w:val="0"/>
          <w:numId w:val="15"/>
        </w:numPr>
      </w:pPr>
      <w:r>
        <w:t>Lacoma et al. report on CRP (AUC = 0.53), procalcitonin (AUC = 0.52), and neopterin (AUC = 0.61) for discriminating between bacterial AECOPD and stable COPD in a large clinical cohort (217 AECOPD; 46 stable COPD). In all cases, including a clinical symptom improved performance of these single-molecule biomarkers: CRP (AUC = 0.68), procalcitonin (AUC = 0.66), and neopterin (AUC = 0.70).</w:t>
      </w:r>
    </w:p>
    <w:p w14:paraId="5C717E9F" w14:textId="6294F254" w:rsidR="00514CD2" w:rsidRDefault="00FC2AF8">
      <w:r>
        <w:t xml:space="preserve">Copeptin on the other hand has been </w:t>
      </w:r>
      <w:commentRangeStart w:id="30"/>
      <w:r>
        <w:t>reported</w:t>
      </w:r>
      <w:commentRangeEnd w:id="30"/>
      <w:r>
        <w:rPr>
          <w:rStyle w:val="CommentReference"/>
          <w:rFonts w:ascii="Calibri" w:eastAsia="Calibri" w:hAnsi="Calibri" w:cs="Times New Roman"/>
        </w:rPr>
        <w:commentReference w:id="30"/>
      </w:r>
      <w:r>
        <w:t xml:space="preserve"> as associated with disease severity and outcomes in COPD and may be more specific, at least relative to heart </w:t>
      </w:r>
      <w:commentRangeStart w:id="31"/>
      <w:r>
        <w:t>failure</w:t>
      </w:r>
      <w:commentRangeEnd w:id="31"/>
      <w:r>
        <w:rPr>
          <w:rStyle w:val="CommentReference"/>
          <w:rFonts w:ascii="Calibri" w:eastAsia="Calibri" w:hAnsi="Calibri" w:cs="Times New Roman"/>
        </w:rPr>
        <w:commentReference w:id="31"/>
      </w:r>
      <w:r>
        <w:t>.</w:t>
      </w:r>
    </w:p>
    <w:p w14:paraId="09138164" w14:textId="77777777" w:rsidR="00FC60F3" w:rsidRDefault="004F4E95">
      <w:pPr>
        <w:pStyle w:val="Heading2"/>
      </w:pPr>
      <w:r w:rsidRPr="004F4E95">
        <w:rPr>
          <w:sz w:val="20"/>
          <w:szCs w:val="20"/>
        </w:rPr>
        <w:t xml:space="preserve"> </w:t>
      </w:r>
      <w:r w:rsidRPr="004F4E95">
        <w:t>Limitation</w:t>
      </w:r>
      <w:r w:rsidR="00107848">
        <w:t>s</w:t>
      </w:r>
    </w:p>
    <w:p w14:paraId="14A672EC" w14:textId="0FB9F3F0" w:rsidR="00071E5C" w:rsidRDefault="00071E5C" w:rsidP="00071E5C">
      <w:r w:rsidRPr="00DE1F7F">
        <w:t xml:space="preserve">Given the emergency setting, patients were often treated before consent could be obtained and blood drawn. </w:t>
      </w:r>
      <w:r w:rsidR="002D2752">
        <w:t xml:space="preserve">In the Rapid Transition cohort, which was used for </w:t>
      </w:r>
      <w:r w:rsidR="00921091">
        <w:t>biom</w:t>
      </w:r>
      <w:r w:rsidR="002D2752">
        <w:t>arker selection and replication</w:t>
      </w:r>
      <w:r w:rsidR="00921091">
        <w:t>, m</w:t>
      </w:r>
      <w:r w:rsidRPr="00DE1F7F">
        <w:t xml:space="preserve">ost of AECOPD time points had received prednisone prior to blood draw. Prednisone has an important effect on </w:t>
      </w:r>
      <w:commentRangeStart w:id="32"/>
      <w:r w:rsidRPr="00DE1F7F">
        <w:t>whole blood gene expression</w:t>
      </w:r>
      <w:commentRangeEnd w:id="32"/>
      <w:r>
        <w:rPr>
          <w:rStyle w:val="CommentReference"/>
          <w:rFonts w:ascii="Calibri" w:eastAsia="Calibri" w:hAnsi="Calibri" w:cs="Times New Roman"/>
        </w:rPr>
        <w:commentReference w:id="32"/>
      </w:r>
      <w:r w:rsidR="00AE10C7">
        <w:t xml:space="preserve"> (00)</w:t>
      </w:r>
      <w:r w:rsidRPr="00DE1F7F">
        <w:t xml:space="preserve">. This is a significant confounding effect and it </w:t>
      </w:r>
      <w:r>
        <w:t xml:space="preserve">may be </w:t>
      </w:r>
      <w:r w:rsidRPr="00DE1F7F">
        <w:t xml:space="preserve">that many or all panels derived from this dataset are discriminating between prednisone status (prednisone +ve vs. prednisone -ve), instead of disease activity (AECOPD vs. convalescent). </w:t>
      </w:r>
      <w:r w:rsidR="00BC5BB6">
        <w:t>This is unlikely, however, g</w:t>
      </w:r>
      <w:r w:rsidR="00156243">
        <w:t>iven COPD gene module identification and biomarker discovery</w:t>
      </w:r>
      <w:r w:rsidR="00BC5BB6">
        <w:t xml:space="preserve"> </w:t>
      </w:r>
      <w:r w:rsidR="00156243">
        <w:t>were both carried out in a w</w:t>
      </w:r>
      <w:r w:rsidR="00BC5BB6">
        <w:t xml:space="preserve">ell-controlled, </w:t>
      </w:r>
      <w:r w:rsidR="00156243">
        <w:t>stable COPD population (ECLIPSE).</w:t>
      </w:r>
      <w:r w:rsidR="00BC5BB6">
        <w:t xml:space="preserve"> Nevertheless, w</w:t>
      </w:r>
      <w:r w:rsidR="00BC5BB6" w:rsidRPr="00DE1F7F">
        <w:t xml:space="preserve">ork is ongoing to address this </w:t>
      </w:r>
      <w:r w:rsidR="00BC5BB6">
        <w:t>possibility.</w:t>
      </w:r>
    </w:p>
    <w:p w14:paraId="661F9313" w14:textId="312E6C45" w:rsidR="00C61C12" w:rsidRPr="00884BF5" w:rsidRDefault="0087428A" w:rsidP="00354CC8">
      <w:r>
        <w:t>More importantly, t</w:t>
      </w:r>
      <w:r w:rsidR="00354CC8">
        <w:t xml:space="preserve">he </w:t>
      </w:r>
      <w:r w:rsidR="00884BF5">
        <w:t>p</w:t>
      </w:r>
      <w:r w:rsidR="00D64238">
        <w:t xml:space="preserve">erformance </w:t>
      </w:r>
      <w:r w:rsidR="00884BF5">
        <w:t xml:space="preserve">of all 3 signatures </w:t>
      </w:r>
      <w:r w:rsidR="00D64238">
        <w:t>needs to be assessed prospectively, preferably in a longitudinal cohort</w:t>
      </w:r>
      <w:r w:rsidR="00354CC8">
        <w:t xml:space="preserve"> to determine clinical utility. </w:t>
      </w:r>
      <w:r w:rsidR="00653917">
        <w:t xml:space="preserve">The ability of the signatures to identify imminent AECOPD in particular needs to be confirmed in independent samples. </w:t>
      </w:r>
      <w:r w:rsidR="00354CC8">
        <w:t xml:space="preserve">Specificity of the signatures also needs to be assessed. </w:t>
      </w:r>
      <w:r w:rsidR="00354CC8" w:rsidRPr="007743BD">
        <w:rPr>
          <w:highlight w:val="yellow"/>
        </w:rPr>
        <w:t>Gene expression signatures derived from peripheral blood gene expression</w:t>
      </w:r>
      <w:r w:rsidR="00354CC8">
        <w:t xml:space="preserve"> are likely to reflect immune processes </w:t>
      </w:r>
      <w:r w:rsidR="00354CC8" w:rsidRPr="007743BD">
        <w:rPr>
          <w:highlight w:val="yellow"/>
        </w:rPr>
        <w:t>and may</w:t>
      </w:r>
      <w:bookmarkStart w:id="33" w:name="_GoBack"/>
      <w:bookmarkEnd w:id="33"/>
      <w:r w:rsidR="00354CC8">
        <w:t xml:space="preserve"> not be very specific. </w:t>
      </w:r>
      <w:r w:rsidR="00323A0E">
        <w:t>I</w:t>
      </w:r>
      <w:r w:rsidR="00354CC8">
        <w:t>n an ED setting</w:t>
      </w:r>
      <w:r w:rsidR="00323A0E">
        <w:t xml:space="preserve"> for example</w:t>
      </w:r>
      <w:r w:rsidR="00354CC8">
        <w:t xml:space="preserve">, </w:t>
      </w:r>
      <w:r w:rsidR="00323A0E">
        <w:rPr>
          <w:color w:val="000000"/>
          <w:shd w:val="clear" w:color="auto" w:fill="FFFFFF"/>
          <w:lang w:val="en-CA"/>
        </w:rPr>
        <w:t>AECOPD s</w:t>
      </w:r>
      <w:r w:rsidR="00323A0E" w:rsidRPr="00A80F31">
        <w:rPr>
          <w:color w:val="000000"/>
          <w:shd w:val="clear" w:color="auto" w:fill="FFFFFF"/>
          <w:lang w:val="en-CA"/>
        </w:rPr>
        <w:t xml:space="preserve">ymptoms </w:t>
      </w:r>
      <w:r w:rsidR="00323A0E">
        <w:rPr>
          <w:color w:val="000000"/>
          <w:shd w:val="clear" w:color="auto" w:fill="FFFFFF"/>
          <w:lang w:val="en-CA"/>
        </w:rPr>
        <w:t>tend to be non-specific and</w:t>
      </w:r>
      <w:r w:rsidR="00323A0E" w:rsidRPr="00A80F31">
        <w:rPr>
          <w:color w:val="000000"/>
          <w:shd w:val="clear" w:color="auto" w:fill="FFFFFF"/>
          <w:lang w:val="en-CA"/>
        </w:rPr>
        <w:t xml:space="preserve"> overlap with those of </w:t>
      </w:r>
      <w:r w:rsidR="00323A0E">
        <w:rPr>
          <w:color w:val="000000"/>
          <w:shd w:val="clear" w:color="auto" w:fill="FFFFFF"/>
          <w:lang w:val="en-CA"/>
        </w:rPr>
        <w:t>myocardial infarction</w:t>
      </w:r>
      <w:r w:rsidR="00323A0E" w:rsidRPr="00A80F31">
        <w:rPr>
          <w:color w:val="000000"/>
          <w:shd w:val="clear" w:color="auto" w:fill="FFFFFF"/>
          <w:lang w:val="en-CA"/>
        </w:rPr>
        <w:t>, pulmonary e</w:t>
      </w:r>
      <w:r w:rsidR="00323A0E">
        <w:rPr>
          <w:color w:val="000000"/>
          <w:shd w:val="clear" w:color="auto" w:fill="FFFFFF"/>
          <w:lang w:val="en-CA"/>
        </w:rPr>
        <w:t>mbolism, and congestive heart failure.</w:t>
      </w:r>
      <w:r w:rsidR="00323A0E">
        <w:t xml:space="preserve"> W</w:t>
      </w:r>
      <w:r w:rsidR="00354CC8">
        <w:t xml:space="preserve">e </w:t>
      </w:r>
      <w:r w:rsidR="00354CC8">
        <w:lastRenderedPageBreak/>
        <w:t>would like to be able to correctly identify them as non-AECOPD</w:t>
      </w:r>
      <w:r w:rsidR="00323A0E">
        <w:t xml:space="preserve">, but </w:t>
      </w:r>
      <w:commentRangeStart w:id="34"/>
      <w:r w:rsidR="00323A0E">
        <w:t>we have not yet assessed whether the signatures are able to do so</w:t>
      </w:r>
      <w:r w:rsidR="00354CC8">
        <w:t>.</w:t>
      </w:r>
      <w:commentRangeEnd w:id="34"/>
      <w:r w:rsidR="007F10D1">
        <w:rPr>
          <w:rStyle w:val="CommentReference"/>
          <w:rFonts w:ascii="Calibri" w:eastAsia="Calibri" w:hAnsi="Calibri" w:cs="Times New Roman"/>
        </w:rPr>
        <w:commentReference w:id="34"/>
      </w:r>
    </w:p>
    <w:p w14:paraId="645A2E58" w14:textId="77777777" w:rsidR="00A07B8F" w:rsidRDefault="00A07B8F" w:rsidP="00DC048C">
      <w:pPr>
        <w:pStyle w:val="Heading2"/>
      </w:pPr>
      <w:r>
        <w:t>Conclusion</w:t>
      </w:r>
    </w:p>
    <w:p w14:paraId="7EB7B9E7" w14:textId="50741085" w:rsidR="002F65A6" w:rsidRDefault="00FF6310" w:rsidP="002F65A6">
      <w:r>
        <w:t>W</w:t>
      </w:r>
      <w:r w:rsidR="007323A7">
        <w:t xml:space="preserve">e identified </w:t>
      </w:r>
      <w:r w:rsidR="004F212D">
        <w:t>23</w:t>
      </w:r>
      <w:r w:rsidR="007323A7">
        <w:t xml:space="preserve"> distinct COPD-specific co-expressed gene modules. The genes o</w:t>
      </w:r>
      <w:r w:rsidR="00BF77A4">
        <w:t>f each module</w:t>
      </w:r>
      <w:r w:rsidR="007323A7">
        <w:t xml:space="preserve"> were used to carry out biomarker discovery to identify </w:t>
      </w:r>
      <w:r w:rsidR="004F212D">
        <w:t>biomarker panels of disease activity</w:t>
      </w:r>
      <w:r w:rsidR="007323A7">
        <w:t>, and panels with good performance in cr</w:t>
      </w:r>
      <w:r w:rsidR="00BF77A4">
        <w:t>oss-validation were back-tested</w:t>
      </w:r>
      <w:r w:rsidR="007323A7">
        <w:t xml:space="preserve"> in an off-the-shelf manner, to the diagnostic or </w:t>
      </w:r>
      <w:r w:rsidR="00BF77A4">
        <w:t xml:space="preserve">prognostic </w:t>
      </w:r>
      <w:r w:rsidR="007323A7">
        <w:t>quest</w:t>
      </w:r>
      <w:r w:rsidR="00BF77A4">
        <w:t>ion, respectively. Three biomarker panels</w:t>
      </w:r>
      <w:r w:rsidR="007323A7">
        <w:t xml:space="preserve"> derived from the </w:t>
      </w:r>
      <w:r w:rsidR="004F212D">
        <w:t>salmon</w:t>
      </w:r>
      <w:r w:rsidR="007323A7">
        <w:t xml:space="preserve">, </w:t>
      </w:r>
      <w:r w:rsidR="004F212D">
        <w:t>green</w:t>
      </w:r>
      <w:r w:rsidR="007323A7">
        <w:t xml:space="preserve">, and </w:t>
      </w:r>
      <w:r w:rsidR="00A305FF">
        <w:t>light-cyan</w:t>
      </w:r>
      <w:r w:rsidR="007323A7">
        <w:t xml:space="preserve"> co-expressed </w:t>
      </w:r>
      <w:r w:rsidR="002F65A6">
        <w:t xml:space="preserve">COPD </w:t>
      </w:r>
      <w:r w:rsidR="007323A7">
        <w:t xml:space="preserve">gene modules, exhibited the desired characteristics and may represent modifiable biomarkers </w:t>
      </w:r>
      <w:r w:rsidR="002F65A6">
        <w:t>of disease activity. Annotation of these modules provides biological plausibility. The green module was enriched in genes related to the unfolded protein response and endoplasmic reticulum stress, a hallmark of viral infection</w:t>
      </w:r>
      <w:r w:rsidR="002F65A6">
        <w:fldChar w:fldCharType="begin"/>
      </w:r>
      <w:r w:rsidR="002F65A6">
        <w:instrText xml:space="preserve"> ADDIN ZOTERO_ITEM CSL_CITATION {"citationID":"2l6m1u6rs2","properties":{"formattedCitation":"(33)","plainCitation":"(33)"},"citationItems":[{"id":145,"uris":["http://zotero.org/users/local/QWbLI5ai/items/KM6CZM4A"],"uri":["http://zotero.org/users/local/QWbLI5ai/items/KM6CZM4A"],"itemData":{"id":145,"type":"article-journal","title":"Viruses, endoplasmic reticulum stress, and interferon responses","container-title":"Cell Death and Differentiation","page":"393-403","volume":"13","issue":"3","source":"PubMed","abstract":"Viral infection induces endoplasmic reticulum (ER) stress and interferon responses. While viral double-stranded RNA intermediates trigger interferon responses, viral polypeptides synthesized during infection stimulate ER stress. Among the interferon-regulated gene products, the double-stranded RNA-dependent protein kinase (PKR) plays a key role in limiting viral replication. Thus, to establish productive infection, viruses have evolved mechanisms to overcome the deleterious effects of PKR. It has become clear that ER stress causes translational attenuation and transcriptional upregulation of genes encoding proteins that facilitate folding or degradation of proteins. Notably, prolonged ER stress triggers apoptosis. Therefore, viruses are confronted with the consequences of ER stress. Emerging evidence suggests that viruses not only interfere with the interferon system involving PKR but also manipulate the programs emanating from the ER in a complex way, which may facilitate viral replication or pathogenesis. This review highlights recent progress in these areas.","DOI":"10.1038/sj.cdd.4401833","ISSN":"1350-9047","note":"PMID: 16397582","journalAbbreviation":"Cell Death Differ.","language":"eng","author":[{"family":"He","given":"B."}],"issued":{"date-parts":[["2006",3]]},"PMID":"16397582"}}],"schema":"https://github.com/citation-style-language/schema/raw/master/csl-citation.json"} </w:instrText>
      </w:r>
      <w:r w:rsidR="002F65A6">
        <w:fldChar w:fldCharType="separate"/>
      </w:r>
      <w:r w:rsidR="002F65A6" w:rsidRPr="00786992">
        <w:rPr>
          <w:rFonts w:ascii="Calibri" w:hAnsi="Calibri"/>
        </w:rPr>
        <w:t>(33)</w:t>
      </w:r>
      <w:r w:rsidR="002F65A6">
        <w:fldChar w:fldCharType="end"/>
      </w:r>
      <w:r w:rsidR="002F65A6">
        <w:t>, while the salmon and light-cyan modules reflected T-cell recruitment, activation, and differentiation. The salmon module was additionally enriched in NK cell-specific genes. Taken together, modules that yielded biomarker panels of disease activity appear consistent with response to viral infection, which are present in 22-64% of AECOPD</w:t>
      </w:r>
      <w:r w:rsidR="002F65A6">
        <w:fldChar w:fldCharType="begin"/>
      </w:r>
      <w:r w:rsidR="002F65A6">
        <w:instrText xml:space="preserve"> ADDIN ZOTERO_ITEM CSL_CITATION {"citationID":"2nk22o9dhj","properties":{"formattedCitation":"(34)","plainCitation":"(34)"},"citationItems":[{"id":149,"uris":["http://zotero.org/users/local/QWbLI5ai/items/P9K95FTN"],"uri":["http://zotero.org/users/local/QWbLI5ai/items/P9K95FTN"],"itemData":{"id":149,"type":"article-journal","title":"The role of viral infections in exacerbations of chronic obstructive pulmonary disease and asthma","container-title":"Therapeutic Advances in Respiratory Disease","page":"158-174","volume":"10","issue":"2","source":"PubMed","abstract":"Asthma and chronic obstructive pulmonary disease (COPD) are major causes of global morbidity and mortality worldwide. The clinical course of both asthma and COPD are punctuated by the occurrence of exacerbations, acute events characterized by increased symptoms and airflow obstruction. Exacerbations contribute most of the morbidity, mortality and excess healthcare costs associated with both asthma and COPD. COPD and asthma exacerbations are frequently associated with respiratory virus infections and this has led to an intense research focus into the mechanisms of virus-induced exacerbations over the past decade. Current therapies are effective in reducing chronic symptoms but are less effective in preventing exacerbations, particularly in COPD. Understanding the mechanisms of virus-induced exacerbation will lead to the development of new targeted therapies that can reduce the burden of virus-induced exacerbations. In this review we discuss current knowledge of virus-induced exacerbations of asthma and COPD with a particular focus on mechanisms, human studies, virus-bacteria interactions and therapeutic advances.","DOI":"10.1177/1753465815618113","ISSN":"1753-4666","note":"PMID: 26611907","journalAbbreviation":"Ther Adv Respir Dis","language":"eng","author":[{"family":"Hewitt","given":"Richard"},{"family":"Farne","given":"Hugo"},{"family":"Ritchie","given":"Andrew"},{"family":"Luke","given":"Emma"},{"family":"Johnston","given":"Sebastian L."},{"family":"Mallia","given":"Patrick"}],"issued":{"date-parts":[["2016",4]]},"PMID":"26611907"}}],"schema":"https://github.com/citation-style-language/schema/raw/master/csl-citation.json"} </w:instrText>
      </w:r>
      <w:r w:rsidR="002F65A6">
        <w:fldChar w:fldCharType="separate"/>
      </w:r>
      <w:r w:rsidR="002F65A6" w:rsidRPr="00786992">
        <w:rPr>
          <w:rFonts w:ascii="Calibri" w:hAnsi="Calibri"/>
        </w:rPr>
        <w:t>(34)</w:t>
      </w:r>
      <w:r w:rsidR="002F65A6">
        <w:fldChar w:fldCharType="end"/>
      </w:r>
      <w:r w:rsidR="002F65A6">
        <w:t xml:space="preserve"> and have been causally linked to triggering AECOPD</w:t>
      </w:r>
      <w:r w:rsidR="002F65A6">
        <w:fldChar w:fldCharType="begin"/>
      </w:r>
      <w:r w:rsidR="002F65A6">
        <w:instrText xml:space="preserve"> ADDIN ZOTERO_ITEM CSL_CITATION {"citationID":"26kii6htvu","properties":{"formattedCitation":"(35)","plainCitation":"(35)"},"citationItems":[{"id":147,"uris":["http://zotero.org/users/local/QWbLI5ai/items/VTJEQG6P"],"uri":["http://zotero.org/users/local/QWbLI5ai/items/VTJEQG6P"],"itemData":{"id":147,"type":"article-journal","title":"A community-based, time-matched, case-control study of respiratory viruses and exacerbations of COPD","container-title":"Respiratory Medicine","page":"2472-2481","volume":"101","issue":"12","source":"PubMed","abstract":"Respiratory viruses are associated with severe acute exacerbations of chronic obstructive pulmonary disease (COPD) in hospitalized patients. However, exacerbations are increasingly managed in the community, where the role of viruses is unclear. In community exacerbations, the causal association between viruses and exacerbation maybe confounded by random fluctuations in the prevalence of circulating respiratory viruses. Therefore, to determine whether viral respiratory tract infections are causally associated with community exacerbations, a time-matched case-control study was performed. Ninety-two subjects (mean age 72 yrs), with moderate to severe COPD, (mean FEV(1) 40% predicted), were enrolled. Nasopharyngeal swabs for viral multiplex polymerase chain reaction and atypical pneumonia serology were obtained at exacerbation onset. Control samples were collected in synchrony, from a randomly selected stable patient drawn from the same cohort. In 99 weeks of surveillance, there were 148 exacerbations. Odds of viral isolation were 11 times higher in cases, than their time-matched controls (34 discordant case-control pairs; in 31 pairs only the case had virus and in three pairs only control). Picornavirus (26), influenza A (3), parainfluenza 1,2,3 (2), respiratory syncytial virus (1), and adenovirus (1) were detected in cases while adenovirus (1) and picornavirus (2) were detected in controls. In patients with moderate or severe COPD the presence of a virus in upper airway secretions is strongly associated with the development of COPD exacerbations. These data support the causative role of viruses in triggering COPD exacerbations in the community.","DOI":"10.1016/j.rmed.2007.07.015","ISSN":"0954-6111","note":"PMID: 17822891","journalAbbreviation":"Respir Med","language":"eng","author":[{"family":"Hutchinson","given":"Anastasia F."},{"family":"Ghimire","given":"Anil K."},{"family":"Thompson","given":"Michelle A."},{"family":"Black","given":"Jim F."},{"family":"Brand","given":"Caroline A."},{"family":"Lowe","given":"Adrian J."},{"family":"Smallwood","given":"David M."},{"family":"Vlahos","given":"Ross"},{"family":"Bozinovski","given":"Steven"},{"family":"Brown","given":"Graham V."},{"family":"Anderson","given":"Gary P."},{"family":"Irving","given":"Louis B."}],"issued":{"date-parts":[["2007",12]]},"PMID":"17822891"}}],"schema":"https://github.com/citation-style-language/schema/raw/master/csl-citation.json"} </w:instrText>
      </w:r>
      <w:r w:rsidR="002F65A6">
        <w:fldChar w:fldCharType="separate"/>
      </w:r>
      <w:r w:rsidR="002F65A6" w:rsidRPr="00786992">
        <w:rPr>
          <w:rFonts w:ascii="Calibri" w:hAnsi="Calibri"/>
        </w:rPr>
        <w:t>(35)</w:t>
      </w:r>
      <w:r w:rsidR="002F65A6">
        <w:fldChar w:fldCharType="end"/>
      </w:r>
      <w:r w:rsidR="002F65A6">
        <w:t xml:space="preserve">. </w:t>
      </w:r>
      <w:r w:rsidR="007323A7">
        <w:t>These three panels should now be evaluated prospectively in a longitudinal cohort to confirm their ability to track (and anticipate) disease activity and meaningfully impact the care of COPD patients.</w:t>
      </w:r>
    </w:p>
    <w:p w14:paraId="186D8758" w14:textId="6963D225" w:rsidR="00AB6D8A" w:rsidRDefault="00AB6D8A" w:rsidP="002F65A6">
      <w:r>
        <w:br w:type="page"/>
      </w:r>
    </w:p>
    <w:p w14:paraId="31461F52" w14:textId="77777777" w:rsidR="00A07B8F" w:rsidRDefault="00A07B8F" w:rsidP="009F7CDB">
      <w:pPr>
        <w:pStyle w:val="Heading1"/>
      </w:pPr>
      <w:r>
        <w:lastRenderedPageBreak/>
        <w:t>Acknowledgments</w:t>
      </w:r>
    </w:p>
    <w:p w14:paraId="6A2C5D2F" w14:textId="1C657307" w:rsidR="00A07B8F" w:rsidRDefault="00F47288" w:rsidP="009F7CDB">
      <w:r>
        <w:t>Research coordinators, study nurses, study participants, etc.</w:t>
      </w:r>
    </w:p>
    <w:p w14:paraId="03DE83C1" w14:textId="0A713D1D" w:rsidR="00AB6D8A" w:rsidRDefault="00AB6D8A" w:rsidP="00AB6D8A">
      <w:pPr>
        <w:spacing w:line="276" w:lineRule="auto"/>
      </w:pPr>
      <w:r>
        <w:br w:type="page"/>
      </w:r>
    </w:p>
    <w:p w14:paraId="42FFD075" w14:textId="77777777" w:rsidR="00C63D68" w:rsidRDefault="00C63D68" w:rsidP="009F7CDB">
      <w:pPr>
        <w:pStyle w:val="Heading1"/>
      </w:pPr>
      <w:r>
        <w:lastRenderedPageBreak/>
        <w:t>References</w:t>
      </w:r>
    </w:p>
    <w:p w14:paraId="6AECE00F" w14:textId="77777777" w:rsidR="00786992" w:rsidRPr="00786992" w:rsidRDefault="0086508A" w:rsidP="00786992">
      <w:pPr>
        <w:pStyle w:val="Bibliography"/>
        <w:rPr>
          <w:rFonts w:ascii="Calibri" w:hAnsi="Calibri"/>
        </w:rPr>
      </w:pPr>
      <w:r>
        <w:fldChar w:fldCharType="begin"/>
      </w:r>
      <w:r w:rsidR="00F824A7">
        <w:rPr>
          <w:lang w:val="fr-CA"/>
        </w:rPr>
        <w:instrText xml:space="preserve"> ADDIN ZOTERO_BIBL {"custom":[]} CSL_BIBLIOGRAPHY </w:instrText>
      </w:r>
      <w:r>
        <w:fldChar w:fldCharType="separate"/>
      </w:r>
      <w:r w:rsidR="00786992" w:rsidRPr="00786992">
        <w:rPr>
          <w:rFonts w:ascii="Calibri" w:hAnsi="Calibri"/>
        </w:rPr>
        <w:t>1.</w:t>
      </w:r>
      <w:r w:rsidR="00786992" w:rsidRPr="00786992">
        <w:rPr>
          <w:rFonts w:ascii="Calibri" w:hAnsi="Calibri"/>
        </w:rPr>
        <w:tab/>
        <w:t xml:space="preserve">Vos T, Flaxman AD, Naghavi M, Lozano R, Michaud C, Ezzati M, Shibuya K, Salomon JA, Abdalla S, Aboyans V, Abraham J, Ackerman I, Aggarwal R, Ahn SY, Ali MK, AlMazroa MA, Alvarado M, Anderson HR, Anderson LM, Andrews KG, Atkinson C, Baddour LM, Bahalim AN, Barker-Collo S, Barrero LH, Bartels DH, Basáñez M-G, Baxter A, Bell ML, </w:t>
      </w:r>
      <w:r w:rsidR="00786992" w:rsidRPr="00786992">
        <w:rPr>
          <w:rFonts w:ascii="Calibri" w:hAnsi="Calibri"/>
          <w:i/>
          <w:iCs/>
        </w:rPr>
        <w:t>et al.</w:t>
      </w:r>
      <w:r w:rsidR="00786992" w:rsidRPr="00786992">
        <w:rPr>
          <w:rFonts w:ascii="Calibri" w:hAnsi="Calibri"/>
        </w:rPr>
        <w:t xml:space="preserve"> Years lived with disability (YLDs) for 1160 sequelae of 289 diseases and injuries 1990–2010: a systematic analysis for the Global Burden of Disease Study 2010. </w:t>
      </w:r>
      <w:r w:rsidR="00786992" w:rsidRPr="00786992">
        <w:rPr>
          <w:rFonts w:ascii="Calibri" w:hAnsi="Calibri"/>
          <w:i/>
          <w:iCs/>
        </w:rPr>
        <w:t>The Lancet</w:t>
      </w:r>
      <w:r w:rsidR="00786992" w:rsidRPr="00786992">
        <w:rPr>
          <w:rFonts w:ascii="Calibri" w:hAnsi="Calibri"/>
        </w:rPr>
        <w:t xml:space="preserve"> 2012;380:2163–2196.</w:t>
      </w:r>
    </w:p>
    <w:p w14:paraId="1C5C8B33" w14:textId="77777777" w:rsidR="00786992" w:rsidRPr="00786992" w:rsidRDefault="00786992" w:rsidP="00786992">
      <w:pPr>
        <w:pStyle w:val="Bibliography"/>
        <w:rPr>
          <w:rFonts w:ascii="Calibri" w:hAnsi="Calibri"/>
        </w:rPr>
      </w:pPr>
      <w:r w:rsidRPr="00786992">
        <w:rPr>
          <w:rFonts w:ascii="Calibri" w:hAnsi="Calibri"/>
        </w:rPr>
        <w:t>2.</w:t>
      </w:r>
      <w:r w:rsidRPr="00786992">
        <w:rPr>
          <w:rFonts w:ascii="Calibri" w:hAnsi="Calibri"/>
        </w:rPr>
        <w:tab/>
        <w:t xml:space="preserve">GBD 2013 Mortality and Causes of Death Collaborators. Global, regional, and national age-sex specific all-cause and cause-specific mortality for 240 causes of death, 1990-2013: a systematic analysis for the Global Burden of Disease Study 2013. </w:t>
      </w:r>
      <w:r w:rsidRPr="00786992">
        <w:rPr>
          <w:rFonts w:ascii="Calibri" w:hAnsi="Calibri"/>
          <w:i/>
          <w:iCs/>
        </w:rPr>
        <w:t>Lancet Lond Engl</w:t>
      </w:r>
      <w:r w:rsidRPr="00786992">
        <w:rPr>
          <w:rFonts w:ascii="Calibri" w:hAnsi="Calibri"/>
        </w:rPr>
        <w:t xml:space="preserve"> 2015;385:117–171.</w:t>
      </w:r>
    </w:p>
    <w:p w14:paraId="2554DECC" w14:textId="77777777" w:rsidR="00786992" w:rsidRPr="00786992" w:rsidRDefault="00786992" w:rsidP="00786992">
      <w:pPr>
        <w:pStyle w:val="Bibliography"/>
        <w:rPr>
          <w:rFonts w:ascii="Calibri" w:hAnsi="Calibri"/>
        </w:rPr>
      </w:pPr>
      <w:r w:rsidRPr="00786992">
        <w:rPr>
          <w:rFonts w:ascii="Calibri" w:hAnsi="Calibri"/>
        </w:rPr>
        <w:t>3.</w:t>
      </w:r>
      <w:r w:rsidRPr="00786992">
        <w:rPr>
          <w:rFonts w:ascii="Calibri" w:hAnsi="Calibri"/>
        </w:rPr>
        <w:tab/>
        <w:t xml:space="preserve">Anzueto A, Sethi S, Martinez FJ. Exacerbations of Chronic Obstructive Pulmonary Disease. </w:t>
      </w:r>
      <w:r w:rsidRPr="00786992">
        <w:rPr>
          <w:rFonts w:ascii="Calibri" w:hAnsi="Calibri"/>
          <w:i/>
          <w:iCs/>
        </w:rPr>
        <w:t>Proc Am Thorac Soc</w:t>
      </w:r>
      <w:r w:rsidRPr="00786992">
        <w:rPr>
          <w:rFonts w:ascii="Calibri" w:hAnsi="Calibri"/>
        </w:rPr>
        <w:t xml:space="preserve"> 2007;4:554–564.</w:t>
      </w:r>
    </w:p>
    <w:p w14:paraId="43F40596" w14:textId="77777777" w:rsidR="00786992" w:rsidRPr="00786992" w:rsidRDefault="00786992" w:rsidP="00786992">
      <w:pPr>
        <w:pStyle w:val="Bibliography"/>
        <w:rPr>
          <w:rFonts w:ascii="Calibri" w:hAnsi="Calibri"/>
        </w:rPr>
      </w:pPr>
      <w:r w:rsidRPr="00786992">
        <w:rPr>
          <w:rFonts w:ascii="Calibri" w:hAnsi="Calibri"/>
        </w:rPr>
        <w:t>4.</w:t>
      </w:r>
      <w:r w:rsidRPr="00786992">
        <w:rPr>
          <w:rFonts w:ascii="Calibri" w:hAnsi="Calibri"/>
        </w:rPr>
        <w:tab/>
        <w:t xml:space="preserve">Anzueto A. Impact of exacerbations on COPD. </w:t>
      </w:r>
      <w:r w:rsidRPr="00786992">
        <w:rPr>
          <w:rFonts w:ascii="Calibri" w:hAnsi="Calibri"/>
          <w:i/>
          <w:iCs/>
        </w:rPr>
        <w:t>Eur Respir Rev</w:t>
      </w:r>
      <w:r w:rsidRPr="00786992">
        <w:rPr>
          <w:rFonts w:ascii="Calibri" w:hAnsi="Calibri"/>
        </w:rPr>
        <w:t xml:space="preserve"> 2010;19:113–118.</w:t>
      </w:r>
    </w:p>
    <w:p w14:paraId="03871E4B" w14:textId="77777777" w:rsidR="00786992" w:rsidRPr="00786992" w:rsidRDefault="00786992" w:rsidP="00786992">
      <w:pPr>
        <w:pStyle w:val="Bibliography"/>
        <w:rPr>
          <w:rFonts w:ascii="Calibri" w:hAnsi="Calibri"/>
        </w:rPr>
      </w:pPr>
      <w:r w:rsidRPr="00786992">
        <w:rPr>
          <w:rFonts w:ascii="Calibri" w:hAnsi="Calibri"/>
        </w:rPr>
        <w:t>5.</w:t>
      </w:r>
      <w:r w:rsidRPr="00786992">
        <w:rPr>
          <w:rFonts w:ascii="Calibri" w:hAnsi="Calibri"/>
        </w:rPr>
        <w:tab/>
        <w:t xml:space="preserve">Rabe KF, Hurd S, Anzueto A, Barnes PJ, Buist SA, Calverley P, Fukuchi Y, Jenkins C, Rodriguez-Roisin R, van Weel C, Zielinski J. Global Strategy for the Diagnosis, Management, and Prevention of Chronic Obstructive Pulmonary Disease. </w:t>
      </w:r>
      <w:r w:rsidRPr="00786992">
        <w:rPr>
          <w:rFonts w:ascii="Calibri" w:hAnsi="Calibri"/>
          <w:i/>
          <w:iCs/>
        </w:rPr>
        <w:t>Am J Respir Crit Care Med</w:t>
      </w:r>
      <w:r w:rsidRPr="00786992">
        <w:rPr>
          <w:rFonts w:ascii="Calibri" w:hAnsi="Calibri"/>
        </w:rPr>
        <w:t xml:space="preserve"> 2007;176:532–555.</w:t>
      </w:r>
    </w:p>
    <w:p w14:paraId="71A1CBB4" w14:textId="77777777" w:rsidR="00786992" w:rsidRPr="00786992" w:rsidRDefault="00786992" w:rsidP="00786992">
      <w:pPr>
        <w:pStyle w:val="Bibliography"/>
        <w:rPr>
          <w:rFonts w:ascii="Calibri" w:hAnsi="Calibri"/>
        </w:rPr>
      </w:pPr>
      <w:r w:rsidRPr="00786992">
        <w:rPr>
          <w:rFonts w:ascii="Calibri" w:hAnsi="Calibri"/>
        </w:rPr>
        <w:t>6.</w:t>
      </w:r>
      <w:r w:rsidRPr="00786992">
        <w:rPr>
          <w:rFonts w:ascii="Calibri" w:hAnsi="Calibri"/>
        </w:rPr>
        <w:tab/>
        <w:t xml:space="preserve">Mannino DM, Buist AS. Global burden of COPD: risk factors, prevalence, and future trends. </w:t>
      </w:r>
      <w:r w:rsidRPr="00786992">
        <w:rPr>
          <w:rFonts w:ascii="Calibri" w:hAnsi="Calibri"/>
          <w:i/>
          <w:iCs/>
        </w:rPr>
        <w:t>The Lancet</w:t>
      </w:r>
      <w:r w:rsidRPr="00786992">
        <w:rPr>
          <w:rFonts w:ascii="Calibri" w:hAnsi="Calibri"/>
        </w:rPr>
        <w:t xml:space="preserve"> 2007;370:765–773.</w:t>
      </w:r>
    </w:p>
    <w:p w14:paraId="6710BBE3" w14:textId="77777777" w:rsidR="00786992" w:rsidRPr="00786992" w:rsidRDefault="00786992" w:rsidP="00786992">
      <w:pPr>
        <w:pStyle w:val="Bibliography"/>
        <w:rPr>
          <w:rFonts w:ascii="Calibri" w:hAnsi="Calibri"/>
        </w:rPr>
      </w:pPr>
      <w:r w:rsidRPr="00786992">
        <w:rPr>
          <w:rFonts w:ascii="Calibri" w:hAnsi="Calibri"/>
        </w:rPr>
        <w:t>7.</w:t>
      </w:r>
      <w:r w:rsidRPr="00786992">
        <w:rPr>
          <w:rFonts w:ascii="Calibri" w:hAnsi="Calibri"/>
        </w:rPr>
        <w:tab/>
        <w:t xml:space="preserve">López-Campos JL, Tan W, Soriano JB. Global burden of COPD: Global burden of COPD. </w:t>
      </w:r>
      <w:r w:rsidRPr="00786992">
        <w:rPr>
          <w:rFonts w:ascii="Calibri" w:hAnsi="Calibri"/>
          <w:i/>
          <w:iCs/>
        </w:rPr>
        <w:t>Respirology</w:t>
      </w:r>
      <w:r w:rsidRPr="00786992">
        <w:rPr>
          <w:rFonts w:ascii="Calibri" w:hAnsi="Calibri"/>
        </w:rPr>
        <w:t xml:space="preserve"> 2016;21:14–23.</w:t>
      </w:r>
    </w:p>
    <w:p w14:paraId="0804EB47" w14:textId="77777777" w:rsidR="00786992" w:rsidRPr="00786992" w:rsidRDefault="00786992" w:rsidP="00786992">
      <w:pPr>
        <w:pStyle w:val="Bibliography"/>
        <w:rPr>
          <w:rFonts w:ascii="Calibri" w:hAnsi="Calibri"/>
        </w:rPr>
      </w:pPr>
      <w:r w:rsidRPr="00786992">
        <w:rPr>
          <w:rFonts w:ascii="Calibri" w:hAnsi="Calibri"/>
        </w:rPr>
        <w:t>8.</w:t>
      </w:r>
      <w:r w:rsidRPr="00786992">
        <w:rPr>
          <w:rFonts w:ascii="Calibri" w:hAnsi="Calibri"/>
        </w:rPr>
        <w:tab/>
        <w:t xml:space="preserve">Koutsokera A, Stolz D, Loukides S, Kostikas K. Systemic biomarkers in exacerbations of copd: The evolving clinical challenge. </w:t>
      </w:r>
      <w:r w:rsidRPr="00786992">
        <w:rPr>
          <w:rFonts w:ascii="Calibri" w:hAnsi="Calibri"/>
          <w:i/>
          <w:iCs/>
        </w:rPr>
        <w:t>Chest</w:t>
      </w:r>
      <w:r w:rsidRPr="00786992">
        <w:rPr>
          <w:rFonts w:ascii="Calibri" w:hAnsi="Calibri"/>
        </w:rPr>
        <w:t xml:space="preserve"> 2012;141:396–405.</w:t>
      </w:r>
    </w:p>
    <w:p w14:paraId="3FC2C747" w14:textId="77777777" w:rsidR="00786992" w:rsidRPr="00786992" w:rsidRDefault="00786992" w:rsidP="00786992">
      <w:pPr>
        <w:pStyle w:val="Bibliography"/>
        <w:rPr>
          <w:rFonts w:ascii="Calibri" w:hAnsi="Calibri"/>
        </w:rPr>
      </w:pPr>
      <w:r w:rsidRPr="00786992">
        <w:rPr>
          <w:rFonts w:ascii="Calibri" w:hAnsi="Calibri"/>
        </w:rPr>
        <w:lastRenderedPageBreak/>
        <w:t>9.</w:t>
      </w:r>
      <w:r w:rsidRPr="00786992">
        <w:rPr>
          <w:rFonts w:ascii="Calibri" w:hAnsi="Calibri"/>
        </w:rPr>
        <w:tab/>
        <w:t xml:space="preserve">Gompertz S, Bayley DL, Hill SL, Stockley RA. Relationship between airway inflammation and the frequency of exacerbations in patients with smoking related COPD. </w:t>
      </w:r>
      <w:r w:rsidRPr="00786992">
        <w:rPr>
          <w:rFonts w:ascii="Calibri" w:hAnsi="Calibri"/>
          <w:i/>
          <w:iCs/>
        </w:rPr>
        <w:t>Thorax</w:t>
      </w:r>
      <w:r w:rsidRPr="00786992">
        <w:rPr>
          <w:rFonts w:ascii="Calibri" w:hAnsi="Calibri"/>
        </w:rPr>
        <w:t xml:space="preserve"> 2001;56:36–41.</w:t>
      </w:r>
    </w:p>
    <w:p w14:paraId="2E63C962" w14:textId="77777777" w:rsidR="00786992" w:rsidRPr="00786992" w:rsidRDefault="00786992" w:rsidP="00786992">
      <w:pPr>
        <w:pStyle w:val="Bibliography"/>
        <w:rPr>
          <w:rFonts w:ascii="Calibri" w:hAnsi="Calibri"/>
        </w:rPr>
      </w:pPr>
      <w:r w:rsidRPr="00786992">
        <w:rPr>
          <w:rFonts w:ascii="Calibri" w:hAnsi="Calibri"/>
        </w:rPr>
        <w:t>10.</w:t>
      </w:r>
      <w:r w:rsidRPr="00786992">
        <w:rPr>
          <w:rFonts w:ascii="Calibri" w:hAnsi="Calibri"/>
        </w:rPr>
        <w:tab/>
        <w:t xml:space="preserve">Eagan TML, Ueland T, Wagner PD, Hardie JA, Mollnes TE, Damås JK, Aukrust P, Bakke PS. Systemic inflammatory markers in COPD: results from the Bergen COPD Cohort Study. </w:t>
      </w:r>
      <w:r w:rsidRPr="00786992">
        <w:rPr>
          <w:rFonts w:ascii="Calibri" w:hAnsi="Calibri"/>
          <w:i/>
          <w:iCs/>
        </w:rPr>
        <w:t>Eur Respir J</w:t>
      </w:r>
      <w:r w:rsidRPr="00786992">
        <w:rPr>
          <w:rFonts w:ascii="Calibri" w:hAnsi="Calibri"/>
        </w:rPr>
        <w:t xml:space="preserve"> 2010;35:540–548.</w:t>
      </w:r>
    </w:p>
    <w:p w14:paraId="45317F3B" w14:textId="77777777" w:rsidR="00786992" w:rsidRPr="00786992" w:rsidRDefault="00786992" w:rsidP="00786992">
      <w:pPr>
        <w:pStyle w:val="Bibliography"/>
        <w:rPr>
          <w:rFonts w:ascii="Calibri" w:hAnsi="Calibri"/>
        </w:rPr>
      </w:pPr>
      <w:r w:rsidRPr="00786992">
        <w:rPr>
          <w:rFonts w:ascii="Calibri" w:hAnsi="Calibri"/>
        </w:rPr>
        <w:t>11.</w:t>
      </w:r>
      <w:r w:rsidRPr="00786992">
        <w:rPr>
          <w:rFonts w:ascii="Calibri" w:hAnsi="Calibri"/>
        </w:rPr>
        <w:tab/>
        <w:t xml:space="preserve">Eagan TM, Damås JK, Ueland T, Voll-Aanerud M, Mollnes TE, Hardie JA, Bakke PS, Aukrust P. Neutrophil gelatinase-associated lipocalin: a biomarker in COPD. </w:t>
      </w:r>
      <w:r w:rsidRPr="00786992">
        <w:rPr>
          <w:rFonts w:ascii="Calibri" w:hAnsi="Calibri"/>
          <w:i/>
          <w:iCs/>
        </w:rPr>
        <w:t>Chest</w:t>
      </w:r>
      <w:r w:rsidRPr="00786992">
        <w:rPr>
          <w:rFonts w:ascii="Calibri" w:hAnsi="Calibri"/>
        </w:rPr>
        <w:t xml:space="preserve"> 2010;138:888–895.</w:t>
      </w:r>
    </w:p>
    <w:p w14:paraId="16EAD0FB" w14:textId="77777777" w:rsidR="00786992" w:rsidRPr="00786992" w:rsidRDefault="00786992" w:rsidP="00786992">
      <w:pPr>
        <w:pStyle w:val="Bibliography"/>
        <w:rPr>
          <w:rFonts w:ascii="Calibri" w:hAnsi="Calibri"/>
        </w:rPr>
      </w:pPr>
      <w:r w:rsidRPr="00786992">
        <w:rPr>
          <w:rFonts w:ascii="Calibri" w:hAnsi="Calibri"/>
        </w:rPr>
        <w:t>12.</w:t>
      </w:r>
      <w:r w:rsidRPr="00786992">
        <w:rPr>
          <w:rFonts w:ascii="Calibri" w:hAnsi="Calibri"/>
        </w:rPr>
        <w:tab/>
        <w:t xml:space="preserve">Donaldson GC, Seemungal TAR, Patel IS, Bhowmik A, Wilkinson TMA, Hurst JR, Maccallum PK, Wedzicha JA. Airway and systemic inflammation and decline in lung function in patients with COPD. </w:t>
      </w:r>
      <w:r w:rsidRPr="00786992">
        <w:rPr>
          <w:rFonts w:ascii="Calibri" w:hAnsi="Calibri"/>
          <w:i/>
          <w:iCs/>
        </w:rPr>
        <w:t>Chest</w:t>
      </w:r>
      <w:r w:rsidRPr="00786992">
        <w:rPr>
          <w:rFonts w:ascii="Calibri" w:hAnsi="Calibri"/>
        </w:rPr>
        <w:t xml:space="preserve"> 2005;128:1995–2004.</w:t>
      </w:r>
    </w:p>
    <w:p w14:paraId="495FD8CB" w14:textId="77777777" w:rsidR="00786992" w:rsidRPr="00786992" w:rsidRDefault="00786992" w:rsidP="00786992">
      <w:pPr>
        <w:pStyle w:val="Bibliography"/>
        <w:rPr>
          <w:rFonts w:ascii="Calibri" w:hAnsi="Calibri"/>
        </w:rPr>
      </w:pPr>
      <w:r w:rsidRPr="00786992">
        <w:rPr>
          <w:rFonts w:ascii="Calibri" w:hAnsi="Calibri"/>
        </w:rPr>
        <w:t>13.</w:t>
      </w:r>
      <w:r w:rsidRPr="00786992">
        <w:rPr>
          <w:rFonts w:ascii="Calibri" w:hAnsi="Calibri"/>
        </w:rPr>
        <w:tab/>
        <w:t xml:space="preserve">Chen Y-WR, Leung JM, Sin DD. A Systematic Review of Diagnostic Biomarkers of COPD Exacerbation. </w:t>
      </w:r>
      <w:r w:rsidRPr="00786992">
        <w:rPr>
          <w:rFonts w:ascii="Calibri" w:hAnsi="Calibri"/>
          <w:i/>
          <w:iCs/>
        </w:rPr>
        <w:t>PLOS ONE</w:t>
      </w:r>
      <w:r w:rsidRPr="00786992">
        <w:rPr>
          <w:rFonts w:ascii="Calibri" w:hAnsi="Calibri"/>
        </w:rPr>
        <w:t xml:space="preserve"> 2016;11:e0158843.</w:t>
      </w:r>
    </w:p>
    <w:p w14:paraId="7D0CB2A4" w14:textId="77777777" w:rsidR="00786992" w:rsidRPr="00786992" w:rsidRDefault="00786992" w:rsidP="00786992">
      <w:pPr>
        <w:pStyle w:val="Bibliography"/>
        <w:rPr>
          <w:rFonts w:ascii="Calibri" w:hAnsi="Calibri"/>
        </w:rPr>
      </w:pPr>
      <w:r w:rsidRPr="00786992">
        <w:rPr>
          <w:rFonts w:ascii="Calibri" w:hAnsi="Calibri"/>
        </w:rPr>
        <w:t>14.</w:t>
      </w:r>
      <w:r w:rsidRPr="00786992">
        <w:rPr>
          <w:rFonts w:ascii="Calibri" w:hAnsi="Calibri"/>
        </w:rPr>
        <w:tab/>
        <w:t xml:space="preserve">Chen H, Wang Y, Bai C, Wang X. Alterations of plasma inflammatory biomarkers in the healthy and chronic obstructive pulmonary disease patients with or without acute exacerbation. </w:t>
      </w:r>
      <w:r w:rsidRPr="00786992">
        <w:rPr>
          <w:rFonts w:ascii="Calibri" w:hAnsi="Calibri"/>
          <w:i/>
          <w:iCs/>
        </w:rPr>
        <w:t>J Proteomics</w:t>
      </w:r>
      <w:r w:rsidRPr="00786992">
        <w:rPr>
          <w:rFonts w:ascii="Calibri" w:hAnsi="Calibri"/>
        </w:rPr>
        <w:t xml:space="preserve"> 2012;75:2835–2843.</w:t>
      </w:r>
    </w:p>
    <w:p w14:paraId="6B2E480B" w14:textId="77777777" w:rsidR="00786992" w:rsidRPr="00786992" w:rsidRDefault="00786992" w:rsidP="00786992">
      <w:pPr>
        <w:pStyle w:val="Bibliography"/>
        <w:rPr>
          <w:rFonts w:ascii="Calibri" w:hAnsi="Calibri"/>
        </w:rPr>
      </w:pPr>
      <w:r w:rsidRPr="00786992">
        <w:rPr>
          <w:rFonts w:ascii="Calibri" w:hAnsi="Calibri"/>
        </w:rPr>
        <w:t>15.</w:t>
      </w:r>
      <w:r w:rsidRPr="00786992">
        <w:rPr>
          <w:rFonts w:ascii="Calibri" w:hAnsi="Calibri"/>
        </w:rPr>
        <w:tab/>
        <w:t xml:space="preserve">Hurst JR, Donaldson GC, Perera WR, Wilkinson TMA, Bilello JA, Hagan GW, Vessey RS, Wedzicha JA. Use of Plasma Biomarkers at Exacerbation of Chronic Obstructive Pulmonary Disease. </w:t>
      </w:r>
      <w:r w:rsidRPr="00786992">
        <w:rPr>
          <w:rFonts w:ascii="Calibri" w:hAnsi="Calibri"/>
          <w:i/>
          <w:iCs/>
        </w:rPr>
        <w:t>Am J Respir Crit Care Med</w:t>
      </w:r>
      <w:r w:rsidRPr="00786992">
        <w:rPr>
          <w:rFonts w:ascii="Calibri" w:hAnsi="Calibri"/>
        </w:rPr>
        <w:t xml:space="preserve"> 2006;174:867–874.</w:t>
      </w:r>
    </w:p>
    <w:p w14:paraId="698EC19C" w14:textId="77777777" w:rsidR="00786992" w:rsidRPr="00786992" w:rsidRDefault="00786992" w:rsidP="00786992">
      <w:pPr>
        <w:pStyle w:val="Bibliography"/>
        <w:rPr>
          <w:rFonts w:ascii="Calibri" w:hAnsi="Calibri"/>
        </w:rPr>
      </w:pPr>
      <w:r w:rsidRPr="00786992">
        <w:rPr>
          <w:rFonts w:ascii="Calibri" w:hAnsi="Calibri"/>
        </w:rPr>
        <w:t>16.</w:t>
      </w:r>
      <w:r w:rsidRPr="00786992">
        <w:rPr>
          <w:rFonts w:ascii="Calibri" w:hAnsi="Calibri"/>
        </w:rPr>
        <w:tab/>
        <w:t xml:space="preserve">Vestbo J, Anderson W, Coxson HO, Crim C, Dawber F, Edwards L. Evaluation of COPD longitudinally to identify predictive surrogate end-points (eclipse). </w:t>
      </w:r>
      <w:r w:rsidRPr="00786992">
        <w:rPr>
          <w:rFonts w:ascii="Calibri" w:hAnsi="Calibri"/>
          <w:i/>
          <w:iCs/>
        </w:rPr>
        <w:t>Eur Respir J</w:t>
      </w:r>
      <w:r w:rsidRPr="00786992">
        <w:rPr>
          <w:rFonts w:ascii="Calibri" w:hAnsi="Calibri"/>
        </w:rPr>
        <w:t xml:space="preserve"> 2008;31:.</w:t>
      </w:r>
    </w:p>
    <w:p w14:paraId="24A66201" w14:textId="77777777" w:rsidR="00786992" w:rsidRPr="00786992" w:rsidRDefault="00786992" w:rsidP="00786992">
      <w:pPr>
        <w:pStyle w:val="Bibliography"/>
        <w:rPr>
          <w:rFonts w:ascii="Calibri" w:hAnsi="Calibri"/>
        </w:rPr>
      </w:pPr>
      <w:r w:rsidRPr="00786992">
        <w:rPr>
          <w:rFonts w:ascii="Calibri" w:hAnsi="Calibri"/>
        </w:rPr>
        <w:t>17.</w:t>
      </w:r>
      <w:r w:rsidRPr="00786992">
        <w:rPr>
          <w:rFonts w:ascii="Calibri" w:hAnsi="Calibri"/>
        </w:rPr>
        <w:tab/>
        <w:t xml:space="preserve">R Development Core Team. </w:t>
      </w:r>
      <w:r w:rsidRPr="00786992">
        <w:rPr>
          <w:rFonts w:ascii="Calibri" w:hAnsi="Calibri"/>
          <w:i/>
          <w:iCs/>
        </w:rPr>
        <w:t>R: A language and environment for statistical computing</w:t>
      </w:r>
      <w:r w:rsidRPr="00786992">
        <w:rPr>
          <w:rFonts w:ascii="Calibri" w:hAnsi="Calibri"/>
        </w:rPr>
        <w:t>. Vienna, Austria: R Foundation for Statistical Computing; 2008. at &lt;http://www.R-project.org&gt;.</w:t>
      </w:r>
    </w:p>
    <w:p w14:paraId="1E0A7C29" w14:textId="77777777" w:rsidR="00786992" w:rsidRPr="00786992" w:rsidRDefault="00786992" w:rsidP="00786992">
      <w:pPr>
        <w:pStyle w:val="Bibliography"/>
        <w:rPr>
          <w:rFonts w:ascii="Calibri" w:hAnsi="Calibri"/>
        </w:rPr>
      </w:pPr>
      <w:r w:rsidRPr="00786992">
        <w:rPr>
          <w:rFonts w:ascii="Calibri" w:hAnsi="Calibri"/>
        </w:rPr>
        <w:lastRenderedPageBreak/>
        <w:t>18.</w:t>
      </w:r>
      <w:r w:rsidRPr="00786992">
        <w:rPr>
          <w:rFonts w:ascii="Calibri" w:hAnsi="Calibri"/>
        </w:rPr>
        <w:tab/>
        <w:t xml:space="preserve">Huber W, Carey VJ, Gentleman R, Anders S, Carlson M, Carvalho BS, Bravo HC, Davis S, Gatto L, Girke T, Gottardo R, Hahne F, Hansen KD, Irizarry RA, Lawrence M, Love MI, MacDonald J, Obenchain V, Oleś AK, Pagès H, Reyes A, Shannon P, Smyth GK, Tenenbaum D, Waldron L, Morgan M. Orchestrating high-throughput genomic analysis with Bioconductor. </w:t>
      </w:r>
      <w:r w:rsidRPr="00786992">
        <w:rPr>
          <w:rFonts w:ascii="Calibri" w:hAnsi="Calibri"/>
          <w:i/>
          <w:iCs/>
        </w:rPr>
        <w:t>Nat Methods</w:t>
      </w:r>
      <w:r w:rsidRPr="00786992">
        <w:rPr>
          <w:rFonts w:ascii="Calibri" w:hAnsi="Calibri"/>
        </w:rPr>
        <w:t xml:space="preserve"> 2015;12:115–121.</w:t>
      </w:r>
    </w:p>
    <w:p w14:paraId="1349E26D" w14:textId="77777777" w:rsidR="00786992" w:rsidRPr="00786992" w:rsidRDefault="00786992" w:rsidP="00786992">
      <w:pPr>
        <w:pStyle w:val="Bibliography"/>
        <w:rPr>
          <w:rFonts w:ascii="Calibri" w:hAnsi="Calibri"/>
        </w:rPr>
      </w:pPr>
      <w:r w:rsidRPr="00786992">
        <w:rPr>
          <w:rFonts w:ascii="Calibri" w:hAnsi="Calibri"/>
        </w:rPr>
        <w:t>19.</w:t>
      </w:r>
      <w:r w:rsidRPr="00786992">
        <w:rPr>
          <w:rFonts w:ascii="Calibri" w:hAnsi="Calibri"/>
        </w:rPr>
        <w:tab/>
        <w:t xml:space="preserve">Carvalho BS, Irizarry RA. A framework for oligonucleotide microarray preprocessing. </w:t>
      </w:r>
      <w:r w:rsidRPr="00786992">
        <w:rPr>
          <w:rFonts w:ascii="Calibri" w:hAnsi="Calibri"/>
          <w:i/>
          <w:iCs/>
        </w:rPr>
        <w:t>Bioinforma Oxf Engl</w:t>
      </w:r>
      <w:r w:rsidRPr="00786992">
        <w:rPr>
          <w:rFonts w:ascii="Calibri" w:hAnsi="Calibri"/>
        </w:rPr>
        <w:t xml:space="preserve"> 2010;26:2363–2367.</w:t>
      </w:r>
    </w:p>
    <w:p w14:paraId="1480258D" w14:textId="77777777" w:rsidR="00786992" w:rsidRPr="00786992" w:rsidRDefault="00786992" w:rsidP="00786992">
      <w:pPr>
        <w:pStyle w:val="Bibliography"/>
        <w:rPr>
          <w:rFonts w:ascii="Calibri" w:hAnsi="Calibri"/>
        </w:rPr>
      </w:pPr>
      <w:r w:rsidRPr="00786992">
        <w:rPr>
          <w:rFonts w:ascii="Calibri" w:hAnsi="Calibri"/>
        </w:rPr>
        <w:t>20.</w:t>
      </w:r>
      <w:r w:rsidRPr="00786992">
        <w:rPr>
          <w:rFonts w:ascii="Calibri" w:hAnsi="Calibri"/>
        </w:rPr>
        <w:tab/>
        <w:t xml:space="preserve">Irizarry RA, Hobbs B, Collin F, Beazer-Barclay YD, Antonellis KJ, Scherf U, Speed TP. Exploration, normalization, and summaries of high density oligonucleotide array probe level data. </w:t>
      </w:r>
      <w:r w:rsidRPr="00786992">
        <w:rPr>
          <w:rFonts w:ascii="Calibri" w:hAnsi="Calibri"/>
          <w:i/>
          <w:iCs/>
        </w:rPr>
        <w:t>Biostat Oxf Engl</w:t>
      </w:r>
      <w:r w:rsidRPr="00786992">
        <w:rPr>
          <w:rFonts w:ascii="Calibri" w:hAnsi="Calibri"/>
        </w:rPr>
        <w:t xml:space="preserve"> 2003;4:249–264.</w:t>
      </w:r>
    </w:p>
    <w:p w14:paraId="132D3D4F" w14:textId="77777777" w:rsidR="00786992" w:rsidRPr="00786992" w:rsidRDefault="00786992" w:rsidP="00786992">
      <w:pPr>
        <w:pStyle w:val="Bibliography"/>
        <w:rPr>
          <w:rFonts w:ascii="Calibri" w:hAnsi="Calibri"/>
        </w:rPr>
      </w:pPr>
      <w:r w:rsidRPr="00786992">
        <w:rPr>
          <w:rFonts w:ascii="Calibri" w:hAnsi="Calibri"/>
        </w:rPr>
        <w:t>21.</w:t>
      </w:r>
      <w:r w:rsidRPr="00786992">
        <w:rPr>
          <w:rFonts w:ascii="Calibri" w:hAnsi="Calibri"/>
        </w:rPr>
        <w:tab/>
        <w:t xml:space="preserve">Chen C, Grennan K, Badner J, Zhang D, Gershon E, Jin L, Liu C. Removing Batch Effects in Analysis of Expression Microarray Data: An Evaluation of Six Batch Adjustment Methods. </w:t>
      </w:r>
      <w:r w:rsidRPr="00786992">
        <w:rPr>
          <w:rFonts w:ascii="Calibri" w:hAnsi="Calibri"/>
          <w:i/>
          <w:iCs/>
        </w:rPr>
        <w:t>PLoS ONE</w:t>
      </w:r>
      <w:r w:rsidRPr="00786992">
        <w:rPr>
          <w:rFonts w:ascii="Calibri" w:hAnsi="Calibri"/>
        </w:rPr>
        <w:t xml:space="preserve"> 2011;6:.</w:t>
      </w:r>
    </w:p>
    <w:p w14:paraId="4995C42F" w14:textId="77777777" w:rsidR="00786992" w:rsidRPr="00786992" w:rsidRDefault="00786992" w:rsidP="00786992">
      <w:pPr>
        <w:pStyle w:val="Bibliography"/>
        <w:rPr>
          <w:rFonts w:ascii="Calibri" w:hAnsi="Calibri"/>
        </w:rPr>
      </w:pPr>
      <w:r w:rsidRPr="00786992">
        <w:rPr>
          <w:rFonts w:ascii="Calibri" w:hAnsi="Calibri"/>
        </w:rPr>
        <w:t>22.</w:t>
      </w:r>
      <w:r w:rsidRPr="00786992">
        <w:rPr>
          <w:rFonts w:ascii="Calibri" w:hAnsi="Calibri"/>
        </w:rPr>
        <w:tab/>
        <w:t xml:space="preserve">Zhang B, Horvath S. A general framework for weighted gene co-expression network analysis. </w:t>
      </w:r>
      <w:r w:rsidRPr="00786992">
        <w:rPr>
          <w:rFonts w:ascii="Calibri" w:hAnsi="Calibri"/>
          <w:i/>
          <w:iCs/>
        </w:rPr>
        <w:t>Stat Appl Genet Mol Biol</w:t>
      </w:r>
      <w:r w:rsidRPr="00786992">
        <w:rPr>
          <w:rFonts w:ascii="Calibri" w:hAnsi="Calibri"/>
        </w:rPr>
        <w:t xml:space="preserve"> 2005;4:.</w:t>
      </w:r>
    </w:p>
    <w:p w14:paraId="119419AA" w14:textId="77777777" w:rsidR="00786992" w:rsidRPr="00786992" w:rsidRDefault="00786992" w:rsidP="00786992">
      <w:pPr>
        <w:pStyle w:val="Bibliography"/>
        <w:rPr>
          <w:rFonts w:ascii="Calibri" w:hAnsi="Calibri"/>
        </w:rPr>
      </w:pPr>
      <w:r w:rsidRPr="00786992">
        <w:rPr>
          <w:rFonts w:ascii="Calibri" w:hAnsi="Calibri"/>
        </w:rPr>
        <w:t>23.</w:t>
      </w:r>
      <w:r w:rsidRPr="00786992">
        <w:rPr>
          <w:rFonts w:ascii="Calibri" w:hAnsi="Calibri"/>
        </w:rPr>
        <w:tab/>
        <w:t xml:space="preserve">Subramanian A, Tamayo P, Mootha VK, Mukherjee S, Ebert BL, Gillette MA, Paulovich A, Pomeroy SL, Golub TR, Lander ES, Mesirov JP. Gene set enrichment analysis: A knowledge-based approach for interpreting genome-wide expression profiles. </w:t>
      </w:r>
      <w:r w:rsidRPr="00786992">
        <w:rPr>
          <w:rFonts w:ascii="Calibri" w:hAnsi="Calibri"/>
          <w:i/>
          <w:iCs/>
        </w:rPr>
        <w:t>Proc Natl Acad Sci</w:t>
      </w:r>
      <w:r w:rsidRPr="00786992">
        <w:rPr>
          <w:rFonts w:ascii="Calibri" w:hAnsi="Calibri"/>
        </w:rPr>
        <w:t xml:space="preserve"> 2005;102:15545–15550.</w:t>
      </w:r>
    </w:p>
    <w:p w14:paraId="79A95962" w14:textId="77777777" w:rsidR="00786992" w:rsidRPr="00786992" w:rsidRDefault="00786992" w:rsidP="00786992">
      <w:pPr>
        <w:pStyle w:val="Bibliography"/>
        <w:rPr>
          <w:rFonts w:ascii="Calibri" w:hAnsi="Calibri"/>
        </w:rPr>
      </w:pPr>
      <w:r w:rsidRPr="00786992">
        <w:rPr>
          <w:rFonts w:ascii="Calibri" w:hAnsi="Calibri"/>
        </w:rPr>
        <w:t>24.</w:t>
      </w:r>
      <w:r w:rsidRPr="00786992">
        <w:rPr>
          <w:rFonts w:ascii="Calibri" w:hAnsi="Calibri"/>
        </w:rPr>
        <w:tab/>
        <w:t xml:space="preserve">Liberzon A, Subramanian A, Pinchback R, Thorvaldsdóttir H, Tamayo P, Mesirov JP. Molecular signatures database (MSigDB) 3.0. </w:t>
      </w:r>
      <w:r w:rsidRPr="00786992">
        <w:rPr>
          <w:rFonts w:ascii="Calibri" w:hAnsi="Calibri"/>
          <w:i/>
          <w:iCs/>
        </w:rPr>
        <w:t>Bioinformatics</w:t>
      </w:r>
      <w:r w:rsidRPr="00786992">
        <w:rPr>
          <w:rFonts w:ascii="Calibri" w:hAnsi="Calibri"/>
        </w:rPr>
        <w:t xml:space="preserve"> 2011;27:1739–1740.</w:t>
      </w:r>
    </w:p>
    <w:p w14:paraId="70D70181" w14:textId="77777777" w:rsidR="00786992" w:rsidRPr="00786992" w:rsidRDefault="00786992" w:rsidP="00786992">
      <w:pPr>
        <w:pStyle w:val="Bibliography"/>
        <w:rPr>
          <w:rFonts w:ascii="Calibri" w:hAnsi="Calibri"/>
        </w:rPr>
      </w:pPr>
      <w:r w:rsidRPr="00786992">
        <w:rPr>
          <w:rFonts w:ascii="Calibri" w:hAnsi="Calibri"/>
        </w:rPr>
        <w:t>25.</w:t>
      </w:r>
      <w:r w:rsidRPr="00786992">
        <w:rPr>
          <w:rFonts w:ascii="Calibri" w:hAnsi="Calibri"/>
        </w:rPr>
        <w:tab/>
        <w:t xml:space="preserve">Li S, Rouphael N, Duraisingham S, Romero-Steiner S, Presnell S, Davis C. Molecular signatures of antibody responses derived from a systems biology study of five human vaccines. </w:t>
      </w:r>
      <w:r w:rsidRPr="00786992">
        <w:rPr>
          <w:rFonts w:ascii="Calibri" w:hAnsi="Calibri"/>
          <w:i/>
          <w:iCs/>
        </w:rPr>
        <w:t>Nat Immunol</w:t>
      </w:r>
      <w:r w:rsidRPr="00786992">
        <w:rPr>
          <w:rFonts w:ascii="Calibri" w:hAnsi="Calibri"/>
        </w:rPr>
        <w:t xml:space="preserve"> 2013;15:.</w:t>
      </w:r>
    </w:p>
    <w:p w14:paraId="0361AA47" w14:textId="77777777" w:rsidR="00786992" w:rsidRPr="00786992" w:rsidRDefault="00786992" w:rsidP="00786992">
      <w:pPr>
        <w:pStyle w:val="Bibliography"/>
        <w:rPr>
          <w:rFonts w:ascii="Calibri" w:hAnsi="Calibri"/>
        </w:rPr>
      </w:pPr>
      <w:r w:rsidRPr="00786992">
        <w:rPr>
          <w:rFonts w:ascii="Calibri" w:hAnsi="Calibri"/>
        </w:rPr>
        <w:lastRenderedPageBreak/>
        <w:t>26.</w:t>
      </w:r>
      <w:r w:rsidRPr="00786992">
        <w:rPr>
          <w:rFonts w:ascii="Calibri" w:hAnsi="Calibri"/>
        </w:rPr>
        <w:tab/>
        <w:t>Gene enrichment profiles reveal T-cell development, differentiation, and lineage-specific transcription factors including ZBTB25 as a novel NF-AT r... - PubMed - NCBI. at &lt;https://www.ncbi.nlm.nih.gov/pubmed/20410506&gt;.</w:t>
      </w:r>
    </w:p>
    <w:p w14:paraId="54CE155F" w14:textId="77777777" w:rsidR="00786992" w:rsidRPr="00786992" w:rsidRDefault="00786992" w:rsidP="00786992">
      <w:pPr>
        <w:pStyle w:val="Bibliography"/>
        <w:rPr>
          <w:rFonts w:ascii="Calibri" w:hAnsi="Calibri"/>
        </w:rPr>
      </w:pPr>
      <w:r w:rsidRPr="00786992">
        <w:rPr>
          <w:rFonts w:ascii="Calibri" w:hAnsi="Calibri"/>
        </w:rPr>
        <w:t>27.</w:t>
      </w:r>
      <w:r w:rsidRPr="00786992">
        <w:rPr>
          <w:rFonts w:ascii="Calibri" w:hAnsi="Calibri"/>
        </w:rPr>
        <w:tab/>
        <w:t xml:space="preserve">Benjamini Y, Hochberg Y. Controlling the False Discovery Rate: A Practical and Powerful Approach to Multiple Testing. </w:t>
      </w:r>
      <w:r w:rsidRPr="00786992">
        <w:rPr>
          <w:rFonts w:ascii="Calibri" w:hAnsi="Calibri"/>
          <w:i/>
          <w:iCs/>
        </w:rPr>
        <w:t>J R Stat Soc Ser B Methodol</w:t>
      </w:r>
      <w:r w:rsidRPr="00786992">
        <w:rPr>
          <w:rFonts w:ascii="Calibri" w:hAnsi="Calibri"/>
        </w:rPr>
        <w:t xml:space="preserve"> 1995;57:289–300.</w:t>
      </w:r>
    </w:p>
    <w:p w14:paraId="0116C478" w14:textId="77777777" w:rsidR="00786992" w:rsidRPr="00786992" w:rsidRDefault="00786992" w:rsidP="00786992">
      <w:pPr>
        <w:pStyle w:val="Bibliography"/>
        <w:rPr>
          <w:rFonts w:ascii="Calibri" w:hAnsi="Calibri"/>
        </w:rPr>
      </w:pPr>
      <w:r w:rsidRPr="00786992">
        <w:rPr>
          <w:rFonts w:ascii="Calibri" w:hAnsi="Calibri"/>
        </w:rPr>
        <w:t>28.</w:t>
      </w:r>
      <w:r w:rsidRPr="00786992">
        <w:rPr>
          <w:rFonts w:ascii="Calibri" w:hAnsi="Calibri"/>
        </w:rPr>
        <w:tab/>
        <w:t xml:space="preserve">Ritchie ME, Phipson B, Wu D, Hu Y, Law CW, Shi W, Smyth GK. limma powers differential expression analyses for RNA-sequencing and microarray studies. </w:t>
      </w:r>
      <w:r w:rsidRPr="00786992">
        <w:rPr>
          <w:rFonts w:ascii="Calibri" w:hAnsi="Calibri"/>
          <w:i/>
          <w:iCs/>
        </w:rPr>
        <w:t>Nucleic Acids Res</w:t>
      </w:r>
      <w:r w:rsidRPr="00786992">
        <w:rPr>
          <w:rFonts w:ascii="Calibri" w:hAnsi="Calibri"/>
        </w:rPr>
        <w:t xml:space="preserve"> 2015;43:e47.</w:t>
      </w:r>
    </w:p>
    <w:p w14:paraId="617BD2BC" w14:textId="77777777" w:rsidR="00786992" w:rsidRPr="00786992" w:rsidRDefault="00786992" w:rsidP="00786992">
      <w:pPr>
        <w:pStyle w:val="Bibliography"/>
        <w:rPr>
          <w:rFonts w:ascii="Calibri" w:hAnsi="Calibri"/>
        </w:rPr>
      </w:pPr>
      <w:r w:rsidRPr="00786992">
        <w:rPr>
          <w:rFonts w:ascii="Calibri" w:hAnsi="Calibri"/>
        </w:rPr>
        <w:t>29.</w:t>
      </w:r>
      <w:r w:rsidRPr="00786992">
        <w:rPr>
          <w:rFonts w:ascii="Calibri" w:hAnsi="Calibri"/>
        </w:rPr>
        <w:tab/>
        <w:t xml:space="preserve">Zou H, Hastie T. Regularization and variable selection via the elastic net. </w:t>
      </w:r>
      <w:r w:rsidRPr="00786992">
        <w:rPr>
          <w:rFonts w:ascii="Calibri" w:hAnsi="Calibri"/>
          <w:i/>
          <w:iCs/>
        </w:rPr>
        <w:t>J R Stat Soc Ser B Stat Methodol</w:t>
      </w:r>
      <w:r w:rsidRPr="00786992">
        <w:rPr>
          <w:rFonts w:ascii="Calibri" w:hAnsi="Calibri"/>
        </w:rPr>
        <w:t xml:space="preserve"> 2005;67:301–320.</w:t>
      </w:r>
    </w:p>
    <w:p w14:paraId="66505767" w14:textId="77777777" w:rsidR="00786992" w:rsidRPr="00786992" w:rsidRDefault="00786992" w:rsidP="00786992">
      <w:pPr>
        <w:pStyle w:val="Bibliography"/>
        <w:rPr>
          <w:rFonts w:ascii="Calibri" w:hAnsi="Calibri"/>
        </w:rPr>
      </w:pPr>
      <w:r w:rsidRPr="00786992">
        <w:rPr>
          <w:rFonts w:ascii="Calibri" w:hAnsi="Calibri"/>
        </w:rPr>
        <w:t>30.</w:t>
      </w:r>
      <w:r w:rsidRPr="00786992">
        <w:rPr>
          <w:rFonts w:ascii="Calibri" w:hAnsi="Calibri"/>
        </w:rPr>
        <w:tab/>
        <w:t xml:space="preserve">Bafadhel M, McKenna S, Terry S, Mistry V, Reid C, Haldar P, McCormick M, Haldar K, Kebadze T, Duvoix A, Lindblad K, Patel H, Rugman P, Dodson P, Jenkins M, Saunders M, Newbold P, Green RH, Venge P, Lomas DA, Barer MR, Johnston SL, Pavord ID, Brightling CE. Acute exacerbations of chronic obstructive pulmonary disease: identification of biologic clusters and their biomarkers. </w:t>
      </w:r>
      <w:r w:rsidRPr="00786992">
        <w:rPr>
          <w:rFonts w:ascii="Calibri" w:hAnsi="Calibri"/>
          <w:i/>
          <w:iCs/>
        </w:rPr>
        <w:t>Am J Respir Crit Care Med</w:t>
      </w:r>
      <w:r w:rsidRPr="00786992">
        <w:rPr>
          <w:rFonts w:ascii="Calibri" w:hAnsi="Calibri"/>
        </w:rPr>
        <w:t xml:space="preserve"> 2011;184:662–671.</w:t>
      </w:r>
    </w:p>
    <w:p w14:paraId="3335FF4F" w14:textId="77777777" w:rsidR="00786992" w:rsidRPr="00786992" w:rsidRDefault="00786992" w:rsidP="00786992">
      <w:pPr>
        <w:pStyle w:val="Bibliography"/>
        <w:rPr>
          <w:rFonts w:ascii="Calibri" w:hAnsi="Calibri"/>
        </w:rPr>
      </w:pPr>
      <w:r w:rsidRPr="00786992">
        <w:rPr>
          <w:rFonts w:ascii="Calibri" w:hAnsi="Calibri"/>
        </w:rPr>
        <w:t>31.</w:t>
      </w:r>
      <w:r w:rsidRPr="00786992">
        <w:rPr>
          <w:rFonts w:ascii="Calibri" w:hAnsi="Calibri"/>
        </w:rPr>
        <w:tab/>
        <w:t xml:space="preserve">Antonescu-Turcu AL, Tomic R. C-reactive protein and copeptin: prognostic predictors in chronic obstructive pulmonary disease exacerbations. </w:t>
      </w:r>
      <w:r w:rsidRPr="00786992">
        <w:rPr>
          <w:rFonts w:ascii="Calibri" w:hAnsi="Calibri"/>
          <w:i/>
          <w:iCs/>
        </w:rPr>
        <w:t>Curr Opin Pulm Med</w:t>
      </w:r>
      <w:r w:rsidRPr="00786992">
        <w:rPr>
          <w:rFonts w:ascii="Calibri" w:hAnsi="Calibri"/>
        </w:rPr>
        <w:t xml:space="preserve"> 2009;15:120–125.</w:t>
      </w:r>
    </w:p>
    <w:p w14:paraId="39903AF6" w14:textId="77777777" w:rsidR="00786992" w:rsidRPr="00786992" w:rsidRDefault="00786992" w:rsidP="00786992">
      <w:pPr>
        <w:pStyle w:val="Bibliography"/>
        <w:rPr>
          <w:rFonts w:ascii="Calibri" w:hAnsi="Calibri"/>
        </w:rPr>
      </w:pPr>
      <w:r w:rsidRPr="00786992">
        <w:rPr>
          <w:rFonts w:ascii="Calibri" w:hAnsi="Calibri"/>
        </w:rPr>
        <w:t>32.</w:t>
      </w:r>
      <w:r w:rsidRPr="00786992">
        <w:rPr>
          <w:rFonts w:ascii="Calibri" w:hAnsi="Calibri"/>
        </w:rPr>
        <w:tab/>
        <w:t xml:space="preserve">Curtis JL, Martinez CH. Preventing COPD exacerbations: new options for a crucial and growing problem. </w:t>
      </w:r>
      <w:r w:rsidRPr="00786992">
        <w:rPr>
          <w:rFonts w:ascii="Calibri" w:hAnsi="Calibri"/>
          <w:i/>
          <w:iCs/>
        </w:rPr>
        <w:t>Fed Pract Health Care Prof VA DoD PHS</w:t>
      </w:r>
      <w:r w:rsidRPr="00786992">
        <w:rPr>
          <w:rFonts w:ascii="Calibri" w:hAnsi="Calibri"/>
        </w:rPr>
        <w:t xml:space="preserve"> 2014;31:18S–24S.</w:t>
      </w:r>
    </w:p>
    <w:p w14:paraId="6D32D139" w14:textId="77777777" w:rsidR="00786992" w:rsidRPr="00786992" w:rsidRDefault="00786992" w:rsidP="00786992">
      <w:pPr>
        <w:pStyle w:val="Bibliography"/>
        <w:rPr>
          <w:rFonts w:ascii="Calibri" w:hAnsi="Calibri"/>
        </w:rPr>
      </w:pPr>
      <w:r w:rsidRPr="00786992">
        <w:rPr>
          <w:rFonts w:ascii="Calibri" w:hAnsi="Calibri"/>
        </w:rPr>
        <w:t>33.</w:t>
      </w:r>
      <w:r w:rsidRPr="00786992">
        <w:rPr>
          <w:rFonts w:ascii="Calibri" w:hAnsi="Calibri"/>
        </w:rPr>
        <w:tab/>
        <w:t xml:space="preserve">He B. Viruses, endoplasmic reticulum stress, and interferon responses. </w:t>
      </w:r>
      <w:r w:rsidRPr="00786992">
        <w:rPr>
          <w:rFonts w:ascii="Calibri" w:hAnsi="Calibri"/>
          <w:i/>
          <w:iCs/>
        </w:rPr>
        <w:t>Cell Death Differ</w:t>
      </w:r>
      <w:r w:rsidRPr="00786992">
        <w:rPr>
          <w:rFonts w:ascii="Calibri" w:hAnsi="Calibri"/>
        </w:rPr>
        <w:t xml:space="preserve"> 2006;13:393–403.</w:t>
      </w:r>
    </w:p>
    <w:p w14:paraId="51915A16" w14:textId="77777777" w:rsidR="00786992" w:rsidRPr="00786992" w:rsidRDefault="00786992" w:rsidP="00786992">
      <w:pPr>
        <w:pStyle w:val="Bibliography"/>
        <w:rPr>
          <w:rFonts w:ascii="Calibri" w:hAnsi="Calibri"/>
        </w:rPr>
      </w:pPr>
      <w:r w:rsidRPr="00786992">
        <w:rPr>
          <w:rFonts w:ascii="Calibri" w:hAnsi="Calibri"/>
        </w:rPr>
        <w:t>34.</w:t>
      </w:r>
      <w:r w:rsidRPr="00786992">
        <w:rPr>
          <w:rFonts w:ascii="Calibri" w:hAnsi="Calibri"/>
        </w:rPr>
        <w:tab/>
        <w:t xml:space="preserve">Hewitt R, Farne H, Ritchie A, Luke E, Johnston SL, Mallia P. The role of viral infections in exacerbations of chronic obstructive pulmonary disease and asthma. </w:t>
      </w:r>
      <w:r w:rsidRPr="00786992">
        <w:rPr>
          <w:rFonts w:ascii="Calibri" w:hAnsi="Calibri"/>
          <w:i/>
          <w:iCs/>
        </w:rPr>
        <w:t>Ther Adv Respir Dis</w:t>
      </w:r>
      <w:r w:rsidRPr="00786992">
        <w:rPr>
          <w:rFonts w:ascii="Calibri" w:hAnsi="Calibri"/>
        </w:rPr>
        <w:t xml:space="preserve"> 2016;10:158–174.</w:t>
      </w:r>
    </w:p>
    <w:p w14:paraId="5039EADD" w14:textId="77777777" w:rsidR="00786992" w:rsidRDefault="00786992" w:rsidP="00786992">
      <w:pPr>
        <w:pStyle w:val="Bibliography"/>
        <w:rPr>
          <w:rFonts w:ascii="Calibri" w:hAnsi="Calibri"/>
        </w:rPr>
      </w:pPr>
      <w:r w:rsidRPr="00786992">
        <w:rPr>
          <w:rFonts w:ascii="Calibri" w:hAnsi="Calibri"/>
        </w:rPr>
        <w:lastRenderedPageBreak/>
        <w:t>35.</w:t>
      </w:r>
      <w:r w:rsidRPr="00786992">
        <w:rPr>
          <w:rFonts w:ascii="Calibri" w:hAnsi="Calibri"/>
        </w:rPr>
        <w:tab/>
        <w:t xml:space="preserve">Hutchinson AF, Ghimire AK, Thompson MA, Black JF, Brand CA, Lowe AJ, Smallwood DM, Vlahos R, Bozinovski S, Brown GV, Anderson GP, Irving LB. A community-based, time-matched, case-control study of respiratory viruses and exacerbations of COPD. </w:t>
      </w:r>
      <w:r w:rsidRPr="00786992">
        <w:rPr>
          <w:rFonts w:ascii="Calibri" w:hAnsi="Calibri"/>
          <w:i/>
          <w:iCs/>
        </w:rPr>
        <w:t>Respir Med</w:t>
      </w:r>
      <w:r w:rsidRPr="00786992">
        <w:rPr>
          <w:rFonts w:ascii="Calibri" w:hAnsi="Calibri"/>
        </w:rPr>
        <w:t xml:space="preserve"> 2007;101:2472–2481.</w:t>
      </w:r>
    </w:p>
    <w:p w14:paraId="58F3F733" w14:textId="77777777" w:rsidR="00A935F4" w:rsidRDefault="0086508A" w:rsidP="009F7CDB">
      <w:pPr>
        <w:sectPr w:rsidR="00A935F4" w:rsidSect="00ED488E">
          <w:footerReference w:type="default" r:id="rId21"/>
          <w:pgSz w:w="12240" w:h="15840"/>
          <w:pgMar w:top="1440" w:right="1440" w:bottom="1440" w:left="1440" w:header="720" w:footer="720" w:gutter="0"/>
          <w:pgNumType w:start="1"/>
          <w:cols w:space="720"/>
          <w:docGrid w:linePitch="360"/>
        </w:sectPr>
      </w:pPr>
      <w:r>
        <w:fldChar w:fldCharType="end"/>
      </w:r>
    </w:p>
    <w:p w14:paraId="3B1ED3D8" w14:textId="49DF363C" w:rsidR="00543300" w:rsidRDefault="00543300" w:rsidP="009F7CDB">
      <w:pPr>
        <w:pStyle w:val="Heading1"/>
      </w:pPr>
      <w:commentRangeStart w:id="35"/>
      <w:r>
        <w:lastRenderedPageBreak/>
        <w:t>Figure Legends</w:t>
      </w:r>
      <w:commentRangeEnd w:id="35"/>
      <w:r w:rsidR="00894F68">
        <w:rPr>
          <w:rStyle w:val="CommentReference"/>
          <w:rFonts w:ascii="Calibri" w:eastAsia="Calibri" w:hAnsi="Calibri" w:cs="Times New Roman"/>
          <w:b w:val="0"/>
          <w:bCs w:val="0"/>
          <w:caps w:val="0"/>
          <w:color w:val="auto"/>
          <w:spacing w:val="0"/>
        </w:rPr>
        <w:commentReference w:id="35"/>
      </w:r>
    </w:p>
    <w:p w14:paraId="61BC4D73" w14:textId="4719DA13" w:rsidR="00D12D53" w:rsidRPr="00616CC1" w:rsidRDefault="000F5C4B" w:rsidP="00D12D53">
      <w:pPr>
        <w:rPr>
          <w:b/>
        </w:rPr>
      </w:pPr>
      <w:r w:rsidRPr="00AD4FBA">
        <w:rPr>
          <w:b/>
        </w:rPr>
        <w:t xml:space="preserve">Figure </w:t>
      </w:r>
      <w:r>
        <w:rPr>
          <w:b/>
        </w:rPr>
        <w:t>1</w:t>
      </w:r>
      <w:r w:rsidR="00616CC1">
        <w:rPr>
          <w:b/>
        </w:rPr>
        <w:t>:</w:t>
      </w:r>
      <w:r w:rsidR="00D16AE5">
        <w:rPr>
          <w:b/>
        </w:rPr>
        <w:t xml:space="preserve"> Descriptive title</w:t>
      </w:r>
      <w:r w:rsidR="001528E4">
        <w:rPr>
          <w:b/>
        </w:rPr>
        <w:t xml:space="preserve"> statement</w:t>
      </w:r>
      <w:r w:rsidR="00AB72B7">
        <w:rPr>
          <w:b/>
        </w:rPr>
        <w:t xml:space="preserve">. </w:t>
      </w:r>
      <w:r w:rsidR="00616CC1" w:rsidRPr="00B658B0">
        <w:t xml:space="preserve">(A) </w:t>
      </w:r>
      <w:r w:rsidRPr="00B658B0">
        <w:t xml:space="preserve">Schematic representation of cohorts and subjects used for this study, in relation </w:t>
      </w:r>
      <w:r w:rsidR="00616CC1" w:rsidRPr="00B658B0">
        <w:t>to COPD disease activity. (</w:t>
      </w:r>
      <w:r w:rsidR="00D12D53" w:rsidRPr="00B658B0">
        <w:t>B</w:t>
      </w:r>
      <w:r w:rsidR="00616CC1" w:rsidRPr="00B658B0">
        <w:t>)</w:t>
      </w:r>
      <w:r w:rsidR="00D12D53" w:rsidRPr="00B658B0">
        <w:t xml:space="preserve"> Flowchart of analyses performed for this study</w:t>
      </w:r>
      <w:r w:rsidR="00D12D53">
        <w:t>.</w:t>
      </w:r>
    </w:p>
    <w:p w14:paraId="3B5B92C0" w14:textId="6DA32A97" w:rsidR="00D12D53" w:rsidRDefault="00D12D53" w:rsidP="00D12D53">
      <w:r w:rsidRPr="00195E4B">
        <w:rPr>
          <w:b/>
        </w:rPr>
        <w:t xml:space="preserve">Figure </w:t>
      </w:r>
      <w:r>
        <w:rPr>
          <w:b/>
        </w:rPr>
        <w:t>2</w:t>
      </w:r>
      <w:r w:rsidR="00D16AE5">
        <w:rPr>
          <w:b/>
        </w:rPr>
        <w:t>: Descriptive title statement.</w:t>
      </w:r>
      <w:r>
        <w:t xml:space="preserve"> Performance of the top 6 prognostic biomarker signatures, when applied to independent samples from AECOPD, convalescing, and stable COPD subjects.</w:t>
      </w:r>
    </w:p>
    <w:p w14:paraId="20D3D125" w14:textId="7746A9AB" w:rsidR="00D12D53" w:rsidRPr="0036477B" w:rsidRDefault="00D12D53" w:rsidP="00D12D53">
      <w:pPr>
        <w:rPr>
          <w:b/>
        </w:rPr>
      </w:pPr>
      <w:r w:rsidRPr="0036477B">
        <w:rPr>
          <w:b/>
        </w:rPr>
        <w:t xml:space="preserve">Figure </w:t>
      </w:r>
      <w:r>
        <w:rPr>
          <w:b/>
        </w:rPr>
        <w:t>3</w:t>
      </w:r>
      <w:r w:rsidR="00D16AE5">
        <w:rPr>
          <w:b/>
        </w:rPr>
        <w:t xml:space="preserve">: Descriptive title statement. </w:t>
      </w:r>
      <w:r>
        <w:t>Replication performance of the top 3 signatures of AECOPD activity when applied to independent samples from AECOPD, convalescing, and stable COPD subjects.</w:t>
      </w:r>
    </w:p>
    <w:p w14:paraId="18A00BC3" w14:textId="661DD162" w:rsidR="008E5A38" w:rsidRDefault="00D12D53" w:rsidP="00D12D53">
      <w:pPr>
        <w:rPr>
          <w:b/>
        </w:rPr>
      </w:pPr>
      <w:r>
        <w:rPr>
          <w:b/>
        </w:rPr>
        <w:t>Figure 4</w:t>
      </w:r>
      <w:r w:rsidR="000D5717">
        <w:rPr>
          <w:b/>
        </w:rPr>
        <w:t>:</w:t>
      </w:r>
      <w:r w:rsidR="00D16AE5">
        <w:rPr>
          <w:b/>
        </w:rPr>
        <w:t xml:space="preserve"> Descriptive title statement.</w:t>
      </w:r>
    </w:p>
    <w:p w14:paraId="501073FA" w14:textId="43AF0B93" w:rsidR="00B746E3" w:rsidRDefault="008E5A38" w:rsidP="00543300">
      <w:r w:rsidRPr="00B658B0">
        <w:t xml:space="preserve">(A) </w:t>
      </w:r>
      <w:r w:rsidR="00D12D53" w:rsidRPr="00B658B0">
        <w:t>Pathway over-representation of BTM gene sets in the selected COPD modules. We</w:t>
      </w:r>
      <w:r w:rsidR="00D12D53">
        <w:t xml:space="preserve"> compared the module membership of selected WGCNA modules to t</w:t>
      </w:r>
      <w:r w:rsidR="00D12D53" w:rsidRPr="00011663">
        <w:t>he Blood Tran</w:t>
      </w:r>
      <w:r w:rsidR="00D12D53">
        <w:t xml:space="preserve">scriptome Modules (BTM), a </w:t>
      </w:r>
      <w:r w:rsidR="00D12D53" w:rsidRPr="00011663">
        <w:t>co</w:t>
      </w:r>
      <w:r w:rsidR="00D12D53">
        <w:t xml:space="preserve">llection of annotated gene sets </w:t>
      </w:r>
      <w:r w:rsidR="00D12D53" w:rsidRPr="00011663">
        <w:t>derived from a large-scale co-expression clustering analysis of &gt;50,000 publicly available blood t</w:t>
      </w:r>
      <w:r w:rsidR="00D12D53">
        <w:t xml:space="preserve">ranscriptome profiling datasets, to better understand their biological function. Our COPD modules are completely distinct at the gene level (by design), but there is significant overlap in function between the light-cyan and salmon </w:t>
      </w:r>
      <w:r w:rsidR="00D12D53" w:rsidRPr="00B658B0">
        <w:t>modules.</w:t>
      </w:r>
      <w:r w:rsidRPr="00B658B0">
        <w:t xml:space="preserve"> (</w:t>
      </w:r>
      <w:r w:rsidR="00D12D53" w:rsidRPr="00B658B0">
        <w:t>B</w:t>
      </w:r>
      <w:r w:rsidRPr="00B658B0">
        <w:t>)</w:t>
      </w:r>
      <w:r w:rsidR="00D12D53" w:rsidRPr="00B658B0">
        <w:t xml:space="preserve"> Cell-specificity of the selected WGCNA modules. We compared </w:t>
      </w:r>
      <w:r w:rsidR="00D12D53">
        <w:t>the module membership of selected WGCNA modules to cell-specific gene signatures derived from peripheral whole blood</w:t>
      </w:r>
      <w:r w:rsidR="00D12D53">
        <w:fldChar w:fldCharType="begin"/>
      </w:r>
      <w:r w:rsidR="00D12D53">
        <w:instrText xml:space="preserve"> ADDIN ZOTERO_ITEM CSL_CITATION {"citationID":"1oejgoodhr","properties":{"formattedCitation":"(26)","plainCitation":"(26)"},"citationItems":[{"id":108,"uris":["http://zotero.org/users/local/QWbLI5ai/items/TW3IGWZ3"],"uri":["http://zotero.org/users/local/QWbLI5ai/items/TW3IGWZ3"],"itemData":{"id":108,"type":"webpage","title":"Gene enrichment profiles reveal T-cell development, differentiation, and lineage-specific transcription factors including ZBTB25 as a novel NF-AT r... - PubMed - NCBI","URL":"https://www.ncbi.nlm.nih.gov/pubmed/20410506","accessed":{"date-parts":[["2018",1,8]]}}}],"schema":"https://github.com/citation-style-language/schema/raw/master/csl-citation.json"} </w:instrText>
      </w:r>
      <w:r w:rsidR="00D12D53">
        <w:fldChar w:fldCharType="separate"/>
      </w:r>
      <w:r w:rsidR="00D12D53" w:rsidRPr="00BC03E4">
        <w:rPr>
          <w:rFonts w:ascii="Calibri" w:hAnsi="Calibri"/>
        </w:rPr>
        <w:t>(26)</w:t>
      </w:r>
      <w:r w:rsidR="00D12D53">
        <w:fldChar w:fldCharType="end"/>
      </w:r>
      <w:r w:rsidR="00D12D53">
        <w:t>. Their relative enrichment across these cell-specific gene signatures is visualized in a radar plot. The salmon and light-cyan modules have very similar profiles, being significantly enriched for genes characteristic of CD4+ and CD8+ T-cells, as well as Treg cells. The salmon module was significantly enriched in NK cell-specific genes, while the light-cyan module was not. The green module did not exhibit any cell-specificity.</w:t>
      </w:r>
    </w:p>
    <w:p w14:paraId="7E9D4D2A" w14:textId="77777777" w:rsidR="00363178" w:rsidRDefault="00363178" w:rsidP="00543300"/>
    <w:p w14:paraId="59E9579D" w14:textId="77777777" w:rsidR="002536A3" w:rsidRDefault="002536A3" w:rsidP="00543300">
      <w:pPr>
        <w:sectPr w:rsidR="002536A3" w:rsidSect="00113CE9">
          <w:pgSz w:w="12240" w:h="15840"/>
          <w:pgMar w:top="1440" w:right="1440" w:bottom="1440" w:left="1440" w:header="720" w:footer="720" w:gutter="0"/>
          <w:cols w:space="720"/>
          <w:docGrid w:linePitch="360"/>
        </w:sectPr>
      </w:pPr>
    </w:p>
    <w:p w14:paraId="225F5458" w14:textId="77777777" w:rsidR="000B070E" w:rsidRDefault="000B070E" w:rsidP="009F7CDB">
      <w:pPr>
        <w:pStyle w:val="Heading1"/>
      </w:pPr>
      <w:r>
        <w:lastRenderedPageBreak/>
        <w:t>Tables</w:t>
      </w:r>
    </w:p>
    <w:p w14:paraId="3E336E43" w14:textId="77777777" w:rsidR="00117DCC" w:rsidRDefault="00117DCC">
      <w:r w:rsidRPr="00117DCC">
        <w:rPr>
          <w:b/>
        </w:rPr>
        <w:t>Table 1.</w:t>
      </w:r>
      <w:r>
        <w:t xml:space="preserve"> Study population demographics.</w:t>
      </w:r>
    </w:p>
    <w:tbl>
      <w:tblPr>
        <w:tblStyle w:val="TableGrid"/>
        <w:tblW w:w="13193" w:type="dxa"/>
        <w:tblLook w:val="04A0" w:firstRow="1" w:lastRow="0" w:firstColumn="1" w:lastColumn="0" w:noHBand="0" w:noVBand="1"/>
      </w:tblPr>
      <w:tblGrid>
        <w:gridCol w:w="1542"/>
        <w:gridCol w:w="1435"/>
        <w:gridCol w:w="1156"/>
        <w:gridCol w:w="1313"/>
        <w:gridCol w:w="581"/>
        <w:gridCol w:w="1265"/>
        <w:gridCol w:w="1329"/>
        <w:gridCol w:w="661"/>
        <w:gridCol w:w="1249"/>
        <w:gridCol w:w="1348"/>
        <w:gridCol w:w="661"/>
        <w:gridCol w:w="661"/>
      </w:tblGrid>
      <w:tr w:rsidR="00820B65" w:rsidRPr="00547C63" w14:paraId="49572F59" w14:textId="77777777" w:rsidTr="00FC492C">
        <w:trPr>
          <w:trHeight w:val="20"/>
        </w:trPr>
        <w:tc>
          <w:tcPr>
            <w:tcW w:w="1542" w:type="dxa"/>
            <w:vMerge w:val="restart"/>
            <w:shd w:val="clear" w:color="auto" w:fill="BFBFBF" w:themeFill="background1" w:themeFillShade="BF"/>
            <w:noWrap/>
            <w:vAlign w:val="bottom"/>
            <w:hideMark/>
          </w:tcPr>
          <w:p w14:paraId="5619E651" w14:textId="77777777" w:rsidR="004232C6" w:rsidRPr="00547C63" w:rsidRDefault="004232C6" w:rsidP="00547C63">
            <w:pPr>
              <w:spacing w:before="0"/>
              <w:jc w:val="center"/>
              <w:rPr>
                <w:sz w:val="16"/>
                <w:szCs w:val="16"/>
              </w:rPr>
            </w:pPr>
          </w:p>
        </w:tc>
        <w:tc>
          <w:tcPr>
            <w:tcW w:w="4482" w:type="dxa"/>
            <w:gridSpan w:val="4"/>
            <w:shd w:val="clear" w:color="auto" w:fill="BFBFBF" w:themeFill="background1" w:themeFillShade="BF"/>
            <w:noWrap/>
            <w:vAlign w:val="bottom"/>
            <w:hideMark/>
          </w:tcPr>
          <w:p w14:paraId="3AA5936F"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ECLIPSE</w:t>
            </w:r>
          </w:p>
        </w:tc>
        <w:tc>
          <w:tcPr>
            <w:tcW w:w="7167" w:type="dxa"/>
            <w:gridSpan w:val="7"/>
            <w:shd w:val="clear" w:color="auto" w:fill="BFBFBF" w:themeFill="background1" w:themeFillShade="BF"/>
            <w:noWrap/>
            <w:vAlign w:val="bottom"/>
            <w:hideMark/>
          </w:tcPr>
          <w:p w14:paraId="7D15D346"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Rapid Transition</w:t>
            </w:r>
          </w:p>
        </w:tc>
      </w:tr>
      <w:tr w:rsidR="00B47F52" w:rsidRPr="00547C63" w14:paraId="694F4501" w14:textId="77777777" w:rsidTr="00FC492C">
        <w:trPr>
          <w:trHeight w:val="20"/>
        </w:trPr>
        <w:tc>
          <w:tcPr>
            <w:tcW w:w="1542" w:type="dxa"/>
            <w:vMerge/>
            <w:shd w:val="clear" w:color="auto" w:fill="BFBFBF" w:themeFill="background1" w:themeFillShade="BF"/>
            <w:noWrap/>
            <w:vAlign w:val="bottom"/>
            <w:hideMark/>
          </w:tcPr>
          <w:p w14:paraId="30C03A2E" w14:textId="77777777" w:rsidR="004232C6" w:rsidRPr="00547C63" w:rsidRDefault="004232C6" w:rsidP="00547C63">
            <w:pPr>
              <w:spacing w:before="0"/>
              <w:jc w:val="center"/>
              <w:rPr>
                <w:sz w:val="16"/>
                <w:szCs w:val="16"/>
              </w:rPr>
            </w:pPr>
          </w:p>
        </w:tc>
        <w:tc>
          <w:tcPr>
            <w:tcW w:w="1435" w:type="dxa"/>
            <w:shd w:val="clear" w:color="auto" w:fill="BFBFBF" w:themeFill="background1" w:themeFillShade="BF"/>
            <w:noWrap/>
            <w:vAlign w:val="bottom"/>
            <w:hideMark/>
          </w:tcPr>
          <w:p w14:paraId="5984D02D" w14:textId="77777777" w:rsidR="004232C6" w:rsidRPr="00FC492C" w:rsidRDefault="00820B65" w:rsidP="00547C63">
            <w:pPr>
              <w:spacing w:before="0"/>
              <w:jc w:val="center"/>
              <w:rPr>
                <w:b/>
                <w:color w:val="000000" w:themeColor="text1"/>
                <w:sz w:val="16"/>
                <w:szCs w:val="16"/>
              </w:rPr>
            </w:pPr>
            <w:r w:rsidRPr="00FC492C">
              <w:rPr>
                <w:b/>
                <w:color w:val="000000" w:themeColor="text1"/>
                <w:sz w:val="16"/>
                <w:szCs w:val="16"/>
              </w:rPr>
              <w:t>Co-expression</w:t>
            </w:r>
          </w:p>
        </w:tc>
        <w:tc>
          <w:tcPr>
            <w:tcW w:w="3047" w:type="dxa"/>
            <w:gridSpan w:val="3"/>
            <w:shd w:val="clear" w:color="auto" w:fill="BFBFBF" w:themeFill="background1" w:themeFillShade="BF"/>
            <w:noWrap/>
            <w:vAlign w:val="bottom"/>
            <w:hideMark/>
          </w:tcPr>
          <w:p w14:paraId="5733238A"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Biomarker discovery</w:t>
            </w:r>
          </w:p>
        </w:tc>
        <w:tc>
          <w:tcPr>
            <w:tcW w:w="3253" w:type="dxa"/>
            <w:gridSpan w:val="3"/>
            <w:shd w:val="clear" w:color="auto" w:fill="BFBFBF" w:themeFill="background1" w:themeFillShade="BF"/>
            <w:noWrap/>
            <w:vAlign w:val="bottom"/>
            <w:hideMark/>
          </w:tcPr>
          <w:p w14:paraId="5FE75320"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Biomarker selection</w:t>
            </w:r>
          </w:p>
        </w:tc>
        <w:tc>
          <w:tcPr>
            <w:tcW w:w="3256" w:type="dxa"/>
            <w:gridSpan w:val="3"/>
            <w:shd w:val="clear" w:color="auto" w:fill="BFBFBF" w:themeFill="background1" w:themeFillShade="BF"/>
            <w:noWrap/>
            <w:vAlign w:val="bottom"/>
            <w:hideMark/>
          </w:tcPr>
          <w:p w14:paraId="486CE557"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Biomarker replication</w:t>
            </w:r>
          </w:p>
        </w:tc>
        <w:tc>
          <w:tcPr>
            <w:tcW w:w="659" w:type="dxa"/>
            <w:vMerge w:val="restart"/>
            <w:shd w:val="clear" w:color="auto" w:fill="BFBFBF" w:themeFill="background1" w:themeFillShade="BF"/>
            <w:noWrap/>
            <w:vAlign w:val="bottom"/>
            <w:hideMark/>
          </w:tcPr>
          <w:p w14:paraId="14A717F8" w14:textId="77777777" w:rsidR="004232C6" w:rsidRPr="00FC492C" w:rsidRDefault="00745C2F" w:rsidP="00745C2F">
            <w:pPr>
              <w:spacing w:before="0"/>
              <w:jc w:val="center"/>
              <w:rPr>
                <w:b/>
                <w:color w:val="000000" w:themeColor="text1"/>
                <w:sz w:val="16"/>
                <w:szCs w:val="16"/>
              </w:rPr>
            </w:pPr>
            <w:r w:rsidRPr="00FC492C">
              <w:rPr>
                <w:b/>
                <w:color w:val="000000" w:themeColor="text1"/>
                <w:sz w:val="16"/>
                <w:szCs w:val="16"/>
              </w:rPr>
              <w:t>P</w:t>
            </w:r>
          </w:p>
        </w:tc>
      </w:tr>
      <w:tr w:rsidR="00B47F52" w:rsidRPr="00547C63" w14:paraId="0ED619B7" w14:textId="77777777" w:rsidTr="00FC492C">
        <w:trPr>
          <w:trHeight w:val="20"/>
        </w:trPr>
        <w:tc>
          <w:tcPr>
            <w:tcW w:w="1542" w:type="dxa"/>
            <w:vMerge/>
            <w:shd w:val="clear" w:color="auto" w:fill="BFBFBF" w:themeFill="background1" w:themeFillShade="BF"/>
            <w:noWrap/>
            <w:vAlign w:val="bottom"/>
            <w:hideMark/>
          </w:tcPr>
          <w:p w14:paraId="2117353F" w14:textId="77777777" w:rsidR="004232C6" w:rsidRPr="00547C63" w:rsidRDefault="004232C6" w:rsidP="00547C63">
            <w:pPr>
              <w:spacing w:before="0"/>
              <w:jc w:val="center"/>
              <w:rPr>
                <w:sz w:val="16"/>
                <w:szCs w:val="16"/>
              </w:rPr>
            </w:pPr>
          </w:p>
        </w:tc>
        <w:tc>
          <w:tcPr>
            <w:tcW w:w="1435" w:type="dxa"/>
            <w:shd w:val="clear" w:color="auto" w:fill="BFBFBF" w:themeFill="background1" w:themeFillShade="BF"/>
            <w:noWrap/>
            <w:vAlign w:val="bottom"/>
            <w:hideMark/>
          </w:tcPr>
          <w:p w14:paraId="12626B5C"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WGCNA</w:t>
            </w:r>
          </w:p>
          <w:p w14:paraId="64BD681C"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(N=226)</w:t>
            </w:r>
          </w:p>
        </w:tc>
        <w:tc>
          <w:tcPr>
            <w:tcW w:w="1156" w:type="dxa"/>
            <w:shd w:val="clear" w:color="auto" w:fill="BFBFBF" w:themeFill="background1" w:themeFillShade="BF"/>
            <w:noWrap/>
            <w:vAlign w:val="bottom"/>
            <w:hideMark/>
          </w:tcPr>
          <w:p w14:paraId="514FE325"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IE</w:t>
            </w:r>
          </w:p>
          <w:p w14:paraId="00C9EEA4"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(N=20)</w:t>
            </w:r>
          </w:p>
        </w:tc>
        <w:tc>
          <w:tcPr>
            <w:tcW w:w="1313" w:type="dxa"/>
            <w:shd w:val="clear" w:color="auto" w:fill="BFBFBF" w:themeFill="background1" w:themeFillShade="BF"/>
            <w:noWrap/>
            <w:vAlign w:val="bottom"/>
            <w:hideMark/>
          </w:tcPr>
          <w:p w14:paraId="5DD4C824"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NE</w:t>
            </w:r>
          </w:p>
          <w:p w14:paraId="470F009E"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(N=122)</w:t>
            </w:r>
          </w:p>
        </w:tc>
        <w:tc>
          <w:tcPr>
            <w:tcW w:w="579" w:type="dxa"/>
            <w:shd w:val="clear" w:color="auto" w:fill="BFBFBF" w:themeFill="background1" w:themeFillShade="BF"/>
            <w:noWrap/>
            <w:vAlign w:val="bottom"/>
            <w:hideMark/>
          </w:tcPr>
          <w:p w14:paraId="25979626" w14:textId="77777777" w:rsidR="004232C6" w:rsidRPr="00FC492C" w:rsidRDefault="00745C2F" w:rsidP="00745C2F">
            <w:pPr>
              <w:spacing w:before="0"/>
              <w:jc w:val="center"/>
              <w:rPr>
                <w:b/>
                <w:color w:val="000000" w:themeColor="text1"/>
                <w:sz w:val="16"/>
                <w:szCs w:val="16"/>
              </w:rPr>
            </w:pPr>
            <w:r w:rsidRPr="00FC492C">
              <w:rPr>
                <w:b/>
                <w:color w:val="000000" w:themeColor="text1"/>
                <w:sz w:val="16"/>
                <w:szCs w:val="16"/>
              </w:rPr>
              <w:t>P</w:t>
            </w:r>
          </w:p>
        </w:tc>
        <w:tc>
          <w:tcPr>
            <w:tcW w:w="1265" w:type="dxa"/>
            <w:shd w:val="clear" w:color="auto" w:fill="BFBFBF" w:themeFill="background1" w:themeFillShade="BF"/>
            <w:noWrap/>
            <w:vAlign w:val="bottom"/>
            <w:hideMark/>
          </w:tcPr>
          <w:p w14:paraId="43680719"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AECOPD</w:t>
            </w:r>
          </w:p>
          <w:p w14:paraId="08E51504"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(N=62)</w:t>
            </w:r>
          </w:p>
        </w:tc>
        <w:tc>
          <w:tcPr>
            <w:tcW w:w="1329" w:type="dxa"/>
            <w:shd w:val="clear" w:color="auto" w:fill="BFBFBF" w:themeFill="background1" w:themeFillShade="BF"/>
            <w:noWrap/>
            <w:vAlign w:val="bottom"/>
            <w:hideMark/>
          </w:tcPr>
          <w:p w14:paraId="5763E024"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Stable</w:t>
            </w:r>
          </w:p>
          <w:p w14:paraId="2D9AACEE"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(N=34)</w:t>
            </w:r>
          </w:p>
        </w:tc>
        <w:tc>
          <w:tcPr>
            <w:tcW w:w="659" w:type="dxa"/>
            <w:shd w:val="clear" w:color="auto" w:fill="BFBFBF" w:themeFill="background1" w:themeFillShade="BF"/>
            <w:noWrap/>
            <w:vAlign w:val="bottom"/>
            <w:hideMark/>
          </w:tcPr>
          <w:p w14:paraId="21E8F6DC" w14:textId="77777777" w:rsidR="004232C6" w:rsidRPr="00FC492C" w:rsidRDefault="00745C2F" w:rsidP="00745C2F">
            <w:pPr>
              <w:spacing w:before="0"/>
              <w:jc w:val="center"/>
              <w:rPr>
                <w:b/>
                <w:color w:val="000000" w:themeColor="text1"/>
                <w:sz w:val="16"/>
                <w:szCs w:val="16"/>
              </w:rPr>
            </w:pPr>
            <w:r w:rsidRPr="00FC492C">
              <w:rPr>
                <w:b/>
                <w:color w:val="000000" w:themeColor="text1"/>
                <w:sz w:val="16"/>
                <w:szCs w:val="16"/>
              </w:rPr>
              <w:t>P</w:t>
            </w:r>
          </w:p>
        </w:tc>
        <w:tc>
          <w:tcPr>
            <w:tcW w:w="1249" w:type="dxa"/>
            <w:shd w:val="clear" w:color="auto" w:fill="BFBFBF" w:themeFill="background1" w:themeFillShade="BF"/>
            <w:noWrap/>
            <w:vAlign w:val="bottom"/>
            <w:hideMark/>
          </w:tcPr>
          <w:p w14:paraId="01532BF2"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AECOPD</w:t>
            </w:r>
          </w:p>
          <w:p w14:paraId="6EC9841B"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(N=177)</w:t>
            </w:r>
          </w:p>
        </w:tc>
        <w:tc>
          <w:tcPr>
            <w:tcW w:w="1348" w:type="dxa"/>
            <w:shd w:val="clear" w:color="auto" w:fill="BFBFBF" w:themeFill="background1" w:themeFillShade="BF"/>
            <w:noWrap/>
            <w:vAlign w:val="bottom"/>
            <w:hideMark/>
          </w:tcPr>
          <w:p w14:paraId="43DDEB8F"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Stable</w:t>
            </w:r>
          </w:p>
          <w:p w14:paraId="33A2939C" w14:textId="77777777" w:rsidR="004232C6" w:rsidRPr="00FC492C" w:rsidRDefault="004232C6" w:rsidP="00547C63">
            <w:pPr>
              <w:spacing w:before="0"/>
              <w:jc w:val="center"/>
              <w:rPr>
                <w:b/>
                <w:color w:val="000000" w:themeColor="text1"/>
                <w:sz w:val="16"/>
                <w:szCs w:val="16"/>
              </w:rPr>
            </w:pPr>
            <w:r w:rsidRPr="00FC492C">
              <w:rPr>
                <w:b/>
                <w:color w:val="000000" w:themeColor="text1"/>
                <w:sz w:val="16"/>
                <w:szCs w:val="16"/>
              </w:rPr>
              <w:t>(N=57)</w:t>
            </w:r>
          </w:p>
        </w:tc>
        <w:tc>
          <w:tcPr>
            <w:tcW w:w="659" w:type="dxa"/>
            <w:shd w:val="clear" w:color="auto" w:fill="BFBFBF" w:themeFill="background1" w:themeFillShade="BF"/>
            <w:noWrap/>
            <w:vAlign w:val="bottom"/>
            <w:hideMark/>
          </w:tcPr>
          <w:p w14:paraId="7F058629" w14:textId="77777777" w:rsidR="004232C6" w:rsidRPr="00FC492C" w:rsidRDefault="00745C2F" w:rsidP="00745C2F">
            <w:pPr>
              <w:spacing w:before="0"/>
              <w:jc w:val="center"/>
              <w:rPr>
                <w:b/>
                <w:color w:val="000000" w:themeColor="text1"/>
                <w:sz w:val="16"/>
                <w:szCs w:val="16"/>
              </w:rPr>
            </w:pPr>
            <w:r w:rsidRPr="00FC492C">
              <w:rPr>
                <w:b/>
                <w:color w:val="000000" w:themeColor="text1"/>
                <w:sz w:val="16"/>
                <w:szCs w:val="16"/>
              </w:rPr>
              <w:t>P</w:t>
            </w:r>
          </w:p>
        </w:tc>
        <w:tc>
          <w:tcPr>
            <w:tcW w:w="659" w:type="dxa"/>
            <w:vMerge/>
            <w:shd w:val="clear" w:color="auto" w:fill="BFBFBF" w:themeFill="background1" w:themeFillShade="BF"/>
            <w:noWrap/>
            <w:vAlign w:val="center"/>
            <w:hideMark/>
          </w:tcPr>
          <w:p w14:paraId="11F8BF78" w14:textId="77777777" w:rsidR="004232C6" w:rsidRPr="00547C63" w:rsidRDefault="004232C6" w:rsidP="00547C63">
            <w:pPr>
              <w:spacing w:before="0"/>
              <w:jc w:val="center"/>
              <w:rPr>
                <w:b/>
                <w:color w:val="000000" w:themeColor="text1"/>
              </w:rPr>
            </w:pPr>
          </w:p>
        </w:tc>
      </w:tr>
      <w:tr w:rsidR="00B47F52" w:rsidRPr="00547C63" w14:paraId="4356E5E9" w14:textId="77777777" w:rsidTr="00FC492C">
        <w:trPr>
          <w:trHeight w:val="20"/>
        </w:trPr>
        <w:tc>
          <w:tcPr>
            <w:tcW w:w="1542" w:type="dxa"/>
            <w:noWrap/>
            <w:vAlign w:val="center"/>
            <w:hideMark/>
          </w:tcPr>
          <w:p w14:paraId="46A54105" w14:textId="77777777" w:rsidR="000636C3" w:rsidRPr="00547C63" w:rsidRDefault="000636C3" w:rsidP="00547C63">
            <w:pPr>
              <w:spacing w:before="0"/>
              <w:rPr>
                <w:sz w:val="16"/>
                <w:szCs w:val="16"/>
              </w:rPr>
            </w:pPr>
            <w:r w:rsidRPr="00547C63">
              <w:rPr>
                <w:sz w:val="16"/>
                <w:szCs w:val="16"/>
              </w:rPr>
              <w:t>Age</w:t>
            </w:r>
          </w:p>
        </w:tc>
        <w:tc>
          <w:tcPr>
            <w:tcW w:w="1435" w:type="dxa"/>
            <w:noWrap/>
            <w:vAlign w:val="center"/>
            <w:hideMark/>
          </w:tcPr>
          <w:p w14:paraId="4CBC37DB" w14:textId="77777777" w:rsidR="000636C3" w:rsidRPr="00547C63" w:rsidRDefault="000636C3" w:rsidP="00547C63">
            <w:pPr>
              <w:spacing w:before="0"/>
              <w:jc w:val="center"/>
              <w:rPr>
                <w:sz w:val="16"/>
                <w:szCs w:val="16"/>
              </w:rPr>
            </w:pPr>
            <w:r w:rsidRPr="00547C63">
              <w:rPr>
                <w:sz w:val="16"/>
                <w:szCs w:val="16"/>
              </w:rPr>
              <w:t>64.2 ± 6.2</w:t>
            </w:r>
          </w:p>
        </w:tc>
        <w:tc>
          <w:tcPr>
            <w:tcW w:w="1156" w:type="dxa"/>
            <w:noWrap/>
            <w:vAlign w:val="center"/>
            <w:hideMark/>
          </w:tcPr>
          <w:p w14:paraId="6BB79AA2" w14:textId="77777777" w:rsidR="000636C3" w:rsidRPr="00547C63" w:rsidRDefault="000636C3" w:rsidP="00547C63">
            <w:pPr>
              <w:spacing w:before="0"/>
              <w:jc w:val="center"/>
              <w:rPr>
                <w:sz w:val="16"/>
                <w:szCs w:val="16"/>
              </w:rPr>
            </w:pPr>
            <w:r w:rsidRPr="00547C63">
              <w:rPr>
                <w:sz w:val="16"/>
                <w:szCs w:val="16"/>
              </w:rPr>
              <w:t>63.7 ± 6.8</w:t>
            </w:r>
          </w:p>
        </w:tc>
        <w:tc>
          <w:tcPr>
            <w:tcW w:w="1313" w:type="dxa"/>
            <w:noWrap/>
            <w:vAlign w:val="center"/>
            <w:hideMark/>
          </w:tcPr>
          <w:p w14:paraId="7DB41D07" w14:textId="77777777" w:rsidR="000636C3" w:rsidRPr="00547C63" w:rsidRDefault="000636C3" w:rsidP="00547C63">
            <w:pPr>
              <w:spacing w:before="0"/>
              <w:jc w:val="center"/>
              <w:rPr>
                <w:sz w:val="16"/>
                <w:szCs w:val="16"/>
              </w:rPr>
            </w:pPr>
            <w:r w:rsidRPr="00547C63">
              <w:rPr>
                <w:sz w:val="16"/>
                <w:szCs w:val="16"/>
              </w:rPr>
              <w:t>64.1 ± 6.1</w:t>
            </w:r>
          </w:p>
        </w:tc>
        <w:tc>
          <w:tcPr>
            <w:tcW w:w="579" w:type="dxa"/>
            <w:noWrap/>
            <w:vAlign w:val="center"/>
            <w:hideMark/>
          </w:tcPr>
          <w:p w14:paraId="01CA9034" w14:textId="77777777" w:rsidR="000636C3" w:rsidRPr="00547C63" w:rsidRDefault="000636C3" w:rsidP="00547C63">
            <w:pPr>
              <w:spacing w:before="0"/>
              <w:jc w:val="right"/>
              <w:rPr>
                <w:sz w:val="16"/>
                <w:szCs w:val="16"/>
              </w:rPr>
            </w:pPr>
            <w:r w:rsidRPr="00547C63">
              <w:rPr>
                <w:sz w:val="16"/>
                <w:szCs w:val="16"/>
              </w:rPr>
              <w:t>0.782</w:t>
            </w:r>
          </w:p>
        </w:tc>
        <w:tc>
          <w:tcPr>
            <w:tcW w:w="1265" w:type="dxa"/>
            <w:noWrap/>
            <w:vAlign w:val="center"/>
            <w:hideMark/>
          </w:tcPr>
          <w:p w14:paraId="530ADBB4" w14:textId="77777777" w:rsidR="000636C3" w:rsidRPr="00547C63" w:rsidRDefault="000636C3" w:rsidP="00547C63">
            <w:pPr>
              <w:spacing w:before="0"/>
              <w:jc w:val="center"/>
              <w:rPr>
                <w:sz w:val="16"/>
                <w:szCs w:val="16"/>
              </w:rPr>
            </w:pPr>
            <w:r w:rsidRPr="00547C63">
              <w:rPr>
                <w:sz w:val="16"/>
                <w:szCs w:val="16"/>
              </w:rPr>
              <w:t>68.3 ± 11.5</w:t>
            </w:r>
          </w:p>
        </w:tc>
        <w:tc>
          <w:tcPr>
            <w:tcW w:w="1329" w:type="dxa"/>
            <w:noWrap/>
            <w:vAlign w:val="center"/>
            <w:hideMark/>
          </w:tcPr>
          <w:p w14:paraId="629B66CD" w14:textId="77777777" w:rsidR="000636C3" w:rsidRPr="00547C63" w:rsidRDefault="000636C3" w:rsidP="00547C63">
            <w:pPr>
              <w:spacing w:before="0"/>
              <w:jc w:val="center"/>
              <w:rPr>
                <w:sz w:val="16"/>
                <w:szCs w:val="16"/>
              </w:rPr>
            </w:pPr>
            <w:r w:rsidRPr="00547C63">
              <w:rPr>
                <w:sz w:val="16"/>
                <w:szCs w:val="16"/>
              </w:rPr>
              <w:t>63.8 ± 11.6</w:t>
            </w:r>
          </w:p>
        </w:tc>
        <w:tc>
          <w:tcPr>
            <w:tcW w:w="659" w:type="dxa"/>
            <w:noWrap/>
            <w:vAlign w:val="center"/>
            <w:hideMark/>
          </w:tcPr>
          <w:p w14:paraId="7EC3B237" w14:textId="77777777" w:rsidR="000636C3" w:rsidRPr="00547C63" w:rsidRDefault="000636C3" w:rsidP="00547C63">
            <w:pPr>
              <w:spacing w:before="0"/>
              <w:jc w:val="right"/>
              <w:rPr>
                <w:sz w:val="16"/>
                <w:szCs w:val="16"/>
              </w:rPr>
            </w:pPr>
            <w:r w:rsidRPr="00547C63">
              <w:rPr>
                <w:sz w:val="16"/>
                <w:szCs w:val="16"/>
              </w:rPr>
              <w:t>0.07</w:t>
            </w:r>
            <w:r w:rsidR="00270A22">
              <w:rPr>
                <w:sz w:val="16"/>
                <w:szCs w:val="16"/>
              </w:rPr>
              <w:t>0</w:t>
            </w:r>
          </w:p>
        </w:tc>
        <w:tc>
          <w:tcPr>
            <w:tcW w:w="1249" w:type="dxa"/>
            <w:noWrap/>
            <w:vAlign w:val="center"/>
            <w:hideMark/>
          </w:tcPr>
          <w:p w14:paraId="3498EFD4" w14:textId="77777777" w:rsidR="000636C3" w:rsidRPr="00547C63" w:rsidRDefault="000636C3" w:rsidP="00547C63">
            <w:pPr>
              <w:spacing w:before="0"/>
              <w:jc w:val="center"/>
              <w:rPr>
                <w:sz w:val="16"/>
                <w:szCs w:val="16"/>
              </w:rPr>
            </w:pPr>
            <w:r w:rsidRPr="00547C63">
              <w:rPr>
                <w:sz w:val="16"/>
                <w:szCs w:val="16"/>
              </w:rPr>
              <w:t>66.5 ± 12.0</w:t>
            </w:r>
          </w:p>
        </w:tc>
        <w:tc>
          <w:tcPr>
            <w:tcW w:w="1348" w:type="dxa"/>
            <w:noWrap/>
            <w:vAlign w:val="center"/>
            <w:hideMark/>
          </w:tcPr>
          <w:p w14:paraId="6A3557A1" w14:textId="77777777" w:rsidR="000636C3" w:rsidRPr="00547C63" w:rsidRDefault="000636C3" w:rsidP="00547C63">
            <w:pPr>
              <w:spacing w:before="0"/>
              <w:jc w:val="center"/>
              <w:rPr>
                <w:sz w:val="16"/>
                <w:szCs w:val="16"/>
              </w:rPr>
            </w:pPr>
            <w:r w:rsidRPr="00547C63">
              <w:rPr>
                <w:sz w:val="16"/>
                <w:szCs w:val="16"/>
              </w:rPr>
              <w:t>65.6 ± 13.2</w:t>
            </w:r>
          </w:p>
        </w:tc>
        <w:tc>
          <w:tcPr>
            <w:tcW w:w="659" w:type="dxa"/>
            <w:noWrap/>
            <w:vAlign w:val="center"/>
            <w:hideMark/>
          </w:tcPr>
          <w:p w14:paraId="1B6F9D7F" w14:textId="77777777" w:rsidR="000636C3" w:rsidRPr="00547C63" w:rsidRDefault="000636C3" w:rsidP="00547C63">
            <w:pPr>
              <w:spacing w:before="0"/>
              <w:jc w:val="right"/>
              <w:rPr>
                <w:sz w:val="16"/>
                <w:szCs w:val="16"/>
              </w:rPr>
            </w:pPr>
            <w:r w:rsidRPr="00547C63">
              <w:rPr>
                <w:sz w:val="16"/>
                <w:szCs w:val="16"/>
              </w:rPr>
              <w:t>0.626</w:t>
            </w:r>
          </w:p>
        </w:tc>
        <w:tc>
          <w:tcPr>
            <w:tcW w:w="659" w:type="dxa"/>
            <w:noWrap/>
            <w:vAlign w:val="center"/>
            <w:hideMark/>
          </w:tcPr>
          <w:p w14:paraId="23F9DB18" w14:textId="77777777" w:rsidR="000636C3" w:rsidRPr="00547C63" w:rsidRDefault="000636C3" w:rsidP="00547C63">
            <w:pPr>
              <w:spacing w:before="0"/>
              <w:jc w:val="right"/>
              <w:rPr>
                <w:sz w:val="16"/>
                <w:szCs w:val="16"/>
              </w:rPr>
            </w:pPr>
            <w:r w:rsidRPr="00547C63">
              <w:rPr>
                <w:sz w:val="16"/>
                <w:szCs w:val="16"/>
              </w:rPr>
              <w:t>0.335</w:t>
            </w:r>
          </w:p>
        </w:tc>
      </w:tr>
      <w:tr w:rsidR="00B47F52" w:rsidRPr="00547C63" w14:paraId="67D9FBE1" w14:textId="77777777" w:rsidTr="00FC492C">
        <w:trPr>
          <w:trHeight w:val="20"/>
        </w:trPr>
        <w:tc>
          <w:tcPr>
            <w:tcW w:w="1542" w:type="dxa"/>
            <w:noWrap/>
            <w:vAlign w:val="center"/>
            <w:hideMark/>
          </w:tcPr>
          <w:p w14:paraId="77BEEC57" w14:textId="77777777" w:rsidR="000636C3" w:rsidRPr="00547C63" w:rsidRDefault="000636C3" w:rsidP="00547C63">
            <w:pPr>
              <w:spacing w:before="0"/>
              <w:rPr>
                <w:sz w:val="16"/>
                <w:szCs w:val="16"/>
              </w:rPr>
            </w:pPr>
            <w:r w:rsidRPr="00547C63">
              <w:rPr>
                <w:sz w:val="16"/>
                <w:szCs w:val="16"/>
              </w:rPr>
              <w:t>Male (%)</w:t>
            </w:r>
          </w:p>
        </w:tc>
        <w:tc>
          <w:tcPr>
            <w:tcW w:w="1435" w:type="dxa"/>
            <w:noWrap/>
            <w:vAlign w:val="center"/>
            <w:hideMark/>
          </w:tcPr>
          <w:p w14:paraId="727DB77E" w14:textId="77777777" w:rsidR="000636C3" w:rsidRPr="00547C63" w:rsidRDefault="000636C3" w:rsidP="00547C63">
            <w:pPr>
              <w:spacing w:before="0"/>
              <w:jc w:val="center"/>
              <w:rPr>
                <w:sz w:val="16"/>
                <w:szCs w:val="16"/>
              </w:rPr>
            </w:pPr>
            <w:r w:rsidRPr="00547C63">
              <w:rPr>
                <w:sz w:val="16"/>
                <w:szCs w:val="16"/>
              </w:rPr>
              <w:t>63.7%</w:t>
            </w:r>
          </w:p>
        </w:tc>
        <w:tc>
          <w:tcPr>
            <w:tcW w:w="1156" w:type="dxa"/>
            <w:noWrap/>
            <w:vAlign w:val="center"/>
            <w:hideMark/>
          </w:tcPr>
          <w:p w14:paraId="5BF56092" w14:textId="77777777" w:rsidR="000636C3" w:rsidRPr="00547C63" w:rsidRDefault="000636C3" w:rsidP="00547C63">
            <w:pPr>
              <w:spacing w:before="0"/>
              <w:jc w:val="center"/>
              <w:rPr>
                <w:sz w:val="16"/>
                <w:szCs w:val="16"/>
              </w:rPr>
            </w:pPr>
            <w:r w:rsidRPr="00547C63">
              <w:rPr>
                <w:sz w:val="16"/>
                <w:szCs w:val="16"/>
              </w:rPr>
              <w:t>75.0%</w:t>
            </w:r>
          </w:p>
        </w:tc>
        <w:tc>
          <w:tcPr>
            <w:tcW w:w="1313" w:type="dxa"/>
            <w:noWrap/>
            <w:vAlign w:val="center"/>
            <w:hideMark/>
          </w:tcPr>
          <w:p w14:paraId="6F86AE5B" w14:textId="77777777" w:rsidR="000636C3" w:rsidRPr="00547C63" w:rsidRDefault="000636C3" w:rsidP="00547C63">
            <w:pPr>
              <w:spacing w:before="0"/>
              <w:jc w:val="center"/>
              <w:rPr>
                <w:sz w:val="16"/>
                <w:szCs w:val="16"/>
              </w:rPr>
            </w:pPr>
            <w:r w:rsidRPr="00547C63">
              <w:rPr>
                <w:sz w:val="16"/>
                <w:szCs w:val="16"/>
              </w:rPr>
              <w:t>70.5%</w:t>
            </w:r>
          </w:p>
        </w:tc>
        <w:tc>
          <w:tcPr>
            <w:tcW w:w="579" w:type="dxa"/>
            <w:noWrap/>
            <w:vAlign w:val="center"/>
            <w:hideMark/>
          </w:tcPr>
          <w:p w14:paraId="1CDBD9CA" w14:textId="77777777" w:rsidR="000636C3" w:rsidRPr="00547C63" w:rsidRDefault="000636C3" w:rsidP="00547C63">
            <w:pPr>
              <w:spacing w:before="0"/>
              <w:jc w:val="right"/>
              <w:rPr>
                <w:sz w:val="16"/>
                <w:szCs w:val="16"/>
              </w:rPr>
            </w:pPr>
            <w:r w:rsidRPr="00547C63">
              <w:rPr>
                <w:sz w:val="16"/>
                <w:szCs w:val="16"/>
              </w:rPr>
              <w:t>0.794</w:t>
            </w:r>
          </w:p>
        </w:tc>
        <w:tc>
          <w:tcPr>
            <w:tcW w:w="1265" w:type="dxa"/>
            <w:noWrap/>
            <w:vAlign w:val="center"/>
            <w:hideMark/>
          </w:tcPr>
          <w:p w14:paraId="393ED042" w14:textId="77777777" w:rsidR="000636C3" w:rsidRPr="00547C63" w:rsidRDefault="000636C3" w:rsidP="00547C63">
            <w:pPr>
              <w:spacing w:before="0"/>
              <w:jc w:val="center"/>
              <w:rPr>
                <w:sz w:val="16"/>
                <w:szCs w:val="16"/>
              </w:rPr>
            </w:pPr>
            <w:r w:rsidRPr="00547C63">
              <w:rPr>
                <w:sz w:val="16"/>
                <w:szCs w:val="16"/>
              </w:rPr>
              <w:t>56.5%</w:t>
            </w:r>
          </w:p>
        </w:tc>
        <w:tc>
          <w:tcPr>
            <w:tcW w:w="1329" w:type="dxa"/>
            <w:noWrap/>
            <w:vAlign w:val="center"/>
            <w:hideMark/>
          </w:tcPr>
          <w:p w14:paraId="39C83E75" w14:textId="77777777" w:rsidR="000636C3" w:rsidRPr="00547C63" w:rsidRDefault="000636C3" w:rsidP="00547C63">
            <w:pPr>
              <w:spacing w:before="0"/>
              <w:jc w:val="center"/>
              <w:rPr>
                <w:sz w:val="16"/>
                <w:szCs w:val="16"/>
              </w:rPr>
            </w:pPr>
            <w:r w:rsidRPr="00547C63">
              <w:rPr>
                <w:sz w:val="16"/>
                <w:szCs w:val="16"/>
              </w:rPr>
              <w:t>76.5%</w:t>
            </w:r>
          </w:p>
        </w:tc>
        <w:tc>
          <w:tcPr>
            <w:tcW w:w="659" w:type="dxa"/>
            <w:noWrap/>
            <w:vAlign w:val="center"/>
            <w:hideMark/>
          </w:tcPr>
          <w:p w14:paraId="5210D71C" w14:textId="77777777" w:rsidR="000636C3" w:rsidRPr="00547C63" w:rsidRDefault="000636C3" w:rsidP="00547C63">
            <w:pPr>
              <w:spacing w:before="0"/>
              <w:jc w:val="right"/>
              <w:rPr>
                <w:sz w:val="16"/>
                <w:szCs w:val="16"/>
              </w:rPr>
            </w:pPr>
            <w:r w:rsidRPr="00547C63">
              <w:rPr>
                <w:sz w:val="16"/>
                <w:szCs w:val="16"/>
              </w:rPr>
              <w:t>0.075</w:t>
            </w:r>
          </w:p>
        </w:tc>
        <w:tc>
          <w:tcPr>
            <w:tcW w:w="1249" w:type="dxa"/>
            <w:noWrap/>
            <w:vAlign w:val="center"/>
            <w:hideMark/>
          </w:tcPr>
          <w:p w14:paraId="6B192762" w14:textId="77777777" w:rsidR="000636C3" w:rsidRPr="00547C63" w:rsidRDefault="000636C3" w:rsidP="00547C63">
            <w:pPr>
              <w:spacing w:before="0"/>
              <w:jc w:val="center"/>
              <w:rPr>
                <w:sz w:val="16"/>
                <w:szCs w:val="16"/>
              </w:rPr>
            </w:pPr>
            <w:r w:rsidRPr="00547C63">
              <w:rPr>
                <w:sz w:val="16"/>
                <w:szCs w:val="16"/>
              </w:rPr>
              <w:t>63.3%</w:t>
            </w:r>
          </w:p>
        </w:tc>
        <w:tc>
          <w:tcPr>
            <w:tcW w:w="1348" w:type="dxa"/>
            <w:noWrap/>
            <w:vAlign w:val="center"/>
            <w:hideMark/>
          </w:tcPr>
          <w:p w14:paraId="3F08CF1E" w14:textId="77777777" w:rsidR="000636C3" w:rsidRPr="00547C63" w:rsidRDefault="000636C3" w:rsidP="00547C63">
            <w:pPr>
              <w:spacing w:before="0"/>
              <w:jc w:val="center"/>
              <w:rPr>
                <w:sz w:val="16"/>
                <w:szCs w:val="16"/>
              </w:rPr>
            </w:pPr>
            <w:r w:rsidRPr="00547C63">
              <w:rPr>
                <w:sz w:val="16"/>
                <w:szCs w:val="16"/>
              </w:rPr>
              <w:t>69.6%</w:t>
            </w:r>
          </w:p>
        </w:tc>
        <w:tc>
          <w:tcPr>
            <w:tcW w:w="659" w:type="dxa"/>
            <w:noWrap/>
            <w:vAlign w:val="center"/>
            <w:hideMark/>
          </w:tcPr>
          <w:p w14:paraId="4FFE76C2" w14:textId="77777777" w:rsidR="000636C3" w:rsidRPr="00547C63" w:rsidRDefault="000636C3" w:rsidP="00547C63">
            <w:pPr>
              <w:spacing w:before="0"/>
              <w:jc w:val="right"/>
              <w:rPr>
                <w:sz w:val="16"/>
                <w:szCs w:val="16"/>
              </w:rPr>
            </w:pPr>
            <w:r w:rsidRPr="00547C63">
              <w:rPr>
                <w:sz w:val="16"/>
                <w:szCs w:val="16"/>
              </w:rPr>
              <w:t>0.425</w:t>
            </w:r>
          </w:p>
        </w:tc>
        <w:tc>
          <w:tcPr>
            <w:tcW w:w="659" w:type="dxa"/>
            <w:noWrap/>
            <w:vAlign w:val="center"/>
            <w:hideMark/>
          </w:tcPr>
          <w:p w14:paraId="701EC78A" w14:textId="77777777" w:rsidR="000636C3" w:rsidRPr="00547C63" w:rsidRDefault="000636C3" w:rsidP="00547C63">
            <w:pPr>
              <w:spacing w:before="0"/>
              <w:jc w:val="right"/>
              <w:rPr>
                <w:sz w:val="16"/>
                <w:szCs w:val="16"/>
              </w:rPr>
            </w:pPr>
            <w:r w:rsidRPr="00547C63">
              <w:rPr>
                <w:sz w:val="16"/>
                <w:szCs w:val="16"/>
              </w:rPr>
              <w:t>0.207</w:t>
            </w:r>
          </w:p>
        </w:tc>
      </w:tr>
      <w:tr w:rsidR="00B47F52" w:rsidRPr="00547C63" w14:paraId="651A2727" w14:textId="77777777" w:rsidTr="00FC492C">
        <w:trPr>
          <w:trHeight w:val="20"/>
        </w:trPr>
        <w:tc>
          <w:tcPr>
            <w:tcW w:w="1542" w:type="dxa"/>
            <w:noWrap/>
            <w:vAlign w:val="center"/>
            <w:hideMark/>
          </w:tcPr>
          <w:p w14:paraId="30A0E598" w14:textId="77777777" w:rsidR="000636C3" w:rsidRPr="00547C63" w:rsidRDefault="000636C3" w:rsidP="00547C63">
            <w:pPr>
              <w:spacing w:before="0"/>
              <w:rPr>
                <w:sz w:val="16"/>
                <w:szCs w:val="16"/>
              </w:rPr>
            </w:pPr>
            <w:r w:rsidRPr="00547C63">
              <w:rPr>
                <w:sz w:val="16"/>
                <w:szCs w:val="16"/>
              </w:rPr>
              <w:t>Caucasian (%)</w:t>
            </w:r>
          </w:p>
        </w:tc>
        <w:tc>
          <w:tcPr>
            <w:tcW w:w="1435" w:type="dxa"/>
            <w:noWrap/>
            <w:vAlign w:val="center"/>
            <w:hideMark/>
          </w:tcPr>
          <w:p w14:paraId="2794BF8D" w14:textId="77777777" w:rsidR="000636C3" w:rsidRPr="00547C63" w:rsidRDefault="000636C3" w:rsidP="00547C63">
            <w:pPr>
              <w:spacing w:before="0"/>
              <w:jc w:val="center"/>
              <w:rPr>
                <w:sz w:val="16"/>
                <w:szCs w:val="16"/>
              </w:rPr>
            </w:pPr>
          </w:p>
        </w:tc>
        <w:tc>
          <w:tcPr>
            <w:tcW w:w="1156" w:type="dxa"/>
            <w:noWrap/>
            <w:vAlign w:val="center"/>
            <w:hideMark/>
          </w:tcPr>
          <w:p w14:paraId="10855B11" w14:textId="77777777" w:rsidR="000636C3" w:rsidRPr="00547C63" w:rsidRDefault="000636C3" w:rsidP="00547C63">
            <w:pPr>
              <w:spacing w:before="0"/>
              <w:jc w:val="center"/>
              <w:rPr>
                <w:sz w:val="16"/>
                <w:szCs w:val="16"/>
              </w:rPr>
            </w:pPr>
          </w:p>
        </w:tc>
        <w:tc>
          <w:tcPr>
            <w:tcW w:w="1313" w:type="dxa"/>
            <w:noWrap/>
            <w:vAlign w:val="center"/>
            <w:hideMark/>
          </w:tcPr>
          <w:p w14:paraId="670362A8" w14:textId="77777777" w:rsidR="000636C3" w:rsidRPr="00547C63" w:rsidRDefault="000636C3" w:rsidP="00547C63">
            <w:pPr>
              <w:spacing w:before="0"/>
              <w:jc w:val="center"/>
              <w:rPr>
                <w:sz w:val="16"/>
                <w:szCs w:val="16"/>
              </w:rPr>
            </w:pPr>
          </w:p>
        </w:tc>
        <w:tc>
          <w:tcPr>
            <w:tcW w:w="579" w:type="dxa"/>
            <w:noWrap/>
            <w:vAlign w:val="center"/>
            <w:hideMark/>
          </w:tcPr>
          <w:p w14:paraId="07ECABD0" w14:textId="77777777" w:rsidR="000636C3" w:rsidRPr="00547C63" w:rsidRDefault="000636C3" w:rsidP="00547C63">
            <w:pPr>
              <w:spacing w:before="0"/>
              <w:jc w:val="right"/>
              <w:rPr>
                <w:sz w:val="16"/>
                <w:szCs w:val="16"/>
              </w:rPr>
            </w:pPr>
          </w:p>
        </w:tc>
        <w:tc>
          <w:tcPr>
            <w:tcW w:w="1265" w:type="dxa"/>
            <w:noWrap/>
            <w:vAlign w:val="center"/>
            <w:hideMark/>
          </w:tcPr>
          <w:p w14:paraId="1D8809CE" w14:textId="77777777" w:rsidR="000636C3" w:rsidRPr="00547C63" w:rsidRDefault="000636C3" w:rsidP="00547C63">
            <w:pPr>
              <w:spacing w:before="0"/>
              <w:jc w:val="center"/>
              <w:rPr>
                <w:sz w:val="16"/>
                <w:szCs w:val="16"/>
              </w:rPr>
            </w:pPr>
            <w:r w:rsidRPr="00547C63">
              <w:rPr>
                <w:sz w:val="16"/>
                <w:szCs w:val="16"/>
              </w:rPr>
              <w:t>85.5%</w:t>
            </w:r>
          </w:p>
        </w:tc>
        <w:tc>
          <w:tcPr>
            <w:tcW w:w="1329" w:type="dxa"/>
            <w:noWrap/>
            <w:vAlign w:val="center"/>
            <w:hideMark/>
          </w:tcPr>
          <w:p w14:paraId="06ECE301" w14:textId="77777777" w:rsidR="000636C3" w:rsidRPr="00547C63" w:rsidRDefault="000636C3" w:rsidP="00547C63">
            <w:pPr>
              <w:spacing w:before="0"/>
              <w:jc w:val="center"/>
              <w:rPr>
                <w:sz w:val="16"/>
                <w:szCs w:val="16"/>
              </w:rPr>
            </w:pPr>
            <w:r w:rsidRPr="00547C63">
              <w:rPr>
                <w:sz w:val="16"/>
                <w:szCs w:val="16"/>
              </w:rPr>
              <w:t>85.3%</w:t>
            </w:r>
          </w:p>
        </w:tc>
        <w:tc>
          <w:tcPr>
            <w:tcW w:w="659" w:type="dxa"/>
            <w:noWrap/>
            <w:vAlign w:val="center"/>
            <w:hideMark/>
          </w:tcPr>
          <w:p w14:paraId="48CD558F" w14:textId="77777777" w:rsidR="000636C3" w:rsidRPr="00547C63" w:rsidRDefault="000636C3" w:rsidP="00547C63">
            <w:pPr>
              <w:spacing w:before="0"/>
              <w:jc w:val="right"/>
              <w:rPr>
                <w:sz w:val="16"/>
                <w:szCs w:val="16"/>
              </w:rPr>
            </w:pPr>
            <w:r w:rsidRPr="00547C63">
              <w:rPr>
                <w:sz w:val="16"/>
                <w:szCs w:val="16"/>
              </w:rPr>
              <w:t>1</w:t>
            </w:r>
            <w:r w:rsidR="00270A22">
              <w:rPr>
                <w:sz w:val="16"/>
                <w:szCs w:val="16"/>
              </w:rPr>
              <w:t>.000</w:t>
            </w:r>
          </w:p>
        </w:tc>
        <w:tc>
          <w:tcPr>
            <w:tcW w:w="1249" w:type="dxa"/>
            <w:noWrap/>
            <w:vAlign w:val="center"/>
            <w:hideMark/>
          </w:tcPr>
          <w:p w14:paraId="085831A2" w14:textId="77777777" w:rsidR="000636C3" w:rsidRPr="00547C63" w:rsidRDefault="000636C3" w:rsidP="00547C63">
            <w:pPr>
              <w:spacing w:before="0"/>
              <w:jc w:val="center"/>
              <w:rPr>
                <w:sz w:val="16"/>
                <w:szCs w:val="16"/>
              </w:rPr>
            </w:pPr>
            <w:r w:rsidRPr="00547C63">
              <w:rPr>
                <w:sz w:val="16"/>
                <w:szCs w:val="16"/>
              </w:rPr>
              <w:t>84.5%</w:t>
            </w:r>
          </w:p>
        </w:tc>
        <w:tc>
          <w:tcPr>
            <w:tcW w:w="1348" w:type="dxa"/>
            <w:noWrap/>
            <w:vAlign w:val="center"/>
            <w:hideMark/>
          </w:tcPr>
          <w:p w14:paraId="3A74CFCB" w14:textId="77777777" w:rsidR="000636C3" w:rsidRPr="00547C63" w:rsidRDefault="000636C3" w:rsidP="00547C63">
            <w:pPr>
              <w:spacing w:before="0"/>
              <w:jc w:val="center"/>
              <w:rPr>
                <w:sz w:val="16"/>
                <w:szCs w:val="16"/>
              </w:rPr>
            </w:pPr>
            <w:r w:rsidRPr="00547C63">
              <w:rPr>
                <w:sz w:val="16"/>
                <w:szCs w:val="16"/>
              </w:rPr>
              <w:t>96.4%</w:t>
            </w:r>
          </w:p>
        </w:tc>
        <w:tc>
          <w:tcPr>
            <w:tcW w:w="659" w:type="dxa"/>
            <w:noWrap/>
            <w:vAlign w:val="center"/>
            <w:hideMark/>
          </w:tcPr>
          <w:p w14:paraId="2E548493" w14:textId="77777777" w:rsidR="000636C3" w:rsidRPr="00547C63" w:rsidRDefault="000636C3" w:rsidP="00547C63">
            <w:pPr>
              <w:spacing w:before="0"/>
              <w:jc w:val="right"/>
              <w:rPr>
                <w:sz w:val="16"/>
                <w:szCs w:val="16"/>
              </w:rPr>
            </w:pPr>
            <w:r w:rsidRPr="00547C63">
              <w:rPr>
                <w:sz w:val="16"/>
                <w:szCs w:val="16"/>
              </w:rPr>
              <w:t>0.019</w:t>
            </w:r>
          </w:p>
        </w:tc>
        <w:tc>
          <w:tcPr>
            <w:tcW w:w="659" w:type="dxa"/>
            <w:noWrap/>
            <w:vAlign w:val="center"/>
            <w:hideMark/>
          </w:tcPr>
          <w:p w14:paraId="7B6ECF78" w14:textId="77777777" w:rsidR="000636C3" w:rsidRPr="00547C63" w:rsidRDefault="000636C3" w:rsidP="00547C63">
            <w:pPr>
              <w:spacing w:before="0"/>
              <w:jc w:val="right"/>
              <w:rPr>
                <w:sz w:val="16"/>
                <w:szCs w:val="16"/>
              </w:rPr>
            </w:pPr>
            <w:r w:rsidRPr="00547C63">
              <w:rPr>
                <w:sz w:val="16"/>
                <w:szCs w:val="16"/>
              </w:rPr>
              <w:t>0.094</w:t>
            </w:r>
          </w:p>
        </w:tc>
      </w:tr>
      <w:tr w:rsidR="00B47F52" w:rsidRPr="00547C63" w14:paraId="0C98BF2D" w14:textId="77777777" w:rsidTr="00FC492C">
        <w:trPr>
          <w:trHeight w:val="20"/>
        </w:trPr>
        <w:tc>
          <w:tcPr>
            <w:tcW w:w="1542" w:type="dxa"/>
            <w:noWrap/>
            <w:vAlign w:val="center"/>
            <w:hideMark/>
          </w:tcPr>
          <w:p w14:paraId="375CE70C" w14:textId="77777777" w:rsidR="000636C3" w:rsidRPr="00547C63" w:rsidRDefault="000636C3" w:rsidP="00547C63">
            <w:pPr>
              <w:spacing w:before="0"/>
              <w:rPr>
                <w:sz w:val="16"/>
                <w:szCs w:val="16"/>
              </w:rPr>
            </w:pPr>
            <w:r w:rsidRPr="00547C63">
              <w:rPr>
                <w:sz w:val="16"/>
                <w:szCs w:val="16"/>
              </w:rPr>
              <w:t>BMI</w:t>
            </w:r>
          </w:p>
        </w:tc>
        <w:tc>
          <w:tcPr>
            <w:tcW w:w="1435" w:type="dxa"/>
            <w:noWrap/>
            <w:vAlign w:val="center"/>
            <w:hideMark/>
          </w:tcPr>
          <w:p w14:paraId="02189613" w14:textId="77777777" w:rsidR="000636C3" w:rsidRPr="00547C63" w:rsidRDefault="000636C3" w:rsidP="00547C63">
            <w:pPr>
              <w:spacing w:before="0"/>
              <w:jc w:val="center"/>
              <w:rPr>
                <w:sz w:val="16"/>
                <w:szCs w:val="16"/>
              </w:rPr>
            </w:pPr>
            <w:r w:rsidRPr="00547C63">
              <w:rPr>
                <w:sz w:val="16"/>
                <w:szCs w:val="16"/>
              </w:rPr>
              <w:t>28.2 ± 6.0</w:t>
            </w:r>
          </w:p>
        </w:tc>
        <w:tc>
          <w:tcPr>
            <w:tcW w:w="1156" w:type="dxa"/>
            <w:noWrap/>
            <w:vAlign w:val="center"/>
            <w:hideMark/>
          </w:tcPr>
          <w:p w14:paraId="0441FACC" w14:textId="77777777" w:rsidR="000636C3" w:rsidRPr="00547C63" w:rsidRDefault="000636C3" w:rsidP="00547C63">
            <w:pPr>
              <w:spacing w:before="0"/>
              <w:jc w:val="center"/>
              <w:rPr>
                <w:sz w:val="16"/>
                <w:szCs w:val="16"/>
              </w:rPr>
            </w:pPr>
            <w:r w:rsidRPr="00547C63">
              <w:rPr>
                <w:sz w:val="16"/>
                <w:szCs w:val="16"/>
              </w:rPr>
              <w:t>24.5 ± 5.3</w:t>
            </w:r>
          </w:p>
        </w:tc>
        <w:tc>
          <w:tcPr>
            <w:tcW w:w="1313" w:type="dxa"/>
            <w:noWrap/>
            <w:vAlign w:val="center"/>
            <w:hideMark/>
          </w:tcPr>
          <w:p w14:paraId="723F17CF" w14:textId="77777777" w:rsidR="000636C3" w:rsidRPr="00547C63" w:rsidRDefault="000636C3" w:rsidP="00547C63">
            <w:pPr>
              <w:spacing w:before="0"/>
              <w:jc w:val="center"/>
              <w:rPr>
                <w:sz w:val="16"/>
                <w:szCs w:val="16"/>
              </w:rPr>
            </w:pPr>
            <w:r w:rsidRPr="00547C63">
              <w:rPr>
                <w:sz w:val="16"/>
                <w:szCs w:val="16"/>
              </w:rPr>
              <w:t>26.8 ± 6.1</w:t>
            </w:r>
          </w:p>
        </w:tc>
        <w:tc>
          <w:tcPr>
            <w:tcW w:w="579" w:type="dxa"/>
            <w:noWrap/>
            <w:vAlign w:val="center"/>
            <w:hideMark/>
          </w:tcPr>
          <w:p w14:paraId="79815DC4" w14:textId="77777777" w:rsidR="000636C3" w:rsidRPr="00547C63" w:rsidRDefault="000636C3" w:rsidP="00547C63">
            <w:pPr>
              <w:spacing w:before="0"/>
              <w:jc w:val="right"/>
              <w:rPr>
                <w:sz w:val="16"/>
                <w:szCs w:val="16"/>
              </w:rPr>
            </w:pPr>
            <w:r w:rsidRPr="00547C63">
              <w:rPr>
                <w:sz w:val="16"/>
                <w:szCs w:val="16"/>
              </w:rPr>
              <w:t>0.103</w:t>
            </w:r>
          </w:p>
        </w:tc>
        <w:tc>
          <w:tcPr>
            <w:tcW w:w="1265" w:type="dxa"/>
            <w:noWrap/>
            <w:vAlign w:val="center"/>
            <w:hideMark/>
          </w:tcPr>
          <w:p w14:paraId="72F729C0" w14:textId="77777777" w:rsidR="000636C3" w:rsidRPr="00547C63" w:rsidRDefault="000636C3" w:rsidP="00547C63">
            <w:pPr>
              <w:spacing w:before="0"/>
              <w:jc w:val="center"/>
              <w:rPr>
                <w:sz w:val="16"/>
                <w:szCs w:val="16"/>
              </w:rPr>
            </w:pPr>
            <w:r w:rsidRPr="00547C63">
              <w:rPr>
                <w:sz w:val="16"/>
                <w:szCs w:val="16"/>
              </w:rPr>
              <w:t>22.8 ± 12.5</w:t>
            </w:r>
          </w:p>
        </w:tc>
        <w:tc>
          <w:tcPr>
            <w:tcW w:w="1329" w:type="dxa"/>
            <w:noWrap/>
            <w:vAlign w:val="center"/>
            <w:hideMark/>
          </w:tcPr>
          <w:p w14:paraId="0F09AD34" w14:textId="77777777" w:rsidR="000636C3" w:rsidRPr="00547C63" w:rsidRDefault="000636C3" w:rsidP="00547C63">
            <w:pPr>
              <w:spacing w:before="0"/>
              <w:jc w:val="center"/>
              <w:rPr>
                <w:sz w:val="16"/>
                <w:szCs w:val="16"/>
              </w:rPr>
            </w:pPr>
            <w:r w:rsidRPr="00547C63">
              <w:rPr>
                <w:sz w:val="16"/>
                <w:szCs w:val="16"/>
              </w:rPr>
              <w:t>25.5 ± 5.7</w:t>
            </w:r>
          </w:p>
        </w:tc>
        <w:tc>
          <w:tcPr>
            <w:tcW w:w="659" w:type="dxa"/>
            <w:noWrap/>
            <w:vAlign w:val="center"/>
            <w:hideMark/>
          </w:tcPr>
          <w:p w14:paraId="01466083" w14:textId="77777777" w:rsidR="000636C3" w:rsidRPr="00547C63" w:rsidRDefault="000636C3" w:rsidP="00547C63">
            <w:pPr>
              <w:spacing w:before="0"/>
              <w:jc w:val="right"/>
              <w:rPr>
                <w:sz w:val="16"/>
                <w:szCs w:val="16"/>
              </w:rPr>
            </w:pPr>
            <w:r w:rsidRPr="00547C63">
              <w:rPr>
                <w:sz w:val="16"/>
                <w:szCs w:val="16"/>
              </w:rPr>
              <w:t>0.25</w:t>
            </w:r>
            <w:r w:rsidR="00270A22">
              <w:rPr>
                <w:sz w:val="16"/>
                <w:szCs w:val="16"/>
              </w:rPr>
              <w:t>0</w:t>
            </w:r>
          </w:p>
        </w:tc>
        <w:tc>
          <w:tcPr>
            <w:tcW w:w="1249" w:type="dxa"/>
            <w:noWrap/>
            <w:vAlign w:val="center"/>
            <w:hideMark/>
          </w:tcPr>
          <w:p w14:paraId="03F1330C" w14:textId="77777777" w:rsidR="000636C3" w:rsidRPr="00547C63" w:rsidRDefault="000636C3" w:rsidP="00547C63">
            <w:pPr>
              <w:spacing w:before="0"/>
              <w:jc w:val="center"/>
              <w:rPr>
                <w:sz w:val="16"/>
                <w:szCs w:val="16"/>
              </w:rPr>
            </w:pPr>
            <w:r w:rsidRPr="00547C63">
              <w:rPr>
                <w:sz w:val="16"/>
                <w:szCs w:val="16"/>
              </w:rPr>
              <w:t>24.9 ± 8.6</w:t>
            </w:r>
          </w:p>
        </w:tc>
        <w:tc>
          <w:tcPr>
            <w:tcW w:w="1348" w:type="dxa"/>
            <w:noWrap/>
            <w:vAlign w:val="center"/>
            <w:hideMark/>
          </w:tcPr>
          <w:p w14:paraId="57400257" w14:textId="77777777" w:rsidR="000636C3" w:rsidRPr="00547C63" w:rsidRDefault="000636C3" w:rsidP="00547C63">
            <w:pPr>
              <w:spacing w:before="0"/>
              <w:jc w:val="center"/>
              <w:rPr>
                <w:sz w:val="16"/>
                <w:szCs w:val="16"/>
              </w:rPr>
            </w:pPr>
            <w:r w:rsidRPr="00547C63">
              <w:rPr>
                <w:sz w:val="16"/>
                <w:szCs w:val="16"/>
              </w:rPr>
              <w:t>26.7 ± 7.3</w:t>
            </w:r>
          </w:p>
        </w:tc>
        <w:tc>
          <w:tcPr>
            <w:tcW w:w="659" w:type="dxa"/>
            <w:noWrap/>
            <w:vAlign w:val="center"/>
            <w:hideMark/>
          </w:tcPr>
          <w:p w14:paraId="4DA6A4AB" w14:textId="77777777" w:rsidR="000636C3" w:rsidRPr="00547C63" w:rsidRDefault="000636C3" w:rsidP="00547C63">
            <w:pPr>
              <w:spacing w:before="0"/>
              <w:jc w:val="right"/>
              <w:rPr>
                <w:sz w:val="16"/>
                <w:szCs w:val="16"/>
              </w:rPr>
            </w:pPr>
            <w:r w:rsidRPr="00547C63">
              <w:rPr>
                <w:sz w:val="16"/>
                <w:szCs w:val="16"/>
              </w:rPr>
              <w:t>0.208</w:t>
            </w:r>
          </w:p>
        </w:tc>
        <w:tc>
          <w:tcPr>
            <w:tcW w:w="659" w:type="dxa"/>
            <w:noWrap/>
            <w:vAlign w:val="center"/>
            <w:hideMark/>
          </w:tcPr>
          <w:p w14:paraId="0D0825A4" w14:textId="77777777" w:rsidR="000636C3" w:rsidRPr="00547C63" w:rsidRDefault="000636C3" w:rsidP="00547C63">
            <w:pPr>
              <w:spacing w:before="0"/>
              <w:jc w:val="right"/>
              <w:rPr>
                <w:sz w:val="16"/>
                <w:szCs w:val="16"/>
              </w:rPr>
            </w:pPr>
            <w:r w:rsidRPr="00547C63">
              <w:rPr>
                <w:sz w:val="16"/>
                <w:szCs w:val="16"/>
              </w:rPr>
              <w:t>0.214</w:t>
            </w:r>
          </w:p>
        </w:tc>
      </w:tr>
      <w:tr w:rsidR="00B47F52" w:rsidRPr="00547C63" w14:paraId="48481218" w14:textId="77777777" w:rsidTr="00FC492C">
        <w:trPr>
          <w:trHeight w:val="20"/>
        </w:trPr>
        <w:tc>
          <w:tcPr>
            <w:tcW w:w="1542" w:type="dxa"/>
            <w:noWrap/>
            <w:vAlign w:val="center"/>
            <w:hideMark/>
          </w:tcPr>
          <w:p w14:paraId="5AEAD678" w14:textId="77777777" w:rsidR="000636C3" w:rsidRPr="00547C63" w:rsidRDefault="000636C3" w:rsidP="00547C63">
            <w:pPr>
              <w:spacing w:before="0"/>
              <w:rPr>
                <w:sz w:val="16"/>
                <w:szCs w:val="16"/>
              </w:rPr>
            </w:pPr>
            <w:r w:rsidRPr="00547C63">
              <w:rPr>
                <w:sz w:val="16"/>
                <w:szCs w:val="16"/>
              </w:rPr>
              <w:t>FEV1</w:t>
            </w:r>
            <w:r w:rsidR="005E64CB">
              <w:rPr>
                <w:sz w:val="16"/>
                <w:szCs w:val="16"/>
              </w:rPr>
              <w:t xml:space="preserve"> (L)</w:t>
            </w:r>
          </w:p>
        </w:tc>
        <w:tc>
          <w:tcPr>
            <w:tcW w:w="1435" w:type="dxa"/>
            <w:noWrap/>
            <w:vAlign w:val="center"/>
            <w:hideMark/>
          </w:tcPr>
          <w:p w14:paraId="7E32B17A" w14:textId="77777777" w:rsidR="000636C3" w:rsidRPr="00547C63" w:rsidRDefault="000636C3" w:rsidP="00547C63">
            <w:pPr>
              <w:spacing w:before="0"/>
              <w:jc w:val="center"/>
              <w:rPr>
                <w:sz w:val="16"/>
                <w:szCs w:val="16"/>
              </w:rPr>
            </w:pPr>
            <w:r w:rsidRPr="00547C63">
              <w:rPr>
                <w:sz w:val="16"/>
                <w:szCs w:val="16"/>
              </w:rPr>
              <w:t>1.38 ± 0.54</w:t>
            </w:r>
          </w:p>
        </w:tc>
        <w:tc>
          <w:tcPr>
            <w:tcW w:w="1156" w:type="dxa"/>
            <w:noWrap/>
            <w:vAlign w:val="center"/>
            <w:hideMark/>
          </w:tcPr>
          <w:p w14:paraId="79CF8722" w14:textId="77777777" w:rsidR="000636C3" w:rsidRPr="00547C63" w:rsidRDefault="000636C3" w:rsidP="00547C63">
            <w:pPr>
              <w:spacing w:before="0"/>
              <w:jc w:val="center"/>
              <w:rPr>
                <w:sz w:val="16"/>
                <w:szCs w:val="16"/>
              </w:rPr>
            </w:pPr>
            <w:r w:rsidRPr="00547C63">
              <w:rPr>
                <w:sz w:val="16"/>
                <w:szCs w:val="16"/>
              </w:rPr>
              <w:t>1.30 ± 0.49</w:t>
            </w:r>
          </w:p>
        </w:tc>
        <w:tc>
          <w:tcPr>
            <w:tcW w:w="1313" w:type="dxa"/>
            <w:noWrap/>
            <w:vAlign w:val="center"/>
            <w:hideMark/>
          </w:tcPr>
          <w:p w14:paraId="29802042" w14:textId="77777777" w:rsidR="000636C3" w:rsidRPr="00547C63" w:rsidRDefault="000636C3" w:rsidP="00547C63">
            <w:pPr>
              <w:spacing w:before="0"/>
              <w:jc w:val="center"/>
              <w:rPr>
                <w:sz w:val="16"/>
                <w:szCs w:val="16"/>
              </w:rPr>
            </w:pPr>
            <w:r w:rsidRPr="00547C63">
              <w:rPr>
                <w:sz w:val="16"/>
                <w:szCs w:val="16"/>
              </w:rPr>
              <w:t>1.55 ± 0.51</w:t>
            </w:r>
          </w:p>
        </w:tc>
        <w:tc>
          <w:tcPr>
            <w:tcW w:w="579" w:type="dxa"/>
            <w:noWrap/>
            <w:vAlign w:val="center"/>
            <w:hideMark/>
          </w:tcPr>
          <w:p w14:paraId="33625606" w14:textId="77777777" w:rsidR="000636C3" w:rsidRPr="00547C63" w:rsidRDefault="000636C3" w:rsidP="00547C63">
            <w:pPr>
              <w:spacing w:before="0"/>
              <w:jc w:val="right"/>
              <w:rPr>
                <w:sz w:val="16"/>
                <w:szCs w:val="16"/>
              </w:rPr>
            </w:pPr>
            <w:r w:rsidRPr="00547C63">
              <w:rPr>
                <w:sz w:val="16"/>
                <w:szCs w:val="16"/>
              </w:rPr>
              <w:t>0.045</w:t>
            </w:r>
          </w:p>
        </w:tc>
        <w:tc>
          <w:tcPr>
            <w:tcW w:w="1265" w:type="dxa"/>
            <w:noWrap/>
            <w:vAlign w:val="center"/>
            <w:hideMark/>
          </w:tcPr>
          <w:p w14:paraId="5E8AFA0C" w14:textId="77777777" w:rsidR="000636C3" w:rsidRPr="00547C63" w:rsidRDefault="000636C3" w:rsidP="00547C63">
            <w:pPr>
              <w:spacing w:before="0"/>
              <w:jc w:val="center"/>
              <w:rPr>
                <w:sz w:val="16"/>
                <w:szCs w:val="16"/>
              </w:rPr>
            </w:pPr>
            <w:r w:rsidRPr="00547C63">
              <w:rPr>
                <w:sz w:val="16"/>
                <w:szCs w:val="16"/>
              </w:rPr>
              <w:t>1.54 ± 0.74</w:t>
            </w:r>
          </w:p>
        </w:tc>
        <w:tc>
          <w:tcPr>
            <w:tcW w:w="1329" w:type="dxa"/>
            <w:noWrap/>
            <w:vAlign w:val="center"/>
            <w:hideMark/>
          </w:tcPr>
          <w:p w14:paraId="14A77E58" w14:textId="77777777" w:rsidR="000636C3" w:rsidRPr="00547C63" w:rsidRDefault="000636C3" w:rsidP="00547C63">
            <w:pPr>
              <w:spacing w:before="0"/>
              <w:jc w:val="center"/>
              <w:rPr>
                <w:sz w:val="16"/>
                <w:szCs w:val="16"/>
              </w:rPr>
            </w:pPr>
            <w:r w:rsidRPr="00547C63">
              <w:rPr>
                <w:sz w:val="16"/>
                <w:szCs w:val="16"/>
              </w:rPr>
              <w:t>1.76 ± 0.88</w:t>
            </w:r>
          </w:p>
        </w:tc>
        <w:tc>
          <w:tcPr>
            <w:tcW w:w="659" w:type="dxa"/>
            <w:noWrap/>
            <w:vAlign w:val="center"/>
            <w:hideMark/>
          </w:tcPr>
          <w:p w14:paraId="78A6C397" w14:textId="77777777" w:rsidR="000636C3" w:rsidRPr="00547C63" w:rsidRDefault="000636C3" w:rsidP="00547C63">
            <w:pPr>
              <w:spacing w:before="0"/>
              <w:jc w:val="right"/>
              <w:rPr>
                <w:sz w:val="16"/>
                <w:szCs w:val="16"/>
              </w:rPr>
            </w:pPr>
            <w:r w:rsidRPr="00547C63">
              <w:rPr>
                <w:sz w:val="16"/>
                <w:szCs w:val="16"/>
              </w:rPr>
              <w:t>0.334</w:t>
            </w:r>
          </w:p>
        </w:tc>
        <w:tc>
          <w:tcPr>
            <w:tcW w:w="1249" w:type="dxa"/>
            <w:noWrap/>
            <w:vAlign w:val="center"/>
            <w:hideMark/>
          </w:tcPr>
          <w:p w14:paraId="30AA7EF4" w14:textId="77777777" w:rsidR="000636C3" w:rsidRPr="00547C63" w:rsidRDefault="000636C3" w:rsidP="00547C63">
            <w:pPr>
              <w:spacing w:before="0"/>
              <w:jc w:val="center"/>
              <w:rPr>
                <w:sz w:val="16"/>
                <w:szCs w:val="16"/>
              </w:rPr>
            </w:pPr>
            <w:r w:rsidRPr="00547C63">
              <w:rPr>
                <w:sz w:val="16"/>
                <w:szCs w:val="16"/>
              </w:rPr>
              <w:t>1.47 ± 0.69</w:t>
            </w:r>
          </w:p>
        </w:tc>
        <w:tc>
          <w:tcPr>
            <w:tcW w:w="1348" w:type="dxa"/>
            <w:noWrap/>
            <w:vAlign w:val="center"/>
            <w:hideMark/>
          </w:tcPr>
          <w:p w14:paraId="17D51D4D" w14:textId="77777777" w:rsidR="000636C3" w:rsidRPr="00547C63" w:rsidRDefault="000636C3" w:rsidP="00547C63">
            <w:pPr>
              <w:spacing w:before="0"/>
              <w:jc w:val="center"/>
              <w:rPr>
                <w:sz w:val="16"/>
                <w:szCs w:val="16"/>
              </w:rPr>
            </w:pPr>
            <w:r w:rsidRPr="00547C63">
              <w:rPr>
                <w:sz w:val="16"/>
                <w:szCs w:val="16"/>
              </w:rPr>
              <w:t>1.54 ± 0.84</w:t>
            </w:r>
          </w:p>
        </w:tc>
        <w:tc>
          <w:tcPr>
            <w:tcW w:w="659" w:type="dxa"/>
            <w:noWrap/>
            <w:vAlign w:val="center"/>
            <w:hideMark/>
          </w:tcPr>
          <w:p w14:paraId="65D1D176" w14:textId="77777777" w:rsidR="000636C3" w:rsidRPr="00547C63" w:rsidRDefault="000636C3" w:rsidP="00547C63">
            <w:pPr>
              <w:spacing w:before="0"/>
              <w:jc w:val="right"/>
              <w:rPr>
                <w:sz w:val="16"/>
                <w:szCs w:val="16"/>
              </w:rPr>
            </w:pPr>
            <w:r w:rsidRPr="00547C63">
              <w:rPr>
                <w:sz w:val="16"/>
                <w:szCs w:val="16"/>
              </w:rPr>
              <w:t>0.589</w:t>
            </w:r>
          </w:p>
        </w:tc>
        <w:tc>
          <w:tcPr>
            <w:tcW w:w="659" w:type="dxa"/>
            <w:noWrap/>
            <w:vAlign w:val="center"/>
            <w:hideMark/>
          </w:tcPr>
          <w:p w14:paraId="3D5D8870" w14:textId="77777777" w:rsidR="000636C3" w:rsidRPr="00547C63" w:rsidRDefault="000636C3" w:rsidP="00547C63">
            <w:pPr>
              <w:spacing w:before="0"/>
              <w:jc w:val="right"/>
              <w:rPr>
                <w:sz w:val="16"/>
                <w:szCs w:val="16"/>
              </w:rPr>
            </w:pPr>
            <w:r w:rsidRPr="00547C63">
              <w:rPr>
                <w:sz w:val="16"/>
                <w:szCs w:val="16"/>
              </w:rPr>
              <w:t>0.35</w:t>
            </w:r>
            <w:r w:rsidR="00270A22">
              <w:rPr>
                <w:sz w:val="16"/>
                <w:szCs w:val="16"/>
              </w:rPr>
              <w:t>0</w:t>
            </w:r>
          </w:p>
        </w:tc>
      </w:tr>
      <w:tr w:rsidR="00B47F52" w:rsidRPr="00547C63" w14:paraId="245E65D7" w14:textId="77777777" w:rsidTr="00FC492C">
        <w:trPr>
          <w:trHeight w:val="20"/>
        </w:trPr>
        <w:tc>
          <w:tcPr>
            <w:tcW w:w="1542" w:type="dxa"/>
            <w:noWrap/>
            <w:vAlign w:val="center"/>
            <w:hideMark/>
          </w:tcPr>
          <w:p w14:paraId="0FEB01A8" w14:textId="77777777" w:rsidR="000636C3" w:rsidRPr="00547C63" w:rsidRDefault="000636C3" w:rsidP="005E64CB">
            <w:pPr>
              <w:spacing w:before="0"/>
              <w:rPr>
                <w:sz w:val="16"/>
                <w:szCs w:val="16"/>
              </w:rPr>
            </w:pPr>
            <w:r w:rsidRPr="00547C63">
              <w:rPr>
                <w:sz w:val="16"/>
                <w:szCs w:val="16"/>
              </w:rPr>
              <w:t>FEV1</w:t>
            </w:r>
            <w:r w:rsidR="005E64CB">
              <w:rPr>
                <w:sz w:val="16"/>
                <w:szCs w:val="16"/>
              </w:rPr>
              <w:t xml:space="preserve"> %predicted</w:t>
            </w:r>
          </w:p>
        </w:tc>
        <w:tc>
          <w:tcPr>
            <w:tcW w:w="1435" w:type="dxa"/>
            <w:noWrap/>
            <w:vAlign w:val="center"/>
            <w:hideMark/>
          </w:tcPr>
          <w:p w14:paraId="45AB42D4" w14:textId="77777777" w:rsidR="000636C3" w:rsidRPr="00547C63" w:rsidRDefault="000636C3" w:rsidP="00547C63">
            <w:pPr>
              <w:spacing w:before="0"/>
              <w:jc w:val="center"/>
              <w:rPr>
                <w:sz w:val="16"/>
                <w:szCs w:val="16"/>
              </w:rPr>
            </w:pPr>
            <w:r w:rsidRPr="00547C63">
              <w:rPr>
                <w:sz w:val="16"/>
                <w:szCs w:val="16"/>
              </w:rPr>
              <w:t>50.0 ± 16.1</w:t>
            </w:r>
          </w:p>
        </w:tc>
        <w:tc>
          <w:tcPr>
            <w:tcW w:w="1156" w:type="dxa"/>
            <w:noWrap/>
            <w:vAlign w:val="center"/>
            <w:hideMark/>
          </w:tcPr>
          <w:p w14:paraId="562F8CB7" w14:textId="77777777" w:rsidR="000636C3" w:rsidRPr="00547C63" w:rsidRDefault="000636C3" w:rsidP="00547C63">
            <w:pPr>
              <w:spacing w:before="0"/>
              <w:jc w:val="center"/>
              <w:rPr>
                <w:sz w:val="16"/>
                <w:szCs w:val="16"/>
              </w:rPr>
            </w:pPr>
            <w:r w:rsidRPr="00547C63">
              <w:rPr>
                <w:sz w:val="16"/>
                <w:szCs w:val="16"/>
              </w:rPr>
              <w:t>45.4 ± 17.2</w:t>
            </w:r>
          </w:p>
        </w:tc>
        <w:tc>
          <w:tcPr>
            <w:tcW w:w="1313" w:type="dxa"/>
            <w:noWrap/>
            <w:vAlign w:val="center"/>
            <w:hideMark/>
          </w:tcPr>
          <w:p w14:paraId="7936302E" w14:textId="77777777" w:rsidR="000636C3" w:rsidRPr="00547C63" w:rsidRDefault="000636C3" w:rsidP="00547C63">
            <w:pPr>
              <w:spacing w:before="0"/>
              <w:jc w:val="center"/>
              <w:rPr>
                <w:sz w:val="16"/>
                <w:szCs w:val="16"/>
              </w:rPr>
            </w:pPr>
            <w:r w:rsidRPr="00547C63">
              <w:rPr>
                <w:sz w:val="16"/>
                <w:szCs w:val="16"/>
              </w:rPr>
              <w:t>53.9 ± 15.0</w:t>
            </w:r>
          </w:p>
        </w:tc>
        <w:tc>
          <w:tcPr>
            <w:tcW w:w="579" w:type="dxa"/>
            <w:noWrap/>
            <w:vAlign w:val="center"/>
            <w:hideMark/>
          </w:tcPr>
          <w:p w14:paraId="2EE33D89" w14:textId="77777777" w:rsidR="000636C3" w:rsidRPr="00547C63" w:rsidRDefault="000636C3" w:rsidP="00547C63">
            <w:pPr>
              <w:spacing w:before="0"/>
              <w:jc w:val="right"/>
              <w:rPr>
                <w:sz w:val="16"/>
                <w:szCs w:val="16"/>
              </w:rPr>
            </w:pPr>
            <w:r w:rsidRPr="00547C63">
              <w:rPr>
                <w:sz w:val="16"/>
                <w:szCs w:val="16"/>
              </w:rPr>
              <w:t>0.024</w:t>
            </w:r>
          </w:p>
        </w:tc>
        <w:tc>
          <w:tcPr>
            <w:tcW w:w="1265" w:type="dxa"/>
            <w:noWrap/>
            <w:vAlign w:val="center"/>
            <w:hideMark/>
          </w:tcPr>
          <w:p w14:paraId="5EBC8F1A" w14:textId="77777777" w:rsidR="000636C3" w:rsidRPr="00547C63" w:rsidRDefault="000636C3" w:rsidP="00547C63">
            <w:pPr>
              <w:spacing w:before="0"/>
              <w:jc w:val="center"/>
              <w:rPr>
                <w:sz w:val="16"/>
                <w:szCs w:val="16"/>
              </w:rPr>
            </w:pPr>
            <w:r w:rsidRPr="00547C63">
              <w:rPr>
                <w:sz w:val="16"/>
                <w:szCs w:val="16"/>
              </w:rPr>
              <w:t>55.6 ± 20.9</w:t>
            </w:r>
          </w:p>
        </w:tc>
        <w:tc>
          <w:tcPr>
            <w:tcW w:w="1329" w:type="dxa"/>
            <w:noWrap/>
            <w:vAlign w:val="center"/>
            <w:hideMark/>
          </w:tcPr>
          <w:p w14:paraId="02CACC97" w14:textId="77777777" w:rsidR="000636C3" w:rsidRPr="00547C63" w:rsidRDefault="000636C3" w:rsidP="00547C63">
            <w:pPr>
              <w:spacing w:before="0"/>
              <w:jc w:val="center"/>
              <w:rPr>
                <w:sz w:val="16"/>
                <w:szCs w:val="16"/>
              </w:rPr>
            </w:pPr>
            <w:r w:rsidRPr="00547C63">
              <w:rPr>
                <w:sz w:val="16"/>
                <w:szCs w:val="16"/>
              </w:rPr>
              <w:t>55.7 ± 24.2</w:t>
            </w:r>
          </w:p>
        </w:tc>
        <w:tc>
          <w:tcPr>
            <w:tcW w:w="659" w:type="dxa"/>
            <w:noWrap/>
            <w:vAlign w:val="center"/>
            <w:hideMark/>
          </w:tcPr>
          <w:p w14:paraId="39175ECC" w14:textId="77777777" w:rsidR="000636C3" w:rsidRPr="00547C63" w:rsidRDefault="000636C3" w:rsidP="00547C63">
            <w:pPr>
              <w:spacing w:before="0"/>
              <w:jc w:val="right"/>
              <w:rPr>
                <w:sz w:val="16"/>
                <w:szCs w:val="16"/>
              </w:rPr>
            </w:pPr>
            <w:r w:rsidRPr="00547C63">
              <w:rPr>
                <w:sz w:val="16"/>
                <w:szCs w:val="16"/>
              </w:rPr>
              <w:t>0.993</w:t>
            </w:r>
          </w:p>
        </w:tc>
        <w:tc>
          <w:tcPr>
            <w:tcW w:w="1249" w:type="dxa"/>
            <w:noWrap/>
            <w:vAlign w:val="center"/>
            <w:hideMark/>
          </w:tcPr>
          <w:p w14:paraId="509C9CD1" w14:textId="77777777" w:rsidR="000636C3" w:rsidRPr="00547C63" w:rsidRDefault="000636C3" w:rsidP="00547C63">
            <w:pPr>
              <w:spacing w:before="0"/>
              <w:jc w:val="center"/>
              <w:rPr>
                <w:sz w:val="16"/>
                <w:szCs w:val="16"/>
              </w:rPr>
            </w:pPr>
            <w:r w:rsidRPr="00547C63">
              <w:rPr>
                <w:sz w:val="16"/>
                <w:szCs w:val="16"/>
              </w:rPr>
              <w:t>51.1 ± 23.1</w:t>
            </w:r>
          </w:p>
        </w:tc>
        <w:tc>
          <w:tcPr>
            <w:tcW w:w="1348" w:type="dxa"/>
            <w:noWrap/>
            <w:vAlign w:val="center"/>
            <w:hideMark/>
          </w:tcPr>
          <w:p w14:paraId="2338CD34" w14:textId="77777777" w:rsidR="000636C3" w:rsidRPr="00547C63" w:rsidRDefault="000636C3" w:rsidP="00547C63">
            <w:pPr>
              <w:spacing w:before="0"/>
              <w:jc w:val="center"/>
              <w:rPr>
                <w:sz w:val="16"/>
                <w:szCs w:val="16"/>
              </w:rPr>
            </w:pPr>
            <w:r w:rsidRPr="00547C63">
              <w:rPr>
                <w:sz w:val="16"/>
                <w:szCs w:val="16"/>
              </w:rPr>
              <w:t>53.8 ± 24.0</w:t>
            </w:r>
          </w:p>
        </w:tc>
        <w:tc>
          <w:tcPr>
            <w:tcW w:w="659" w:type="dxa"/>
            <w:noWrap/>
            <w:vAlign w:val="center"/>
            <w:hideMark/>
          </w:tcPr>
          <w:p w14:paraId="5524FE1C" w14:textId="77777777" w:rsidR="000636C3" w:rsidRPr="00547C63" w:rsidRDefault="000636C3" w:rsidP="00547C63">
            <w:pPr>
              <w:spacing w:before="0"/>
              <w:jc w:val="right"/>
              <w:rPr>
                <w:sz w:val="16"/>
                <w:szCs w:val="16"/>
              </w:rPr>
            </w:pPr>
            <w:r w:rsidRPr="00547C63">
              <w:rPr>
                <w:sz w:val="16"/>
                <w:szCs w:val="16"/>
              </w:rPr>
              <w:t>0.538</w:t>
            </w:r>
          </w:p>
        </w:tc>
        <w:tc>
          <w:tcPr>
            <w:tcW w:w="659" w:type="dxa"/>
            <w:noWrap/>
            <w:vAlign w:val="center"/>
            <w:hideMark/>
          </w:tcPr>
          <w:p w14:paraId="0735572F" w14:textId="77777777" w:rsidR="000636C3" w:rsidRPr="00547C63" w:rsidRDefault="000636C3" w:rsidP="00547C63">
            <w:pPr>
              <w:spacing w:before="0"/>
              <w:jc w:val="right"/>
              <w:rPr>
                <w:sz w:val="16"/>
                <w:szCs w:val="16"/>
              </w:rPr>
            </w:pPr>
            <w:r w:rsidRPr="00547C63">
              <w:rPr>
                <w:sz w:val="16"/>
                <w:szCs w:val="16"/>
              </w:rPr>
              <w:t>0.743</w:t>
            </w:r>
          </w:p>
        </w:tc>
      </w:tr>
      <w:tr w:rsidR="00B47F52" w:rsidRPr="00547C63" w14:paraId="70184BF3" w14:textId="77777777" w:rsidTr="00FC492C">
        <w:trPr>
          <w:trHeight w:val="20"/>
        </w:trPr>
        <w:tc>
          <w:tcPr>
            <w:tcW w:w="1542" w:type="dxa"/>
            <w:noWrap/>
            <w:vAlign w:val="center"/>
            <w:hideMark/>
          </w:tcPr>
          <w:p w14:paraId="5475B2AF" w14:textId="77777777" w:rsidR="000636C3" w:rsidRPr="00547C63" w:rsidRDefault="000636C3" w:rsidP="00547C63">
            <w:pPr>
              <w:spacing w:before="0"/>
              <w:rPr>
                <w:sz w:val="16"/>
                <w:szCs w:val="16"/>
              </w:rPr>
            </w:pPr>
            <w:r w:rsidRPr="00547C63">
              <w:rPr>
                <w:sz w:val="16"/>
                <w:szCs w:val="16"/>
              </w:rPr>
              <w:t>FVC</w:t>
            </w:r>
            <w:r w:rsidR="005E64CB">
              <w:rPr>
                <w:sz w:val="16"/>
                <w:szCs w:val="16"/>
              </w:rPr>
              <w:t xml:space="preserve"> (L)</w:t>
            </w:r>
          </w:p>
        </w:tc>
        <w:tc>
          <w:tcPr>
            <w:tcW w:w="1435" w:type="dxa"/>
            <w:noWrap/>
            <w:vAlign w:val="center"/>
            <w:hideMark/>
          </w:tcPr>
          <w:p w14:paraId="4254CBA6" w14:textId="77777777" w:rsidR="000636C3" w:rsidRPr="00547C63" w:rsidRDefault="000636C3" w:rsidP="00547C63">
            <w:pPr>
              <w:spacing w:before="0"/>
              <w:jc w:val="center"/>
              <w:rPr>
                <w:sz w:val="16"/>
                <w:szCs w:val="16"/>
              </w:rPr>
            </w:pPr>
            <w:r w:rsidRPr="00547C63">
              <w:rPr>
                <w:sz w:val="16"/>
                <w:szCs w:val="16"/>
              </w:rPr>
              <w:t>3.00 ± 0.89</w:t>
            </w:r>
          </w:p>
        </w:tc>
        <w:tc>
          <w:tcPr>
            <w:tcW w:w="1156" w:type="dxa"/>
            <w:noWrap/>
            <w:vAlign w:val="center"/>
            <w:hideMark/>
          </w:tcPr>
          <w:p w14:paraId="4A15849C" w14:textId="77777777" w:rsidR="000636C3" w:rsidRPr="00547C63" w:rsidRDefault="000636C3" w:rsidP="00547C63">
            <w:pPr>
              <w:spacing w:before="0"/>
              <w:jc w:val="center"/>
              <w:rPr>
                <w:sz w:val="16"/>
                <w:szCs w:val="16"/>
              </w:rPr>
            </w:pPr>
            <w:r w:rsidRPr="00547C63">
              <w:rPr>
                <w:sz w:val="16"/>
                <w:szCs w:val="16"/>
              </w:rPr>
              <w:t>3.11 ± 1.07</w:t>
            </w:r>
          </w:p>
        </w:tc>
        <w:tc>
          <w:tcPr>
            <w:tcW w:w="1313" w:type="dxa"/>
            <w:noWrap/>
            <w:vAlign w:val="center"/>
            <w:hideMark/>
          </w:tcPr>
          <w:p w14:paraId="368D1E54" w14:textId="77777777" w:rsidR="000636C3" w:rsidRPr="00547C63" w:rsidRDefault="000636C3" w:rsidP="00547C63">
            <w:pPr>
              <w:spacing w:before="0"/>
              <w:jc w:val="center"/>
              <w:rPr>
                <w:sz w:val="16"/>
                <w:szCs w:val="16"/>
              </w:rPr>
            </w:pPr>
            <w:r w:rsidRPr="00547C63">
              <w:rPr>
                <w:sz w:val="16"/>
                <w:szCs w:val="16"/>
              </w:rPr>
              <w:t>3.34 ± 0.91</w:t>
            </w:r>
          </w:p>
        </w:tc>
        <w:tc>
          <w:tcPr>
            <w:tcW w:w="579" w:type="dxa"/>
            <w:noWrap/>
            <w:vAlign w:val="center"/>
            <w:hideMark/>
          </w:tcPr>
          <w:p w14:paraId="5ED14532" w14:textId="77777777" w:rsidR="000636C3" w:rsidRPr="00547C63" w:rsidRDefault="000636C3" w:rsidP="00547C63">
            <w:pPr>
              <w:spacing w:before="0"/>
              <w:jc w:val="right"/>
              <w:rPr>
                <w:sz w:val="16"/>
                <w:szCs w:val="16"/>
              </w:rPr>
            </w:pPr>
            <w:r w:rsidRPr="00547C63">
              <w:rPr>
                <w:sz w:val="16"/>
                <w:szCs w:val="16"/>
              </w:rPr>
              <w:t>0.316</w:t>
            </w:r>
          </w:p>
        </w:tc>
        <w:tc>
          <w:tcPr>
            <w:tcW w:w="1265" w:type="dxa"/>
            <w:noWrap/>
            <w:vAlign w:val="center"/>
            <w:hideMark/>
          </w:tcPr>
          <w:p w14:paraId="1D587059" w14:textId="77777777" w:rsidR="000636C3" w:rsidRPr="00547C63" w:rsidRDefault="000636C3" w:rsidP="00547C63">
            <w:pPr>
              <w:spacing w:before="0"/>
              <w:jc w:val="center"/>
              <w:rPr>
                <w:sz w:val="16"/>
                <w:szCs w:val="16"/>
              </w:rPr>
            </w:pPr>
            <w:r w:rsidRPr="00547C63">
              <w:rPr>
                <w:sz w:val="16"/>
                <w:szCs w:val="16"/>
              </w:rPr>
              <w:t>2.92 ± 1.10</w:t>
            </w:r>
          </w:p>
        </w:tc>
        <w:tc>
          <w:tcPr>
            <w:tcW w:w="1329" w:type="dxa"/>
            <w:noWrap/>
            <w:vAlign w:val="center"/>
            <w:hideMark/>
          </w:tcPr>
          <w:p w14:paraId="64DAD05C" w14:textId="77777777" w:rsidR="000636C3" w:rsidRPr="00547C63" w:rsidRDefault="000636C3" w:rsidP="00547C63">
            <w:pPr>
              <w:spacing w:before="0"/>
              <w:jc w:val="center"/>
              <w:rPr>
                <w:sz w:val="16"/>
                <w:szCs w:val="16"/>
              </w:rPr>
            </w:pPr>
            <w:r w:rsidRPr="00547C63">
              <w:rPr>
                <w:sz w:val="16"/>
                <w:szCs w:val="16"/>
              </w:rPr>
              <w:t>3.45 ± 1.28</w:t>
            </w:r>
          </w:p>
        </w:tc>
        <w:tc>
          <w:tcPr>
            <w:tcW w:w="659" w:type="dxa"/>
            <w:noWrap/>
            <w:vAlign w:val="center"/>
            <w:hideMark/>
          </w:tcPr>
          <w:p w14:paraId="397844F2" w14:textId="77777777" w:rsidR="000636C3" w:rsidRPr="00547C63" w:rsidRDefault="000636C3" w:rsidP="00547C63">
            <w:pPr>
              <w:spacing w:before="0"/>
              <w:jc w:val="right"/>
              <w:rPr>
                <w:sz w:val="16"/>
                <w:szCs w:val="16"/>
              </w:rPr>
            </w:pPr>
            <w:r w:rsidRPr="00547C63">
              <w:rPr>
                <w:sz w:val="16"/>
                <w:szCs w:val="16"/>
              </w:rPr>
              <w:t>0.133</w:t>
            </w:r>
          </w:p>
        </w:tc>
        <w:tc>
          <w:tcPr>
            <w:tcW w:w="1249" w:type="dxa"/>
            <w:noWrap/>
            <w:vAlign w:val="center"/>
            <w:hideMark/>
          </w:tcPr>
          <w:p w14:paraId="55F9C47D" w14:textId="77777777" w:rsidR="000636C3" w:rsidRPr="00547C63" w:rsidRDefault="000636C3" w:rsidP="00547C63">
            <w:pPr>
              <w:spacing w:before="0"/>
              <w:jc w:val="center"/>
              <w:rPr>
                <w:sz w:val="16"/>
                <w:szCs w:val="16"/>
              </w:rPr>
            </w:pPr>
            <w:r w:rsidRPr="00547C63">
              <w:rPr>
                <w:sz w:val="16"/>
                <w:szCs w:val="16"/>
              </w:rPr>
              <w:t>2.79 ± 1.02</w:t>
            </w:r>
          </w:p>
        </w:tc>
        <w:tc>
          <w:tcPr>
            <w:tcW w:w="1348" w:type="dxa"/>
            <w:noWrap/>
            <w:vAlign w:val="center"/>
            <w:hideMark/>
          </w:tcPr>
          <w:p w14:paraId="69F3E1AC" w14:textId="77777777" w:rsidR="000636C3" w:rsidRPr="00547C63" w:rsidRDefault="000636C3" w:rsidP="00547C63">
            <w:pPr>
              <w:spacing w:before="0"/>
              <w:jc w:val="center"/>
              <w:rPr>
                <w:sz w:val="16"/>
                <w:szCs w:val="16"/>
              </w:rPr>
            </w:pPr>
            <w:r w:rsidRPr="00547C63">
              <w:rPr>
                <w:sz w:val="16"/>
                <w:szCs w:val="16"/>
              </w:rPr>
              <w:t>2.88 ± 0.98</w:t>
            </w:r>
          </w:p>
        </w:tc>
        <w:tc>
          <w:tcPr>
            <w:tcW w:w="659" w:type="dxa"/>
            <w:noWrap/>
            <w:vAlign w:val="center"/>
            <w:hideMark/>
          </w:tcPr>
          <w:p w14:paraId="4C2583C3" w14:textId="77777777" w:rsidR="000636C3" w:rsidRPr="00547C63" w:rsidRDefault="000636C3" w:rsidP="00547C63">
            <w:pPr>
              <w:spacing w:before="0"/>
              <w:jc w:val="right"/>
              <w:rPr>
                <w:sz w:val="16"/>
                <w:szCs w:val="16"/>
              </w:rPr>
            </w:pPr>
            <w:r w:rsidRPr="00547C63">
              <w:rPr>
                <w:sz w:val="16"/>
                <w:szCs w:val="16"/>
              </w:rPr>
              <w:t>0.62</w:t>
            </w:r>
            <w:r w:rsidR="00270A22">
              <w:rPr>
                <w:sz w:val="16"/>
                <w:szCs w:val="16"/>
              </w:rPr>
              <w:t>0</w:t>
            </w:r>
          </w:p>
        </w:tc>
        <w:tc>
          <w:tcPr>
            <w:tcW w:w="659" w:type="dxa"/>
            <w:noWrap/>
            <w:vAlign w:val="center"/>
            <w:hideMark/>
          </w:tcPr>
          <w:p w14:paraId="563CA87B" w14:textId="77777777" w:rsidR="000636C3" w:rsidRPr="00547C63" w:rsidRDefault="000636C3" w:rsidP="00547C63">
            <w:pPr>
              <w:spacing w:before="0"/>
              <w:jc w:val="right"/>
              <w:rPr>
                <w:sz w:val="16"/>
                <w:szCs w:val="16"/>
              </w:rPr>
            </w:pPr>
            <w:r w:rsidRPr="00547C63">
              <w:rPr>
                <w:sz w:val="16"/>
                <w:szCs w:val="16"/>
              </w:rPr>
              <w:t>0.039</w:t>
            </w:r>
          </w:p>
        </w:tc>
      </w:tr>
      <w:tr w:rsidR="00B47F52" w:rsidRPr="00547C63" w14:paraId="39A2EEDE" w14:textId="77777777" w:rsidTr="00FC492C">
        <w:trPr>
          <w:trHeight w:val="20"/>
        </w:trPr>
        <w:tc>
          <w:tcPr>
            <w:tcW w:w="1542" w:type="dxa"/>
            <w:noWrap/>
            <w:vAlign w:val="center"/>
            <w:hideMark/>
          </w:tcPr>
          <w:p w14:paraId="6F269E3D" w14:textId="77777777" w:rsidR="000636C3" w:rsidRPr="00547C63" w:rsidRDefault="000636C3" w:rsidP="005E64CB">
            <w:pPr>
              <w:spacing w:before="0"/>
              <w:rPr>
                <w:sz w:val="16"/>
                <w:szCs w:val="16"/>
              </w:rPr>
            </w:pPr>
            <w:r w:rsidRPr="00547C63">
              <w:rPr>
                <w:sz w:val="16"/>
                <w:szCs w:val="16"/>
              </w:rPr>
              <w:t>FVC</w:t>
            </w:r>
            <w:r w:rsidR="005E64CB">
              <w:rPr>
                <w:sz w:val="16"/>
                <w:szCs w:val="16"/>
              </w:rPr>
              <w:t xml:space="preserve"> %predicted</w:t>
            </w:r>
          </w:p>
        </w:tc>
        <w:tc>
          <w:tcPr>
            <w:tcW w:w="1435" w:type="dxa"/>
            <w:noWrap/>
            <w:vAlign w:val="center"/>
            <w:hideMark/>
          </w:tcPr>
          <w:p w14:paraId="379178D5" w14:textId="77777777" w:rsidR="000636C3" w:rsidRPr="00547C63" w:rsidRDefault="000636C3" w:rsidP="00547C63">
            <w:pPr>
              <w:spacing w:before="0"/>
              <w:jc w:val="center"/>
              <w:rPr>
                <w:sz w:val="16"/>
                <w:szCs w:val="16"/>
              </w:rPr>
            </w:pPr>
          </w:p>
        </w:tc>
        <w:tc>
          <w:tcPr>
            <w:tcW w:w="1156" w:type="dxa"/>
            <w:noWrap/>
            <w:vAlign w:val="center"/>
            <w:hideMark/>
          </w:tcPr>
          <w:p w14:paraId="62D541CB" w14:textId="77777777" w:rsidR="000636C3" w:rsidRPr="00547C63" w:rsidRDefault="000636C3" w:rsidP="00547C63">
            <w:pPr>
              <w:spacing w:before="0"/>
              <w:jc w:val="center"/>
              <w:rPr>
                <w:sz w:val="16"/>
                <w:szCs w:val="16"/>
              </w:rPr>
            </w:pPr>
          </w:p>
        </w:tc>
        <w:tc>
          <w:tcPr>
            <w:tcW w:w="1313" w:type="dxa"/>
            <w:noWrap/>
            <w:vAlign w:val="center"/>
            <w:hideMark/>
          </w:tcPr>
          <w:p w14:paraId="2A49EE5A" w14:textId="77777777" w:rsidR="000636C3" w:rsidRPr="00547C63" w:rsidRDefault="000636C3" w:rsidP="00547C63">
            <w:pPr>
              <w:spacing w:before="0"/>
              <w:jc w:val="center"/>
              <w:rPr>
                <w:sz w:val="16"/>
                <w:szCs w:val="16"/>
              </w:rPr>
            </w:pPr>
          </w:p>
        </w:tc>
        <w:tc>
          <w:tcPr>
            <w:tcW w:w="579" w:type="dxa"/>
            <w:noWrap/>
            <w:vAlign w:val="center"/>
            <w:hideMark/>
          </w:tcPr>
          <w:p w14:paraId="7149B1DB" w14:textId="77777777" w:rsidR="000636C3" w:rsidRPr="00547C63" w:rsidRDefault="000636C3" w:rsidP="00547C63">
            <w:pPr>
              <w:spacing w:before="0"/>
              <w:jc w:val="right"/>
              <w:rPr>
                <w:sz w:val="16"/>
                <w:szCs w:val="16"/>
              </w:rPr>
            </w:pPr>
          </w:p>
        </w:tc>
        <w:tc>
          <w:tcPr>
            <w:tcW w:w="1265" w:type="dxa"/>
            <w:noWrap/>
            <w:vAlign w:val="center"/>
            <w:hideMark/>
          </w:tcPr>
          <w:p w14:paraId="3339237C" w14:textId="77777777" w:rsidR="000636C3" w:rsidRPr="00547C63" w:rsidRDefault="000636C3" w:rsidP="00547C63">
            <w:pPr>
              <w:spacing w:before="0"/>
              <w:jc w:val="center"/>
              <w:rPr>
                <w:sz w:val="16"/>
                <w:szCs w:val="16"/>
              </w:rPr>
            </w:pPr>
            <w:r w:rsidRPr="00547C63">
              <w:rPr>
                <w:sz w:val="16"/>
                <w:szCs w:val="16"/>
              </w:rPr>
              <w:t>82.3 ± 20.6</w:t>
            </w:r>
          </w:p>
        </w:tc>
        <w:tc>
          <w:tcPr>
            <w:tcW w:w="1329" w:type="dxa"/>
            <w:noWrap/>
            <w:vAlign w:val="center"/>
            <w:hideMark/>
          </w:tcPr>
          <w:p w14:paraId="32130884" w14:textId="77777777" w:rsidR="000636C3" w:rsidRPr="00547C63" w:rsidRDefault="000636C3" w:rsidP="00547C63">
            <w:pPr>
              <w:spacing w:before="0"/>
              <w:jc w:val="center"/>
              <w:rPr>
                <w:sz w:val="16"/>
                <w:szCs w:val="16"/>
              </w:rPr>
            </w:pPr>
            <w:r w:rsidRPr="00547C63">
              <w:rPr>
                <w:sz w:val="16"/>
                <w:szCs w:val="16"/>
              </w:rPr>
              <w:t>85.1 ± 22.3</w:t>
            </w:r>
          </w:p>
        </w:tc>
        <w:tc>
          <w:tcPr>
            <w:tcW w:w="659" w:type="dxa"/>
            <w:noWrap/>
            <w:vAlign w:val="center"/>
            <w:hideMark/>
          </w:tcPr>
          <w:p w14:paraId="1F3A79D6" w14:textId="77777777" w:rsidR="000636C3" w:rsidRPr="00547C63" w:rsidRDefault="000636C3" w:rsidP="00547C63">
            <w:pPr>
              <w:spacing w:before="0"/>
              <w:jc w:val="right"/>
              <w:rPr>
                <w:sz w:val="16"/>
                <w:szCs w:val="16"/>
              </w:rPr>
            </w:pPr>
            <w:r w:rsidRPr="00547C63">
              <w:rPr>
                <w:sz w:val="16"/>
                <w:szCs w:val="16"/>
              </w:rPr>
              <w:t>0.644</w:t>
            </w:r>
          </w:p>
        </w:tc>
        <w:tc>
          <w:tcPr>
            <w:tcW w:w="1249" w:type="dxa"/>
            <w:noWrap/>
            <w:vAlign w:val="center"/>
            <w:hideMark/>
          </w:tcPr>
          <w:p w14:paraId="2160BDF7" w14:textId="77777777" w:rsidR="000636C3" w:rsidRPr="00547C63" w:rsidRDefault="000636C3" w:rsidP="00547C63">
            <w:pPr>
              <w:spacing w:before="0"/>
              <w:jc w:val="center"/>
              <w:rPr>
                <w:sz w:val="16"/>
                <w:szCs w:val="16"/>
              </w:rPr>
            </w:pPr>
            <w:r w:rsidRPr="00547C63">
              <w:rPr>
                <w:sz w:val="16"/>
                <w:szCs w:val="16"/>
              </w:rPr>
              <w:t>75.3 ± 23.9</w:t>
            </w:r>
          </w:p>
        </w:tc>
        <w:tc>
          <w:tcPr>
            <w:tcW w:w="1348" w:type="dxa"/>
            <w:noWrap/>
            <w:vAlign w:val="center"/>
            <w:hideMark/>
          </w:tcPr>
          <w:p w14:paraId="1764818D" w14:textId="77777777" w:rsidR="000636C3" w:rsidRPr="00547C63" w:rsidRDefault="000636C3" w:rsidP="00547C63">
            <w:pPr>
              <w:spacing w:before="0"/>
              <w:jc w:val="center"/>
              <w:rPr>
                <w:sz w:val="16"/>
                <w:szCs w:val="16"/>
              </w:rPr>
            </w:pPr>
            <w:r w:rsidRPr="00547C63">
              <w:rPr>
                <w:sz w:val="16"/>
                <w:szCs w:val="16"/>
              </w:rPr>
              <w:t>79.6 ± 21.1</w:t>
            </w:r>
          </w:p>
        </w:tc>
        <w:tc>
          <w:tcPr>
            <w:tcW w:w="659" w:type="dxa"/>
            <w:noWrap/>
            <w:vAlign w:val="center"/>
            <w:hideMark/>
          </w:tcPr>
          <w:p w14:paraId="05CAC961" w14:textId="77777777" w:rsidR="000636C3" w:rsidRPr="00547C63" w:rsidRDefault="000636C3" w:rsidP="00547C63">
            <w:pPr>
              <w:spacing w:before="0"/>
              <w:jc w:val="right"/>
              <w:rPr>
                <w:sz w:val="16"/>
                <w:szCs w:val="16"/>
              </w:rPr>
            </w:pPr>
            <w:r w:rsidRPr="00547C63">
              <w:rPr>
                <w:sz w:val="16"/>
                <w:szCs w:val="16"/>
              </w:rPr>
              <w:t>0.324</w:t>
            </w:r>
          </w:p>
        </w:tc>
        <w:tc>
          <w:tcPr>
            <w:tcW w:w="659" w:type="dxa"/>
            <w:noWrap/>
            <w:vAlign w:val="center"/>
            <w:hideMark/>
          </w:tcPr>
          <w:p w14:paraId="4F9C48D5" w14:textId="77777777" w:rsidR="000636C3" w:rsidRPr="00547C63" w:rsidRDefault="000636C3" w:rsidP="00547C63">
            <w:pPr>
              <w:spacing w:before="0"/>
              <w:jc w:val="right"/>
              <w:rPr>
                <w:sz w:val="16"/>
                <w:szCs w:val="16"/>
              </w:rPr>
            </w:pPr>
            <w:r w:rsidRPr="00547C63">
              <w:rPr>
                <w:sz w:val="16"/>
                <w:szCs w:val="16"/>
              </w:rPr>
              <w:t>0.192</w:t>
            </w:r>
          </w:p>
        </w:tc>
      </w:tr>
      <w:tr w:rsidR="00B47F52" w:rsidRPr="00547C63" w14:paraId="794827E1" w14:textId="77777777" w:rsidTr="00FC492C">
        <w:trPr>
          <w:trHeight w:val="20"/>
        </w:trPr>
        <w:tc>
          <w:tcPr>
            <w:tcW w:w="1542" w:type="dxa"/>
            <w:tcBorders>
              <w:bottom w:val="single" w:sz="4" w:space="0" w:color="000000" w:themeColor="text1"/>
            </w:tcBorders>
            <w:noWrap/>
            <w:vAlign w:val="center"/>
            <w:hideMark/>
          </w:tcPr>
          <w:p w14:paraId="3AB28C2C" w14:textId="77777777" w:rsidR="000636C3" w:rsidRPr="00547C63" w:rsidRDefault="000636C3" w:rsidP="00547C63">
            <w:pPr>
              <w:spacing w:before="0"/>
              <w:rPr>
                <w:sz w:val="16"/>
                <w:szCs w:val="16"/>
              </w:rPr>
            </w:pPr>
            <w:r w:rsidRPr="00547C63">
              <w:rPr>
                <w:sz w:val="16"/>
                <w:szCs w:val="16"/>
              </w:rPr>
              <w:t>FEV1</w:t>
            </w:r>
            <w:r w:rsidR="005E64CB">
              <w:rPr>
                <w:sz w:val="16"/>
                <w:szCs w:val="16"/>
              </w:rPr>
              <w:t>/</w:t>
            </w:r>
            <w:r w:rsidRPr="00547C63">
              <w:rPr>
                <w:sz w:val="16"/>
                <w:szCs w:val="16"/>
              </w:rPr>
              <w:t>FVC</w:t>
            </w:r>
            <w:r w:rsidR="005E64CB">
              <w:rPr>
                <w:sz w:val="16"/>
                <w:szCs w:val="16"/>
              </w:rPr>
              <w:t xml:space="preserve"> ratio</w:t>
            </w:r>
          </w:p>
        </w:tc>
        <w:tc>
          <w:tcPr>
            <w:tcW w:w="1435" w:type="dxa"/>
            <w:tcBorders>
              <w:bottom w:val="single" w:sz="4" w:space="0" w:color="000000" w:themeColor="text1"/>
            </w:tcBorders>
            <w:noWrap/>
            <w:vAlign w:val="center"/>
            <w:hideMark/>
          </w:tcPr>
          <w:p w14:paraId="6EB83F6F" w14:textId="77777777" w:rsidR="000636C3" w:rsidRPr="00547C63" w:rsidRDefault="000636C3" w:rsidP="00547C63">
            <w:pPr>
              <w:spacing w:before="0"/>
              <w:jc w:val="center"/>
              <w:rPr>
                <w:sz w:val="16"/>
                <w:szCs w:val="16"/>
              </w:rPr>
            </w:pPr>
            <w:r w:rsidRPr="00547C63">
              <w:rPr>
                <w:sz w:val="16"/>
                <w:szCs w:val="16"/>
              </w:rPr>
              <w:t>46.4 ± 12.4</w:t>
            </w:r>
          </w:p>
        </w:tc>
        <w:tc>
          <w:tcPr>
            <w:tcW w:w="1156" w:type="dxa"/>
            <w:tcBorders>
              <w:bottom w:val="single" w:sz="4" w:space="0" w:color="000000" w:themeColor="text1"/>
            </w:tcBorders>
            <w:noWrap/>
            <w:vAlign w:val="center"/>
            <w:hideMark/>
          </w:tcPr>
          <w:p w14:paraId="2D668228" w14:textId="77777777" w:rsidR="000636C3" w:rsidRPr="00547C63" w:rsidRDefault="000636C3" w:rsidP="00547C63">
            <w:pPr>
              <w:spacing w:before="0"/>
              <w:jc w:val="center"/>
              <w:rPr>
                <w:sz w:val="16"/>
                <w:szCs w:val="16"/>
              </w:rPr>
            </w:pPr>
            <w:r w:rsidRPr="00547C63">
              <w:rPr>
                <w:sz w:val="16"/>
                <w:szCs w:val="16"/>
              </w:rPr>
              <w:t>42.7 ± 12.0</w:t>
            </w:r>
          </w:p>
        </w:tc>
        <w:tc>
          <w:tcPr>
            <w:tcW w:w="1313" w:type="dxa"/>
            <w:tcBorders>
              <w:bottom w:val="single" w:sz="4" w:space="0" w:color="000000" w:themeColor="text1"/>
            </w:tcBorders>
            <w:noWrap/>
            <w:vAlign w:val="center"/>
            <w:hideMark/>
          </w:tcPr>
          <w:p w14:paraId="509C03AF" w14:textId="77777777" w:rsidR="000636C3" w:rsidRPr="00547C63" w:rsidRDefault="000636C3" w:rsidP="00547C63">
            <w:pPr>
              <w:spacing w:before="0"/>
              <w:jc w:val="center"/>
              <w:rPr>
                <w:sz w:val="16"/>
                <w:szCs w:val="16"/>
              </w:rPr>
            </w:pPr>
            <w:r w:rsidRPr="00547C63">
              <w:rPr>
                <w:sz w:val="16"/>
                <w:szCs w:val="16"/>
              </w:rPr>
              <w:t>46.8 ± 10.9</w:t>
            </w:r>
          </w:p>
        </w:tc>
        <w:tc>
          <w:tcPr>
            <w:tcW w:w="579" w:type="dxa"/>
            <w:tcBorders>
              <w:bottom w:val="single" w:sz="4" w:space="0" w:color="000000" w:themeColor="text1"/>
            </w:tcBorders>
            <w:noWrap/>
            <w:vAlign w:val="center"/>
            <w:hideMark/>
          </w:tcPr>
          <w:p w14:paraId="0C463189" w14:textId="77777777" w:rsidR="000636C3" w:rsidRPr="00547C63" w:rsidRDefault="000636C3" w:rsidP="00547C63">
            <w:pPr>
              <w:spacing w:before="0"/>
              <w:jc w:val="right"/>
              <w:rPr>
                <w:sz w:val="16"/>
                <w:szCs w:val="16"/>
              </w:rPr>
            </w:pPr>
            <w:r w:rsidRPr="00547C63">
              <w:rPr>
                <w:sz w:val="16"/>
                <w:szCs w:val="16"/>
              </w:rPr>
              <w:t>0.13</w:t>
            </w:r>
            <w:r w:rsidR="00B47F52">
              <w:rPr>
                <w:sz w:val="16"/>
                <w:szCs w:val="16"/>
              </w:rPr>
              <w:t>0</w:t>
            </w:r>
          </w:p>
        </w:tc>
        <w:tc>
          <w:tcPr>
            <w:tcW w:w="1265" w:type="dxa"/>
            <w:tcBorders>
              <w:bottom w:val="single" w:sz="4" w:space="0" w:color="000000" w:themeColor="text1"/>
            </w:tcBorders>
            <w:noWrap/>
            <w:vAlign w:val="center"/>
            <w:hideMark/>
          </w:tcPr>
          <w:p w14:paraId="7BE709E4" w14:textId="77777777" w:rsidR="000636C3" w:rsidRPr="00547C63" w:rsidRDefault="000636C3" w:rsidP="00547C63">
            <w:pPr>
              <w:spacing w:before="0"/>
              <w:jc w:val="center"/>
              <w:rPr>
                <w:sz w:val="16"/>
                <w:szCs w:val="16"/>
              </w:rPr>
            </w:pPr>
            <w:r w:rsidRPr="00547C63">
              <w:rPr>
                <w:sz w:val="16"/>
                <w:szCs w:val="16"/>
              </w:rPr>
              <w:t>52.5 ± 14.3</w:t>
            </w:r>
          </w:p>
        </w:tc>
        <w:tc>
          <w:tcPr>
            <w:tcW w:w="1329" w:type="dxa"/>
            <w:tcBorders>
              <w:bottom w:val="single" w:sz="4" w:space="0" w:color="000000" w:themeColor="text1"/>
            </w:tcBorders>
            <w:noWrap/>
            <w:vAlign w:val="center"/>
            <w:hideMark/>
          </w:tcPr>
          <w:p w14:paraId="697367B6" w14:textId="77777777" w:rsidR="000636C3" w:rsidRPr="00547C63" w:rsidRDefault="000636C3" w:rsidP="00547C63">
            <w:pPr>
              <w:spacing w:before="0"/>
              <w:jc w:val="center"/>
              <w:rPr>
                <w:sz w:val="16"/>
                <w:szCs w:val="16"/>
              </w:rPr>
            </w:pPr>
            <w:r w:rsidRPr="00547C63">
              <w:rPr>
                <w:sz w:val="16"/>
                <w:szCs w:val="16"/>
              </w:rPr>
              <w:t>50.6 ± 14.5</w:t>
            </w:r>
          </w:p>
        </w:tc>
        <w:tc>
          <w:tcPr>
            <w:tcW w:w="659" w:type="dxa"/>
            <w:tcBorders>
              <w:bottom w:val="single" w:sz="4" w:space="0" w:color="000000" w:themeColor="text1"/>
            </w:tcBorders>
            <w:noWrap/>
            <w:vAlign w:val="center"/>
            <w:hideMark/>
          </w:tcPr>
          <w:p w14:paraId="0B5EA2F0" w14:textId="77777777" w:rsidR="000636C3" w:rsidRPr="00547C63" w:rsidRDefault="000636C3" w:rsidP="00547C63">
            <w:pPr>
              <w:spacing w:before="0"/>
              <w:jc w:val="right"/>
              <w:rPr>
                <w:sz w:val="16"/>
                <w:szCs w:val="16"/>
              </w:rPr>
            </w:pPr>
            <w:r w:rsidRPr="00547C63">
              <w:rPr>
                <w:sz w:val="16"/>
                <w:szCs w:val="16"/>
              </w:rPr>
              <w:t>0.65</w:t>
            </w:r>
            <w:r w:rsidR="00270A22">
              <w:rPr>
                <w:sz w:val="16"/>
                <w:szCs w:val="16"/>
              </w:rPr>
              <w:t>0</w:t>
            </w:r>
          </w:p>
        </w:tc>
        <w:tc>
          <w:tcPr>
            <w:tcW w:w="1249" w:type="dxa"/>
            <w:tcBorders>
              <w:bottom w:val="single" w:sz="4" w:space="0" w:color="000000" w:themeColor="text1"/>
            </w:tcBorders>
            <w:noWrap/>
            <w:vAlign w:val="center"/>
            <w:hideMark/>
          </w:tcPr>
          <w:p w14:paraId="489D814B" w14:textId="77777777" w:rsidR="000636C3" w:rsidRPr="00547C63" w:rsidRDefault="000636C3" w:rsidP="00547C63">
            <w:pPr>
              <w:spacing w:before="0"/>
              <w:jc w:val="center"/>
              <w:rPr>
                <w:sz w:val="16"/>
                <w:szCs w:val="16"/>
              </w:rPr>
            </w:pPr>
            <w:r w:rsidRPr="00547C63">
              <w:rPr>
                <w:sz w:val="16"/>
                <w:szCs w:val="16"/>
              </w:rPr>
              <w:t>53.3 ± 16.0</w:t>
            </w:r>
          </w:p>
        </w:tc>
        <w:tc>
          <w:tcPr>
            <w:tcW w:w="1348" w:type="dxa"/>
            <w:tcBorders>
              <w:bottom w:val="single" w:sz="4" w:space="0" w:color="000000" w:themeColor="text1"/>
            </w:tcBorders>
            <w:noWrap/>
            <w:vAlign w:val="center"/>
            <w:hideMark/>
          </w:tcPr>
          <w:p w14:paraId="5D75E53F" w14:textId="77777777" w:rsidR="000636C3" w:rsidRPr="00547C63" w:rsidRDefault="000636C3" w:rsidP="00547C63">
            <w:pPr>
              <w:spacing w:before="0"/>
              <w:jc w:val="center"/>
              <w:rPr>
                <w:sz w:val="16"/>
                <w:szCs w:val="16"/>
              </w:rPr>
            </w:pPr>
            <w:r w:rsidRPr="00547C63">
              <w:rPr>
                <w:sz w:val="16"/>
                <w:szCs w:val="16"/>
              </w:rPr>
              <w:t>52.7 ± 19.7</w:t>
            </w:r>
          </w:p>
        </w:tc>
        <w:tc>
          <w:tcPr>
            <w:tcW w:w="659" w:type="dxa"/>
            <w:tcBorders>
              <w:bottom w:val="single" w:sz="4" w:space="0" w:color="000000" w:themeColor="text1"/>
            </w:tcBorders>
            <w:noWrap/>
            <w:vAlign w:val="center"/>
            <w:hideMark/>
          </w:tcPr>
          <w:p w14:paraId="0EE89B46" w14:textId="77777777" w:rsidR="000636C3" w:rsidRPr="00547C63" w:rsidRDefault="000636C3" w:rsidP="00547C63">
            <w:pPr>
              <w:spacing w:before="0"/>
              <w:jc w:val="right"/>
              <w:rPr>
                <w:sz w:val="16"/>
                <w:szCs w:val="16"/>
              </w:rPr>
            </w:pPr>
            <w:r w:rsidRPr="00547C63">
              <w:rPr>
                <w:sz w:val="16"/>
                <w:szCs w:val="16"/>
              </w:rPr>
              <w:t>0.847</w:t>
            </w:r>
          </w:p>
        </w:tc>
        <w:tc>
          <w:tcPr>
            <w:tcW w:w="659" w:type="dxa"/>
            <w:tcBorders>
              <w:bottom w:val="single" w:sz="4" w:space="0" w:color="000000" w:themeColor="text1"/>
            </w:tcBorders>
            <w:noWrap/>
            <w:vAlign w:val="center"/>
            <w:hideMark/>
          </w:tcPr>
          <w:p w14:paraId="0C9989CD" w14:textId="77777777" w:rsidR="000636C3" w:rsidRPr="00547C63" w:rsidRDefault="000636C3" w:rsidP="00547C63">
            <w:pPr>
              <w:spacing w:before="0"/>
              <w:jc w:val="right"/>
              <w:rPr>
                <w:sz w:val="16"/>
                <w:szCs w:val="16"/>
              </w:rPr>
            </w:pPr>
            <w:r w:rsidRPr="00547C63">
              <w:rPr>
                <w:sz w:val="16"/>
                <w:szCs w:val="16"/>
              </w:rPr>
              <w:t>0.903</w:t>
            </w:r>
          </w:p>
        </w:tc>
      </w:tr>
      <w:tr w:rsidR="00B47F52" w:rsidRPr="00547C63" w14:paraId="152354A4" w14:textId="77777777" w:rsidTr="00FC492C">
        <w:trPr>
          <w:trHeight w:val="20"/>
        </w:trPr>
        <w:tc>
          <w:tcPr>
            <w:tcW w:w="1542" w:type="dxa"/>
            <w:tcBorders>
              <w:bottom w:val="nil"/>
            </w:tcBorders>
            <w:noWrap/>
            <w:vAlign w:val="center"/>
            <w:hideMark/>
          </w:tcPr>
          <w:p w14:paraId="602EDB99" w14:textId="77777777" w:rsidR="000636C3" w:rsidRPr="00547C63" w:rsidRDefault="000636C3" w:rsidP="00547C63">
            <w:pPr>
              <w:spacing w:before="0"/>
              <w:rPr>
                <w:sz w:val="16"/>
                <w:szCs w:val="16"/>
              </w:rPr>
            </w:pPr>
            <w:r w:rsidRPr="00547C63">
              <w:rPr>
                <w:sz w:val="16"/>
                <w:szCs w:val="16"/>
              </w:rPr>
              <w:t>GOLD</w:t>
            </w:r>
            <w:r w:rsidR="005E64CB">
              <w:rPr>
                <w:sz w:val="16"/>
                <w:szCs w:val="16"/>
              </w:rPr>
              <w:t xml:space="preserve"> code</w:t>
            </w:r>
          </w:p>
        </w:tc>
        <w:tc>
          <w:tcPr>
            <w:tcW w:w="1435" w:type="dxa"/>
            <w:tcBorders>
              <w:bottom w:val="nil"/>
            </w:tcBorders>
            <w:noWrap/>
            <w:vAlign w:val="center"/>
            <w:hideMark/>
          </w:tcPr>
          <w:p w14:paraId="00AB55FA" w14:textId="77777777" w:rsidR="000636C3" w:rsidRPr="00547C63" w:rsidRDefault="000636C3" w:rsidP="00547C63">
            <w:pPr>
              <w:spacing w:before="0"/>
              <w:jc w:val="center"/>
              <w:rPr>
                <w:sz w:val="16"/>
                <w:szCs w:val="16"/>
              </w:rPr>
            </w:pPr>
          </w:p>
        </w:tc>
        <w:tc>
          <w:tcPr>
            <w:tcW w:w="1156" w:type="dxa"/>
            <w:tcBorders>
              <w:bottom w:val="nil"/>
            </w:tcBorders>
            <w:noWrap/>
            <w:vAlign w:val="center"/>
            <w:hideMark/>
          </w:tcPr>
          <w:p w14:paraId="480DFFAF" w14:textId="77777777" w:rsidR="000636C3" w:rsidRPr="00547C63" w:rsidRDefault="000636C3" w:rsidP="00547C63">
            <w:pPr>
              <w:spacing w:before="0"/>
              <w:jc w:val="center"/>
              <w:rPr>
                <w:sz w:val="16"/>
                <w:szCs w:val="16"/>
              </w:rPr>
            </w:pPr>
          </w:p>
        </w:tc>
        <w:tc>
          <w:tcPr>
            <w:tcW w:w="1313" w:type="dxa"/>
            <w:tcBorders>
              <w:bottom w:val="nil"/>
            </w:tcBorders>
            <w:noWrap/>
            <w:vAlign w:val="center"/>
            <w:hideMark/>
          </w:tcPr>
          <w:p w14:paraId="5C16A854" w14:textId="77777777" w:rsidR="000636C3" w:rsidRPr="00547C63" w:rsidRDefault="000636C3" w:rsidP="00547C63">
            <w:pPr>
              <w:spacing w:before="0"/>
              <w:jc w:val="center"/>
              <w:rPr>
                <w:sz w:val="16"/>
                <w:szCs w:val="16"/>
              </w:rPr>
            </w:pPr>
          </w:p>
        </w:tc>
        <w:tc>
          <w:tcPr>
            <w:tcW w:w="579" w:type="dxa"/>
            <w:tcBorders>
              <w:bottom w:val="nil"/>
            </w:tcBorders>
            <w:noWrap/>
            <w:vAlign w:val="center"/>
            <w:hideMark/>
          </w:tcPr>
          <w:p w14:paraId="6C4475F4" w14:textId="77777777" w:rsidR="000636C3" w:rsidRPr="00547C63" w:rsidRDefault="000636C3" w:rsidP="00547C63">
            <w:pPr>
              <w:spacing w:before="0"/>
              <w:jc w:val="right"/>
              <w:rPr>
                <w:sz w:val="16"/>
                <w:szCs w:val="16"/>
              </w:rPr>
            </w:pPr>
            <w:r w:rsidRPr="00547C63">
              <w:rPr>
                <w:sz w:val="16"/>
                <w:szCs w:val="16"/>
              </w:rPr>
              <w:t>0.6</w:t>
            </w:r>
            <w:r w:rsidR="00B47F52">
              <w:rPr>
                <w:sz w:val="16"/>
                <w:szCs w:val="16"/>
              </w:rPr>
              <w:t>00</w:t>
            </w:r>
          </w:p>
        </w:tc>
        <w:tc>
          <w:tcPr>
            <w:tcW w:w="1265" w:type="dxa"/>
            <w:tcBorders>
              <w:bottom w:val="nil"/>
            </w:tcBorders>
            <w:noWrap/>
            <w:vAlign w:val="center"/>
            <w:hideMark/>
          </w:tcPr>
          <w:p w14:paraId="196E10DF" w14:textId="77777777" w:rsidR="000636C3" w:rsidRPr="00547C63" w:rsidRDefault="000636C3" w:rsidP="00547C63">
            <w:pPr>
              <w:spacing w:before="0"/>
              <w:jc w:val="center"/>
              <w:rPr>
                <w:sz w:val="16"/>
                <w:szCs w:val="16"/>
              </w:rPr>
            </w:pPr>
          </w:p>
        </w:tc>
        <w:tc>
          <w:tcPr>
            <w:tcW w:w="1329" w:type="dxa"/>
            <w:tcBorders>
              <w:bottom w:val="nil"/>
            </w:tcBorders>
            <w:noWrap/>
            <w:vAlign w:val="center"/>
            <w:hideMark/>
          </w:tcPr>
          <w:p w14:paraId="2E89FEF9" w14:textId="77777777" w:rsidR="000636C3" w:rsidRPr="00547C63" w:rsidRDefault="000636C3" w:rsidP="00547C63">
            <w:pPr>
              <w:spacing w:before="0"/>
              <w:jc w:val="center"/>
              <w:rPr>
                <w:sz w:val="16"/>
                <w:szCs w:val="16"/>
              </w:rPr>
            </w:pPr>
          </w:p>
        </w:tc>
        <w:tc>
          <w:tcPr>
            <w:tcW w:w="659" w:type="dxa"/>
            <w:tcBorders>
              <w:bottom w:val="nil"/>
            </w:tcBorders>
            <w:noWrap/>
            <w:vAlign w:val="center"/>
            <w:hideMark/>
          </w:tcPr>
          <w:p w14:paraId="7F0766A0" w14:textId="77777777" w:rsidR="000636C3" w:rsidRPr="00547C63" w:rsidRDefault="000636C3" w:rsidP="00547C63">
            <w:pPr>
              <w:spacing w:before="0"/>
              <w:jc w:val="right"/>
              <w:rPr>
                <w:sz w:val="16"/>
                <w:szCs w:val="16"/>
              </w:rPr>
            </w:pPr>
            <w:r w:rsidRPr="00547C63">
              <w:rPr>
                <w:sz w:val="16"/>
                <w:szCs w:val="16"/>
              </w:rPr>
              <w:t>0.414</w:t>
            </w:r>
          </w:p>
        </w:tc>
        <w:tc>
          <w:tcPr>
            <w:tcW w:w="1249" w:type="dxa"/>
            <w:tcBorders>
              <w:bottom w:val="nil"/>
            </w:tcBorders>
            <w:noWrap/>
            <w:vAlign w:val="center"/>
            <w:hideMark/>
          </w:tcPr>
          <w:p w14:paraId="59F915F7" w14:textId="77777777" w:rsidR="000636C3" w:rsidRPr="00547C63" w:rsidRDefault="000636C3" w:rsidP="00547C63">
            <w:pPr>
              <w:spacing w:before="0"/>
              <w:jc w:val="center"/>
              <w:rPr>
                <w:sz w:val="16"/>
                <w:szCs w:val="16"/>
              </w:rPr>
            </w:pPr>
          </w:p>
        </w:tc>
        <w:tc>
          <w:tcPr>
            <w:tcW w:w="1348" w:type="dxa"/>
            <w:tcBorders>
              <w:bottom w:val="nil"/>
            </w:tcBorders>
            <w:noWrap/>
            <w:vAlign w:val="center"/>
            <w:hideMark/>
          </w:tcPr>
          <w:p w14:paraId="43CC78BA" w14:textId="77777777" w:rsidR="000636C3" w:rsidRPr="00547C63" w:rsidRDefault="000636C3" w:rsidP="00547C63">
            <w:pPr>
              <w:spacing w:before="0"/>
              <w:jc w:val="center"/>
              <w:rPr>
                <w:sz w:val="16"/>
                <w:szCs w:val="16"/>
              </w:rPr>
            </w:pPr>
          </w:p>
        </w:tc>
        <w:tc>
          <w:tcPr>
            <w:tcW w:w="659" w:type="dxa"/>
            <w:tcBorders>
              <w:bottom w:val="nil"/>
            </w:tcBorders>
            <w:noWrap/>
            <w:vAlign w:val="center"/>
            <w:hideMark/>
          </w:tcPr>
          <w:p w14:paraId="164042CD" w14:textId="77777777" w:rsidR="000636C3" w:rsidRPr="00547C63" w:rsidRDefault="000636C3" w:rsidP="00547C63">
            <w:pPr>
              <w:spacing w:before="0"/>
              <w:jc w:val="right"/>
              <w:rPr>
                <w:sz w:val="16"/>
                <w:szCs w:val="16"/>
              </w:rPr>
            </w:pPr>
            <w:r w:rsidRPr="00547C63">
              <w:rPr>
                <w:sz w:val="16"/>
                <w:szCs w:val="16"/>
              </w:rPr>
              <w:t>0.435</w:t>
            </w:r>
          </w:p>
        </w:tc>
        <w:tc>
          <w:tcPr>
            <w:tcW w:w="659" w:type="dxa"/>
            <w:tcBorders>
              <w:bottom w:val="nil"/>
            </w:tcBorders>
            <w:noWrap/>
            <w:vAlign w:val="center"/>
            <w:hideMark/>
          </w:tcPr>
          <w:p w14:paraId="3A4F7409" w14:textId="77777777" w:rsidR="000636C3" w:rsidRPr="00547C63" w:rsidRDefault="000636C3" w:rsidP="00547C63">
            <w:pPr>
              <w:spacing w:before="0"/>
              <w:jc w:val="right"/>
              <w:rPr>
                <w:sz w:val="16"/>
                <w:szCs w:val="16"/>
              </w:rPr>
            </w:pPr>
            <w:r w:rsidRPr="00547C63">
              <w:rPr>
                <w:sz w:val="16"/>
                <w:szCs w:val="16"/>
              </w:rPr>
              <w:t>0.634</w:t>
            </w:r>
          </w:p>
        </w:tc>
      </w:tr>
      <w:tr w:rsidR="00B47F52" w:rsidRPr="00547C63" w14:paraId="7F81A365" w14:textId="77777777" w:rsidTr="00FC492C">
        <w:trPr>
          <w:trHeight w:val="20"/>
        </w:trPr>
        <w:tc>
          <w:tcPr>
            <w:tcW w:w="1542" w:type="dxa"/>
            <w:tcBorders>
              <w:top w:val="nil"/>
              <w:bottom w:val="nil"/>
            </w:tcBorders>
            <w:noWrap/>
            <w:vAlign w:val="center"/>
            <w:hideMark/>
          </w:tcPr>
          <w:p w14:paraId="0772C31E" w14:textId="77777777" w:rsidR="000636C3" w:rsidRPr="00547C63" w:rsidRDefault="000636C3" w:rsidP="00547C63">
            <w:pPr>
              <w:spacing w:before="0"/>
              <w:jc w:val="right"/>
              <w:rPr>
                <w:sz w:val="16"/>
                <w:szCs w:val="16"/>
              </w:rPr>
            </w:pPr>
            <w:r w:rsidRPr="00547C63">
              <w:rPr>
                <w:sz w:val="16"/>
                <w:szCs w:val="16"/>
              </w:rPr>
              <w:t>1</w:t>
            </w:r>
          </w:p>
        </w:tc>
        <w:tc>
          <w:tcPr>
            <w:tcW w:w="1435" w:type="dxa"/>
            <w:tcBorders>
              <w:top w:val="nil"/>
              <w:bottom w:val="nil"/>
            </w:tcBorders>
            <w:noWrap/>
            <w:vAlign w:val="center"/>
            <w:hideMark/>
          </w:tcPr>
          <w:p w14:paraId="58B3F777" w14:textId="77777777" w:rsidR="000636C3" w:rsidRPr="00547C63" w:rsidRDefault="000636C3" w:rsidP="00547C63">
            <w:pPr>
              <w:spacing w:before="0"/>
              <w:jc w:val="center"/>
              <w:rPr>
                <w:sz w:val="16"/>
                <w:szCs w:val="16"/>
              </w:rPr>
            </w:pPr>
          </w:p>
        </w:tc>
        <w:tc>
          <w:tcPr>
            <w:tcW w:w="1156" w:type="dxa"/>
            <w:tcBorders>
              <w:top w:val="nil"/>
              <w:bottom w:val="nil"/>
            </w:tcBorders>
            <w:noWrap/>
            <w:vAlign w:val="center"/>
            <w:hideMark/>
          </w:tcPr>
          <w:p w14:paraId="0B297876" w14:textId="77777777" w:rsidR="000636C3" w:rsidRPr="00547C63" w:rsidRDefault="000636C3" w:rsidP="00547C63">
            <w:pPr>
              <w:spacing w:before="0"/>
              <w:jc w:val="center"/>
              <w:rPr>
                <w:sz w:val="16"/>
                <w:szCs w:val="16"/>
              </w:rPr>
            </w:pPr>
          </w:p>
        </w:tc>
        <w:tc>
          <w:tcPr>
            <w:tcW w:w="1313" w:type="dxa"/>
            <w:tcBorders>
              <w:top w:val="nil"/>
              <w:bottom w:val="nil"/>
            </w:tcBorders>
            <w:noWrap/>
            <w:vAlign w:val="center"/>
            <w:hideMark/>
          </w:tcPr>
          <w:p w14:paraId="50FEED61" w14:textId="77777777" w:rsidR="000636C3" w:rsidRPr="00547C63" w:rsidRDefault="000636C3" w:rsidP="00547C63">
            <w:pPr>
              <w:spacing w:before="0"/>
              <w:jc w:val="center"/>
              <w:rPr>
                <w:sz w:val="16"/>
                <w:szCs w:val="16"/>
              </w:rPr>
            </w:pPr>
          </w:p>
        </w:tc>
        <w:tc>
          <w:tcPr>
            <w:tcW w:w="579" w:type="dxa"/>
            <w:tcBorders>
              <w:top w:val="nil"/>
              <w:bottom w:val="nil"/>
            </w:tcBorders>
            <w:noWrap/>
            <w:vAlign w:val="center"/>
            <w:hideMark/>
          </w:tcPr>
          <w:p w14:paraId="5EE58A03" w14:textId="77777777" w:rsidR="000636C3" w:rsidRPr="00547C63" w:rsidRDefault="000636C3" w:rsidP="00547C63">
            <w:pPr>
              <w:spacing w:before="0"/>
              <w:jc w:val="right"/>
              <w:rPr>
                <w:sz w:val="16"/>
                <w:szCs w:val="16"/>
              </w:rPr>
            </w:pPr>
          </w:p>
        </w:tc>
        <w:tc>
          <w:tcPr>
            <w:tcW w:w="1265" w:type="dxa"/>
            <w:tcBorders>
              <w:top w:val="nil"/>
              <w:bottom w:val="nil"/>
            </w:tcBorders>
            <w:noWrap/>
            <w:vAlign w:val="center"/>
            <w:hideMark/>
          </w:tcPr>
          <w:p w14:paraId="26EC84E2" w14:textId="77777777" w:rsidR="000636C3" w:rsidRPr="00547C63" w:rsidRDefault="000636C3" w:rsidP="00547C63">
            <w:pPr>
              <w:spacing w:before="0"/>
              <w:jc w:val="center"/>
              <w:rPr>
                <w:sz w:val="16"/>
                <w:szCs w:val="16"/>
              </w:rPr>
            </w:pPr>
            <w:r w:rsidRPr="00547C63">
              <w:rPr>
                <w:sz w:val="16"/>
                <w:szCs w:val="16"/>
              </w:rPr>
              <w:t>23.8%</w:t>
            </w:r>
          </w:p>
        </w:tc>
        <w:tc>
          <w:tcPr>
            <w:tcW w:w="1329" w:type="dxa"/>
            <w:tcBorders>
              <w:top w:val="nil"/>
              <w:bottom w:val="nil"/>
            </w:tcBorders>
            <w:noWrap/>
            <w:vAlign w:val="center"/>
            <w:hideMark/>
          </w:tcPr>
          <w:p w14:paraId="5AB2AC3D" w14:textId="77777777" w:rsidR="000636C3" w:rsidRPr="00547C63" w:rsidRDefault="000636C3" w:rsidP="00547C63">
            <w:pPr>
              <w:spacing w:before="0"/>
              <w:jc w:val="center"/>
              <w:rPr>
                <w:sz w:val="16"/>
                <w:szCs w:val="16"/>
              </w:rPr>
            </w:pPr>
            <w:r w:rsidRPr="00547C63">
              <w:rPr>
                <w:sz w:val="16"/>
                <w:szCs w:val="16"/>
              </w:rPr>
              <w:t>22.6%</w:t>
            </w:r>
          </w:p>
        </w:tc>
        <w:tc>
          <w:tcPr>
            <w:tcW w:w="659" w:type="dxa"/>
            <w:tcBorders>
              <w:top w:val="nil"/>
              <w:bottom w:val="nil"/>
            </w:tcBorders>
            <w:noWrap/>
            <w:vAlign w:val="center"/>
            <w:hideMark/>
          </w:tcPr>
          <w:p w14:paraId="13868DB5" w14:textId="77777777" w:rsidR="000636C3" w:rsidRPr="00547C63" w:rsidRDefault="000636C3" w:rsidP="00547C63">
            <w:pPr>
              <w:spacing w:before="0"/>
              <w:jc w:val="right"/>
              <w:rPr>
                <w:sz w:val="16"/>
                <w:szCs w:val="16"/>
              </w:rPr>
            </w:pPr>
          </w:p>
        </w:tc>
        <w:tc>
          <w:tcPr>
            <w:tcW w:w="1249" w:type="dxa"/>
            <w:tcBorders>
              <w:top w:val="nil"/>
              <w:bottom w:val="nil"/>
            </w:tcBorders>
            <w:noWrap/>
            <w:vAlign w:val="center"/>
            <w:hideMark/>
          </w:tcPr>
          <w:p w14:paraId="2BF721A9" w14:textId="77777777" w:rsidR="000636C3" w:rsidRPr="00547C63" w:rsidRDefault="000636C3" w:rsidP="00547C63">
            <w:pPr>
              <w:spacing w:before="0"/>
              <w:jc w:val="center"/>
              <w:rPr>
                <w:sz w:val="16"/>
                <w:szCs w:val="16"/>
              </w:rPr>
            </w:pPr>
            <w:r w:rsidRPr="00547C63">
              <w:rPr>
                <w:sz w:val="16"/>
                <w:szCs w:val="16"/>
              </w:rPr>
              <w:t>13.0%</w:t>
            </w:r>
          </w:p>
        </w:tc>
        <w:tc>
          <w:tcPr>
            <w:tcW w:w="1348" w:type="dxa"/>
            <w:tcBorders>
              <w:top w:val="nil"/>
              <w:bottom w:val="nil"/>
            </w:tcBorders>
            <w:noWrap/>
            <w:vAlign w:val="center"/>
            <w:hideMark/>
          </w:tcPr>
          <w:p w14:paraId="42D3201E" w14:textId="77777777" w:rsidR="000636C3" w:rsidRPr="00547C63" w:rsidRDefault="000636C3" w:rsidP="00547C63">
            <w:pPr>
              <w:spacing w:before="0"/>
              <w:jc w:val="center"/>
              <w:rPr>
                <w:sz w:val="16"/>
                <w:szCs w:val="16"/>
              </w:rPr>
            </w:pPr>
            <w:r w:rsidRPr="00547C63">
              <w:rPr>
                <w:sz w:val="16"/>
                <w:szCs w:val="16"/>
              </w:rPr>
              <w:t>20.0%</w:t>
            </w:r>
          </w:p>
        </w:tc>
        <w:tc>
          <w:tcPr>
            <w:tcW w:w="659" w:type="dxa"/>
            <w:tcBorders>
              <w:top w:val="nil"/>
              <w:bottom w:val="nil"/>
            </w:tcBorders>
            <w:noWrap/>
            <w:vAlign w:val="center"/>
            <w:hideMark/>
          </w:tcPr>
          <w:p w14:paraId="388402EE" w14:textId="77777777" w:rsidR="000636C3" w:rsidRPr="00547C63" w:rsidRDefault="000636C3" w:rsidP="00547C63">
            <w:pPr>
              <w:spacing w:before="0"/>
              <w:jc w:val="right"/>
              <w:rPr>
                <w:sz w:val="16"/>
                <w:szCs w:val="16"/>
              </w:rPr>
            </w:pPr>
          </w:p>
        </w:tc>
        <w:tc>
          <w:tcPr>
            <w:tcW w:w="659" w:type="dxa"/>
            <w:tcBorders>
              <w:top w:val="nil"/>
              <w:bottom w:val="nil"/>
            </w:tcBorders>
            <w:noWrap/>
            <w:vAlign w:val="center"/>
            <w:hideMark/>
          </w:tcPr>
          <w:p w14:paraId="3B712ABF" w14:textId="77777777" w:rsidR="000636C3" w:rsidRPr="00547C63" w:rsidRDefault="000636C3" w:rsidP="00547C63">
            <w:pPr>
              <w:spacing w:before="0"/>
              <w:jc w:val="right"/>
              <w:rPr>
                <w:sz w:val="16"/>
                <w:szCs w:val="16"/>
              </w:rPr>
            </w:pPr>
          </w:p>
        </w:tc>
      </w:tr>
      <w:tr w:rsidR="00B47F52" w:rsidRPr="00547C63" w14:paraId="63240EFB" w14:textId="77777777" w:rsidTr="00FC492C">
        <w:trPr>
          <w:trHeight w:val="20"/>
        </w:trPr>
        <w:tc>
          <w:tcPr>
            <w:tcW w:w="1542" w:type="dxa"/>
            <w:tcBorders>
              <w:top w:val="nil"/>
              <w:bottom w:val="nil"/>
            </w:tcBorders>
            <w:noWrap/>
            <w:vAlign w:val="center"/>
            <w:hideMark/>
          </w:tcPr>
          <w:p w14:paraId="2B665ADF" w14:textId="77777777" w:rsidR="000636C3" w:rsidRPr="00547C63" w:rsidRDefault="000636C3" w:rsidP="00547C63">
            <w:pPr>
              <w:spacing w:before="0"/>
              <w:jc w:val="right"/>
              <w:rPr>
                <w:sz w:val="16"/>
                <w:szCs w:val="16"/>
              </w:rPr>
            </w:pPr>
            <w:r w:rsidRPr="00547C63">
              <w:rPr>
                <w:sz w:val="16"/>
                <w:szCs w:val="16"/>
              </w:rPr>
              <w:t>2</w:t>
            </w:r>
          </w:p>
        </w:tc>
        <w:tc>
          <w:tcPr>
            <w:tcW w:w="1435" w:type="dxa"/>
            <w:tcBorders>
              <w:top w:val="nil"/>
              <w:bottom w:val="nil"/>
            </w:tcBorders>
            <w:noWrap/>
            <w:vAlign w:val="center"/>
            <w:hideMark/>
          </w:tcPr>
          <w:p w14:paraId="10B8D62F" w14:textId="77777777" w:rsidR="000636C3" w:rsidRPr="00547C63" w:rsidRDefault="000636C3" w:rsidP="00547C63">
            <w:pPr>
              <w:spacing w:before="0"/>
              <w:jc w:val="center"/>
              <w:rPr>
                <w:sz w:val="16"/>
                <w:szCs w:val="16"/>
              </w:rPr>
            </w:pPr>
            <w:r w:rsidRPr="00547C63">
              <w:rPr>
                <w:sz w:val="16"/>
                <w:szCs w:val="16"/>
              </w:rPr>
              <w:t>44.7%</w:t>
            </w:r>
          </w:p>
        </w:tc>
        <w:tc>
          <w:tcPr>
            <w:tcW w:w="1156" w:type="dxa"/>
            <w:tcBorders>
              <w:top w:val="nil"/>
              <w:bottom w:val="nil"/>
            </w:tcBorders>
            <w:noWrap/>
            <w:vAlign w:val="center"/>
            <w:hideMark/>
          </w:tcPr>
          <w:p w14:paraId="1DFD9341" w14:textId="77777777" w:rsidR="000636C3" w:rsidRPr="00547C63" w:rsidRDefault="000636C3" w:rsidP="00547C63">
            <w:pPr>
              <w:spacing w:before="0"/>
              <w:jc w:val="center"/>
              <w:rPr>
                <w:sz w:val="16"/>
                <w:szCs w:val="16"/>
              </w:rPr>
            </w:pPr>
            <w:r w:rsidRPr="00547C63">
              <w:rPr>
                <w:sz w:val="16"/>
                <w:szCs w:val="16"/>
              </w:rPr>
              <w:t>45.0%</w:t>
            </w:r>
          </w:p>
        </w:tc>
        <w:tc>
          <w:tcPr>
            <w:tcW w:w="1313" w:type="dxa"/>
            <w:tcBorders>
              <w:top w:val="nil"/>
              <w:bottom w:val="nil"/>
            </w:tcBorders>
            <w:noWrap/>
            <w:vAlign w:val="center"/>
            <w:hideMark/>
          </w:tcPr>
          <w:p w14:paraId="2406F7B6" w14:textId="77777777" w:rsidR="000636C3" w:rsidRPr="00547C63" w:rsidRDefault="000636C3" w:rsidP="00547C63">
            <w:pPr>
              <w:spacing w:before="0"/>
              <w:jc w:val="center"/>
              <w:rPr>
                <w:sz w:val="16"/>
                <w:szCs w:val="16"/>
              </w:rPr>
            </w:pPr>
            <w:r w:rsidRPr="00547C63">
              <w:rPr>
                <w:sz w:val="16"/>
                <w:szCs w:val="16"/>
              </w:rPr>
              <w:t>56.6%</w:t>
            </w:r>
          </w:p>
        </w:tc>
        <w:tc>
          <w:tcPr>
            <w:tcW w:w="579" w:type="dxa"/>
            <w:tcBorders>
              <w:top w:val="nil"/>
              <w:bottom w:val="nil"/>
            </w:tcBorders>
            <w:noWrap/>
            <w:vAlign w:val="center"/>
            <w:hideMark/>
          </w:tcPr>
          <w:p w14:paraId="3A59C574" w14:textId="77777777" w:rsidR="000636C3" w:rsidRPr="00547C63" w:rsidRDefault="000636C3" w:rsidP="00547C63">
            <w:pPr>
              <w:spacing w:before="0"/>
              <w:jc w:val="right"/>
              <w:rPr>
                <w:sz w:val="16"/>
                <w:szCs w:val="16"/>
              </w:rPr>
            </w:pPr>
          </w:p>
        </w:tc>
        <w:tc>
          <w:tcPr>
            <w:tcW w:w="1265" w:type="dxa"/>
            <w:tcBorders>
              <w:top w:val="nil"/>
              <w:bottom w:val="nil"/>
            </w:tcBorders>
            <w:noWrap/>
            <w:vAlign w:val="center"/>
            <w:hideMark/>
          </w:tcPr>
          <w:p w14:paraId="20F8BFCB" w14:textId="77777777" w:rsidR="000636C3" w:rsidRPr="00547C63" w:rsidRDefault="000636C3" w:rsidP="00547C63">
            <w:pPr>
              <w:spacing w:before="0"/>
              <w:jc w:val="center"/>
              <w:rPr>
                <w:sz w:val="16"/>
                <w:szCs w:val="16"/>
              </w:rPr>
            </w:pPr>
            <w:r w:rsidRPr="00547C63">
              <w:rPr>
                <w:sz w:val="16"/>
                <w:szCs w:val="16"/>
              </w:rPr>
              <w:t>23.8%</w:t>
            </w:r>
          </w:p>
        </w:tc>
        <w:tc>
          <w:tcPr>
            <w:tcW w:w="1329" w:type="dxa"/>
            <w:tcBorders>
              <w:top w:val="nil"/>
              <w:bottom w:val="nil"/>
            </w:tcBorders>
            <w:noWrap/>
            <w:vAlign w:val="center"/>
            <w:hideMark/>
          </w:tcPr>
          <w:p w14:paraId="01E2A19F" w14:textId="77777777" w:rsidR="000636C3" w:rsidRPr="00547C63" w:rsidRDefault="000636C3" w:rsidP="00547C63">
            <w:pPr>
              <w:spacing w:before="0"/>
              <w:jc w:val="center"/>
              <w:rPr>
                <w:sz w:val="16"/>
                <w:szCs w:val="16"/>
              </w:rPr>
            </w:pPr>
            <w:r w:rsidRPr="00547C63">
              <w:rPr>
                <w:sz w:val="16"/>
                <w:szCs w:val="16"/>
              </w:rPr>
              <w:t>35.5%</w:t>
            </w:r>
          </w:p>
        </w:tc>
        <w:tc>
          <w:tcPr>
            <w:tcW w:w="659" w:type="dxa"/>
            <w:tcBorders>
              <w:top w:val="nil"/>
              <w:bottom w:val="nil"/>
            </w:tcBorders>
            <w:noWrap/>
            <w:vAlign w:val="center"/>
            <w:hideMark/>
          </w:tcPr>
          <w:p w14:paraId="6E5F0030" w14:textId="77777777" w:rsidR="000636C3" w:rsidRPr="00547C63" w:rsidRDefault="000636C3" w:rsidP="00547C63">
            <w:pPr>
              <w:spacing w:before="0"/>
              <w:jc w:val="right"/>
              <w:rPr>
                <w:sz w:val="16"/>
                <w:szCs w:val="16"/>
              </w:rPr>
            </w:pPr>
          </w:p>
        </w:tc>
        <w:tc>
          <w:tcPr>
            <w:tcW w:w="1249" w:type="dxa"/>
            <w:tcBorders>
              <w:top w:val="nil"/>
              <w:bottom w:val="nil"/>
            </w:tcBorders>
            <w:noWrap/>
            <w:vAlign w:val="center"/>
            <w:hideMark/>
          </w:tcPr>
          <w:p w14:paraId="4D9730D1" w14:textId="77777777" w:rsidR="000636C3" w:rsidRPr="00547C63" w:rsidRDefault="000636C3" w:rsidP="00547C63">
            <w:pPr>
              <w:spacing w:before="0"/>
              <w:jc w:val="center"/>
              <w:rPr>
                <w:sz w:val="16"/>
                <w:szCs w:val="16"/>
              </w:rPr>
            </w:pPr>
            <w:r w:rsidRPr="00547C63">
              <w:rPr>
                <w:sz w:val="16"/>
                <w:szCs w:val="16"/>
              </w:rPr>
              <w:t>37.7%</w:t>
            </w:r>
          </w:p>
        </w:tc>
        <w:tc>
          <w:tcPr>
            <w:tcW w:w="1348" w:type="dxa"/>
            <w:tcBorders>
              <w:top w:val="nil"/>
              <w:bottom w:val="nil"/>
            </w:tcBorders>
            <w:noWrap/>
            <w:vAlign w:val="center"/>
            <w:hideMark/>
          </w:tcPr>
          <w:p w14:paraId="3C38AAC0" w14:textId="77777777" w:rsidR="000636C3" w:rsidRPr="00547C63" w:rsidRDefault="000636C3" w:rsidP="00547C63">
            <w:pPr>
              <w:spacing w:before="0"/>
              <w:jc w:val="center"/>
              <w:rPr>
                <w:sz w:val="16"/>
                <w:szCs w:val="16"/>
              </w:rPr>
            </w:pPr>
            <w:r w:rsidRPr="00547C63">
              <w:rPr>
                <w:sz w:val="16"/>
                <w:szCs w:val="16"/>
              </w:rPr>
              <w:t>24.4%</w:t>
            </w:r>
          </w:p>
        </w:tc>
        <w:tc>
          <w:tcPr>
            <w:tcW w:w="659" w:type="dxa"/>
            <w:tcBorders>
              <w:top w:val="nil"/>
              <w:bottom w:val="nil"/>
            </w:tcBorders>
            <w:noWrap/>
            <w:vAlign w:val="center"/>
            <w:hideMark/>
          </w:tcPr>
          <w:p w14:paraId="64FB6602" w14:textId="77777777" w:rsidR="000636C3" w:rsidRPr="00547C63" w:rsidRDefault="000636C3" w:rsidP="00547C63">
            <w:pPr>
              <w:spacing w:before="0"/>
              <w:jc w:val="right"/>
              <w:rPr>
                <w:sz w:val="16"/>
                <w:szCs w:val="16"/>
              </w:rPr>
            </w:pPr>
          </w:p>
        </w:tc>
        <w:tc>
          <w:tcPr>
            <w:tcW w:w="659" w:type="dxa"/>
            <w:tcBorders>
              <w:top w:val="nil"/>
              <w:bottom w:val="nil"/>
            </w:tcBorders>
            <w:noWrap/>
            <w:vAlign w:val="center"/>
            <w:hideMark/>
          </w:tcPr>
          <w:p w14:paraId="1B8547E6" w14:textId="77777777" w:rsidR="000636C3" w:rsidRPr="00547C63" w:rsidRDefault="000636C3" w:rsidP="00547C63">
            <w:pPr>
              <w:spacing w:before="0"/>
              <w:jc w:val="right"/>
              <w:rPr>
                <w:sz w:val="16"/>
                <w:szCs w:val="16"/>
              </w:rPr>
            </w:pPr>
          </w:p>
        </w:tc>
      </w:tr>
      <w:tr w:rsidR="00B47F52" w:rsidRPr="00547C63" w14:paraId="24534FA1" w14:textId="77777777" w:rsidTr="00FC492C">
        <w:trPr>
          <w:trHeight w:val="20"/>
        </w:trPr>
        <w:tc>
          <w:tcPr>
            <w:tcW w:w="1542" w:type="dxa"/>
            <w:tcBorders>
              <w:top w:val="nil"/>
              <w:bottom w:val="nil"/>
            </w:tcBorders>
            <w:noWrap/>
            <w:vAlign w:val="center"/>
            <w:hideMark/>
          </w:tcPr>
          <w:p w14:paraId="795F9782" w14:textId="77777777" w:rsidR="000636C3" w:rsidRPr="00547C63" w:rsidRDefault="000636C3" w:rsidP="00547C63">
            <w:pPr>
              <w:spacing w:before="0"/>
              <w:jc w:val="right"/>
              <w:rPr>
                <w:sz w:val="16"/>
                <w:szCs w:val="16"/>
              </w:rPr>
            </w:pPr>
            <w:r w:rsidRPr="00547C63">
              <w:rPr>
                <w:sz w:val="16"/>
                <w:szCs w:val="16"/>
              </w:rPr>
              <w:t>3</w:t>
            </w:r>
          </w:p>
        </w:tc>
        <w:tc>
          <w:tcPr>
            <w:tcW w:w="1435" w:type="dxa"/>
            <w:tcBorders>
              <w:top w:val="nil"/>
              <w:bottom w:val="nil"/>
            </w:tcBorders>
            <w:noWrap/>
            <w:vAlign w:val="center"/>
            <w:hideMark/>
          </w:tcPr>
          <w:p w14:paraId="63445EBE" w14:textId="77777777" w:rsidR="000636C3" w:rsidRPr="00547C63" w:rsidRDefault="000636C3" w:rsidP="00547C63">
            <w:pPr>
              <w:spacing w:before="0"/>
              <w:jc w:val="center"/>
              <w:rPr>
                <w:sz w:val="16"/>
                <w:szCs w:val="16"/>
              </w:rPr>
            </w:pPr>
            <w:r w:rsidRPr="00547C63">
              <w:rPr>
                <w:sz w:val="16"/>
                <w:szCs w:val="16"/>
              </w:rPr>
              <w:t>44.2%</w:t>
            </w:r>
          </w:p>
        </w:tc>
        <w:tc>
          <w:tcPr>
            <w:tcW w:w="1156" w:type="dxa"/>
            <w:tcBorders>
              <w:top w:val="nil"/>
              <w:bottom w:val="nil"/>
            </w:tcBorders>
            <w:noWrap/>
            <w:vAlign w:val="center"/>
            <w:hideMark/>
          </w:tcPr>
          <w:p w14:paraId="50F39D6D" w14:textId="77777777" w:rsidR="000636C3" w:rsidRPr="00547C63" w:rsidRDefault="000636C3" w:rsidP="00547C63">
            <w:pPr>
              <w:spacing w:before="0"/>
              <w:jc w:val="center"/>
              <w:rPr>
                <w:sz w:val="16"/>
                <w:szCs w:val="16"/>
              </w:rPr>
            </w:pPr>
            <w:r w:rsidRPr="00547C63">
              <w:rPr>
                <w:sz w:val="16"/>
                <w:szCs w:val="16"/>
              </w:rPr>
              <w:t>45.0%</w:t>
            </w:r>
          </w:p>
        </w:tc>
        <w:tc>
          <w:tcPr>
            <w:tcW w:w="1313" w:type="dxa"/>
            <w:tcBorders>
              <w:top w:val="nil"/>
              <w:bottom w:val="nil"/>
            </w:tcBorders>
            <w:noWrap/>
            <w:vAlign w:val="center"/>
            <w:hideMark/>
          </w:tcPr>
          <w:p w14:paraId="2CEB48D9" w14:textId="77777777" w:rsidR="000636C3" w:rsidRPr="00547C63" w:rsidRDefault="000636C3" w:rsidP="00547C63">
            <w:pPr>
              <w:spacing w:before="0"/>
              <w:jc w:val="center"/>
              <w:rPr>
                <w:sz w:val="16"/>
                <w:szCs w:val="16"/>
              </w:rPr>
            </w:pPr>
            <w:r w:rsidRPr="00547C63">
              <w:rPr>
                <w:sz w:val="16"/>
                <w:szCs w:val="16"/>
              </w:rPr>
              <w:t>36.1%</w:t>
            </w:r>
          </w:p>
        </w:tc>
        <w:tc>
          <w:tcPr>
            <w:tcW w:w="579" w:type="dxa"/>
            <w:tcBorders>
              <w:top w:val="nil"/>
              <w:bottom w:val="nil"/>
            </w:tcBorders>
            <w:noWrap/>
            <w:vAlign w:val="center"/>
            <w:hideMark/>
          </w:tcPr>
          <w:p w14:paraId="59567609" w14:textId="77777777" w:rsidR="000636C3" w:rsidRPr="00547C63" w:rsidRDefault="000636C3" w:rsidP="00547C63">
            <w:pPr>
              <w:spacing w:before="0"/>
              <w:jc w:val="right"/>
              <w:rPr>
                <w:sz w:val="16"/>
                <w:szCs w:val="16"/>
              </w:rPr>
            </w:pPr>
          </w:p>
        </w:tc>
        <w:tc>
          <w:tcPr>
            <w:tcW w:w="1265" w:type="dxa"/>
            <w:tcBorders>
              <w:top w:val="nil"/>
              <w:bottom w:val="nil"/>
            </w:tcBorders>
            <w:noWrap/>
            <w:vAlign w:val="center"/>
            <w:hideMark/>
          </w:tcPr>
          <w:p w14:paraId="64FB22DD" w14:textId="77777777" w:rsidR="000636C3" w:rsidRPr="00547C63" w:rsidRDefault="000636C3" w:rsidP="00547C63">
            <w:pPr>
              <w:spacing w:before="0"/>
              <w:jc w:val="center"/>
              <w:rPr>
                <w:sz w:val="16"/>
                <w:szCs w:val="16"/>
              </w:rPr>
            </w:pPr>
            <w:r w:rsidRPr="00547C63">
              <w:rPr>
                <w:sz w:val="16"/>
                <w:szCs w:val="16"/>
              </w:rPr>
              <w:t>42.9%</w:t>
            </w:r>
          </w:p>
        </w:tc>
        <w:tc>
          <w:tcPr>
            <w:tcW w:w="1329" w:type="dxa"/>
            <w:tcBorders>
              <w:top w:val="nil"/>
              <w:bottom w:val="nil"/>
            </w:tcBorders>
            <w:noWrap/>
            <w:vAlign w:val="center"/>
            <w:hideMark/>
          </w:tcPr>
          <w:p w14:paraId="11757232" w14:textId="77777777" w:rsidR="000636C3" w:rsidRPr="00547C63" w:rsidRDefault="000636C3" w:rsidP="00547C63">
            <w:pPr>
              <w:spacing w:before="0"/>
              <w:jc w:val="center"/>
              <w:rPr>
                <w:sz w:val="16"/>
                <w:szCs w:val="16"/>
              </w:rPr>
            </w:pPr>
            <w:r w:rsidRPr="00547C63">
              <w:rPr>
                <w:sz w:val="16"/>
                <w:szCs w:val="16"/>
              </w:rPr>
              <w:t>22.6%</w:t>
            </w:r>
          </w:p>
        </w:tc>
        <w:tc>
          <w:tcPr>
            <w:tcW w:w="659" w:type="dxa"/>
            <w:tcBorders>
              <w:top w:val="nil"/>
              <w:bottom w:val="nil"/>
            </w:tcBorders>
            <w:noWrap/>
            <w:vAlign w:val="center"/>
            <w:hideMark/>
          </w:tcPr>
          <w:p w14:paraId="61AAAFF2" w14:textId="77777777" w:rsidR="000636C3" w:rsidRPr="00547C63" w:rsidRDefault="000636C3" w:rsidP="00547C63">
            <w:pPr>
              <w:spacing w:before="0"/>
              <w:jc w:val="right"/>
              <w:rPr>
                <w:sz w:val="16"/>
                <w:szCs w:val="16"/>
              </w:rPr>
            </w:pPr>
          </w:p>
        </w:tc>
        <w:tc>
          <w:tcPr>
            <w:tcW w:w="1249" w:type="dxa"/>
            <w:tcBorders>
              <w:top w:val="nil"/>
              <w:bottom w:val="nil"/>
            </w:tcBorders>
            <w:noWrap/>
            <w:vAlign w:val="center"/>
            <w:hideMark/>
          </w:tcPr>
          <w:p w14:paraId="6C2CB133" w14:textId="77777777" w:rsidR="000636C3" w:rsidRPr="00547C63" w:rsidRDefault="000636C3" w:rsidP="00547C63">
            <w:pPr>
              <w:spacing w:before="0"/>
              <w:jc w:val="center"/>
              <w:rPr>
                <w:sz w:val="16"/>
                <w:szCs w:val="16"/>
              </w:rPr>
            </w:pPr>
            <w:r w:rsidRPr="00547C63">
              <w:rPr>
                <w:sz w:val="16"/>
                <w:szCs w:val="16"/>
              </w:rPr>
              <w:t>29.9%</w:t>
            </w:r>
          </w:p>
        </w:tc>
        <w:tc>
          <w:tcPr>
            <w:tcW w:w="1348" w:type="dxa"/>
            <w:tcBorders>
              <w:top w:val="nil"/>
              <w:bottom w:val="nil"/>
            </w:tcBorders>
            <w:noWrap/>
            <w:vAlign w:val="center"/>
            <w:hideMark/>
          </w:tcPr>
          <w:p w14:paraId="0996ED03" w14:textId="77777777" w:rsidR="000636C3" w:rsidRPr="00547C63" w:rsidRDefault="000636C3" w:rsidP="00547C63">
            <w:pPr>
              <w:spacing w:before="0"/>
              <w:jc w:val="center"/>
              <w:rPr>
                <w:sz w:val="16"/>
                <w:szCs w:val="16"/>
              </w:rPr>
            </w:pPr>
            <w:r w:rsidRPr="00547C63">
              <w:rPr>
                <w:sz w:val="16"/>
                <w:szCs w:val="16"/>
              </w:rPr>
              <w:t>35.6%</w:t>
            </w:r>
          </w:p>
        </w:tc>
        <w:tc>
          <w:tcPr>
            <w:tcW w:w="659" w:type="dxa"/>
            <w:tcBorders>
              <w:top w:val="nil"/>
              <w:bottom w:val="nil"/>
            </w:tcBorders>
            <w:noWrap/>
            <w:vAlign w:val="center"/>
            <w:hideMark/>
          </w:tcPr>
          <w:p w14:paraId="7E0F4CC0" w14:textId="77777777" w:rsidR="000636C3" w:rsidRPr="00547C63" w:rsidRDefault="000636C3" w:rsidP="00547C63">
            <w:pPr>
              <w:spacing w:before="0"/>
              <w:jc w:val="right"/>
              <w:rPr>
                <w:sz w:val="16"/>
                <w:szCs w:val="16"/>
              </w:rPr>
            </w:pPr>
          </w:p>
        </w:tc>
        <w:tc>
          <w:tcPr>
            <w:tcW w:w="659" w:type="dxa"/>
            <w:tcBorders>
              <w:top w:val="nil"/>
              <w:bottom w:val="nil"/>
            </w:tcBorders>
            <w:noWrap/>
            <w:vAlign w:val="center"/>
            <w:hideMark/>
          </w:tcPr>
          <w:p w14:paraId="2C005896" w14:textId="77777777" w:rsidR="000636C3" w:rsidRPr="00547C63" w:rsidRDefault="000636C3" w:rsidP="00547C63">
            <w:pPr>
              <w:spacing w:before="0"/>
              <w:jc w:val="right"/>
              <w:rPr>
                <w:sz w:val="16"/>
                <w:szCs w:val="16"/>
              </w:rPr>
            </w:pPr>
          </w:p>
        </w:tc>
      </w:tr>
      <w:tr w:rsidR="00B47F52" w:rsidRPr="00547C63" w14:paraId="4A784BF0" w14:textId="77777777" w:rsidTr="00FC492C">
        <w:trPr>
          <w:trHeight w:val="20"/>
        </w:trPr>
        <w:tc>
          <w:tcPr>
            <w:tcW w:w="1542" w:type="dxa"/>
            <w:tcBorders>
              <w:top w:val="nil"/>
              <w:bottom w:val="nil"/>
            </w:tcBorders>
            <w:noWrap/>
            <w:vAlign w:val="center"/>
            <w:hideMark/>
          </w:tcPr>
          <w:p w14:paraId="2B22A4DD" w14:textId="77777777" w:rsidR="000636C3" w:rsidRPr="00547C63" w:rsidRDefault="000636C3" w:rsidP="00547C63">
            <w:pPr>
              <w:spacing w:before="0"/>
              <w:jc w:val="right"/>
              <w:rPr>
                <w:sz w:val="16"/>
                <w:szCs w:val="16"/>
              </w:rPr>
            </w:pPr>
            <w:r w:rsidRPr="00547C63">
              <w:rPr>
                <w:sz w:val="16"/>
                <w:szCs w:val="16"/>
              </w:rPr>
              <w:t>4</w:t>
            </w:r>
          </w:p>
        </w:tc>
        <w:tc>
          <w:tcPr>
            <w:tcW w:w="1435" w:type="dxa"/>
            <w:tcBorders>
              <w:top w:val="nil"/>
              <w:bottom w:val="nil"/>
            </w:tcBorders>
            <w:noWrap/>
            <w:vAlign w:val="center"/>
            <w:hideMark/>
          </w:tcPr>
          <w:p w14:paraId="6B1B6FCD" w14:textId="77777777" w:rsidR="000636C3" w:rsidRPr="00547C63" w:rsidRDefault="000636C3" w:rsidP="00547C63">
            <w:pPr>
              <w:spacing w:before="0"/>
              <w:jc w:val="center"/>
              <w:rPr>
                <w:sz w:val="16"/>
                <w:szCs w:val="16"/>
              </w:rPr>
            </w:pPr>
            <w:r w:rsidRPr="00547C63">
              <w:rPr>
                <w:sz w:val="16"/>
                <w:szCs w:val="16"/>
              </w:rPr>
              <w:t>11.1%</w:t>
            </w:r>
          </w:p>
        </w:tc>
        <w:tc>
          <w:tcPr>
            <w:tcW w:w="1156" w:type="dxa"/>
            <w:tcBorders>
              <w:top w:val="nil"/>
              <w:bottom w:val="nil"/>
            </w:tcBorders>
            <w:noWrap/>
            <w:vAlign w:val="center"/>
            <w:hideMark/>
          </w:tcPr>
          <w:p w14:paraId="169CEA2F" w14:textId="77777777" w:rsidR="000636C3" w:rsidRPr="00547C63" w:rsidRDefault="000636C3" w:rsidP="00547C63">
            <w:pPr>
              <w:spacing w:before="0"/>
              <w:jc w:val="center"/>
              <w:rPr>
                <w:sz w:val="16"/>
                <w:szCs w:val="16"/>
              </w:rPr>
            </w:pPr>
            <w:r w:rsidRPr="00547C63">
              <w:rPr>
                <w:sz w:val="16"/>
                <w:szCs w:val="16"/>
              </w:rPr>
              <w:t>10.0%</w:t>
            </w:r>
          </w:p>
        </w:tc>
        <w:tc>
          <w:tcPr>
            <w:tcW w:w="1313" w:type="dxa"/>
            <w:tcBorders>
              <w:top w:val="nil"/>
              <w:bottom w:val="nil"/>
            </w:tcBorders>
            <w:noWrap/>
            <w:vAlign w:val="center"/>
            <w:hideMark/>
          </w:tcPr>
          <w:p w14:paraId="1CD0D755" w14:textId="77777777" w:rsidR="000636C3" w:rsidRPr="00547C63" w:rsidRDefault="000636C3" w:rsidP="00547C63">
            <w:pPr>
              <w:spacing w:before="0"/>
              <w:jc w:val="center"/>
              <w:rPr>
                <w:sz w:val="16"/>
                <w:szCs w:val="16"/>
              </w:rPr>
            </w:pPr>
            <w:r w:rsidRPr="00547C63">
              <w:rPr>
                <w:sz w:val="16"/>
                <w:szCs w:val="16"/>
              </w:rPr>
              <w:t>7.4%</w:t>
            </w:r>
          </w:p>
        </w:tc>
        <w:tc>
          <w:tcPr>
            <w:tcW w:w="579" w:type="dxa"/>
            <w:tcBorders>
              <w:top w:val="nil"/>
              <w:bottom w:val="nil"/>
            </w:tcBorders>
            <w:noWrap/>
            <w:vAlign w:val="center"/>
            <w:hideMark/>
          </w:tcPr>
          <w:p w14:paraId="12E18B95" w14:textId="77777777" w:rsidR="000636C3" w:rsidRPr="00547C63" w:rsidRDefault="000636C3" w:rsidP="00547C63">
            <w:pPr>
              <w:spacing w:before="0"/>
              <w:jc w:val="right"/>
              <w:rPr>
                <w:sz w:val="16"/>
                <w:szCs w:val="16"/>
              </w:rPr>
            </w:pPr>
          </w:p>
        </w:tc>
        <w:tc>
          <w:tcPr>
            <w:tcW w:w="1265" w:type="dxa"/>
            <w:tcBorders>
              <w:top w:val="nil"/>
              <w:bottom w:val="nil"/>
            </w:tcBorders>
            <w:noWrap/>
            <w:vAlign w:val="center"/>
            <w:hideMark/>
          </w:tcPr>
          <w:p w14:paraId="71B49357" w14:textId="77777777" w:rsidR="000636C3" w:rsidRPr="00547C63" w:rsidRDefault="000636C3" w:rsidP="00547C63">
            <w:pPr>
              <w:spacing w:before="0"/>
              <w:jc w:val="center"/>
              <w:rPr>
                <w:sz w:val="16"/>
                <w:szCs w:val="16"/>
              </w:rPr>
            </w:pPr>
            <w:r w:rsidRPr="00547C63">
              <w:rPr>
                <w:sz w:val="16"/>
                <w:szCs w:val="16"/>
              </w:rPr>
              <w:t>9.5%</w:t>
            </w:r>
          </w:p>
        </w:tc>
        <w:tc>
          <w:tcPr>
            <w:tcW w:w="1329" w:type="dxa"/>
            <w:tcBorders>
              <w:top w:val="nil"/>
              <w:bottom w:val="nil"/>
            </w:tcBorders>
            <w:noWrap/>
            <w:vAlign w:val="center"/>
            <w:hideMark/>
          </w:tcPr>
          <w:p w14:paraId="378563FF" w14:textId="77777777" w:rsidR="000636C3" w:rsidRPr="00547C63" w:rsidRDefault="000636C3" w:rsidP="00547C63">
            <w:pPr>
              <w:spacing w:before="0"/>
              <w:jc w:val="center"/>
              <w:rPr>
                <w:sz w:val="16"/>
                <w:szCs w:val="16"/>
              </w:rPr>
            </w:pPr>
            <w:r w:rsidRPr="00547C63">
              <w:rPr>
                <w:sz w:val="16"/>
                <w:szCs w:val="16"/>
              </w:rPr>
              <w:t>19.4%</w:t>
            </w:r>
          </w:p>
        </w:tc>
        <w:tc>
          <w:tcPr>
            <w:tcW w:w="659" w:type="dxa"/>
            <w:tcBorders>
              <w:top w:val="nil"/>
              <w:bottom w:val="nil"/>
            </w:tcBorders>
            <w:noWrap/>
            <w:vAlign w:val="center"/>
            <w:hideMark/>
          </w:tcPr>
          <w:p w14:paraId="1359FCFD" w14:textId="77777777" w:rsidR="000636C3" w:rsidRPr="00547C63" w:rsidRDefault="000636C3" w:rsidP="00547C63">
            <w:pPr>
              <w:spacing w:before="0"/>
              <w:jc w:val="right"/>
              <w:rPr>
                <w:sz w:val="16"/>
                <w:szCs w:val="16"/>
              </w:rPr>
            </w:pPr>
          </w:p>
        </w:tc>
        <w:tc>
          <w:tcPr>
            <w:tcW w:w="1249" w:type="dxa"/>
            <w:tcBorders>
              <w:top w:val="nil"/>
              <w:bottom w:val="nil"/>
            </w:tcBorders>
            <w:noWrap/>
            <w:vAlign w:val="center"/>
            <w:hideMark/>
          </w:tcPr>
          <w:p w14:paraId="7E4B3718" w14:textId="77777777" w:rsidR="000636C3" w:rsidRPr="00547C63" w:rsidRDefault="000636C3" w:rsidP="00547C63">
            <w:pPr>
              <w:spacing w:before="0"/>
              <w:jc w:val="center"/>
              <w:rPr>
                <w:sz w:val="16"/>
                <w:szCs w:val="16"/>
              </w:rPr>
            </w:pPr>
            <w:r w:rsidRPr="00547C63">
              <w:rPr>
                <w:sz w:val="16"/>
                <w:szCs w:val="16"/>
              </w:rPr>
              <w:t>19.5%</w:t>
            </w:r>
          </w:p>
        </w:tc>
        <w:tc>
          <w:tcPr>
            <w:tcW w:w="1348" w:type="dxa"/>
            <w:tcBorders>
              <w:top w:val="nil"/>
              <w:bottom w:val="nil"/>
            </w:tcBorders>
            <w:noWrap/>
            <w:vAlign w:val="center"/>
            <w:hideMark/>
          </w:tcPr>
          <w:p w14:paraId="268D94F9" w14:textId="77777777" w:rsidR="000636C3" w:rsidRPr="00547C63" w:rsidRDefault="000636C3" w:rsidP="00547C63">
            <w:pPr>
              <w:spacing w:before="0"/>
              <w:jc w:val="center"/>
              <w:rPr>
                <w:sz w:val="16"/>
                <w:szCs w:val="16"/>
              </w:rPr>
            </w:pPr>
            <w:r w:rsidRPr="00547C63">
              <w:rPr>
                <w:sz w:val="16"/>
                <w:szCs w:val="16"/>
              </w:rPr>
              <w:t>20.0%</w:t>
            </w:r>
          </w:p>
        </w:tc>
        <w:tc>
          <w:tcPr>
            <w:tcW w:w="659" w:type="dxa"/>
            <w:tcBorders>
              <w:top w:val="nil"/>
              <w:bottom w:val="nil"/>
            </w:tcBorders>
            <w:noWrap/>
            <w:vAlign w:val="center"/>
            <w:hideMark/>
          </w:tcPr>
          <w:p w14:paraId="2098D4AC" w14:textId="77777777" w:rsidR="000636C3" w:rsidRPr="00547C63" w:rsidRDefault="000636C3" w:rsidP="00547C63">
            <w:pPr>
              <w:spacing w:before="0"/>
              <w:jc w:val="right"/>
              <w:rPr>
                <w:sz w:val="16"/>
                <w:szCs w:val="16"/>
              </w:rPr>
            </w:pPr>
          </w:p>
        </w:tc>
        <w:tc>
          <w:tcPr>
            <w:tcW w:w="659" w:type="dxa"/>
            <w:tcBorders>
              <w:top w:val="nil"/>
              <w:bottom w:val="nil"/>
            </w:tcBorders>
            <w:noWrap/>
            <w:vAlign w:val="center"/>
            <w:hideMark/>
          </w:tcPr>
          <w:p w14:paraId="22239783" w14:textId="77777777" w:rsidR="000636C3" w:rsidRPr="00547C63" w:rsidRDefault="000636C3" w:rsidP="00547C63">
            <w:pPr>
              <w:spacing w:before="0"/>
              <w:jc w:val="right"/>
              <w:rPr>
                <w:sz w:val="16"/>
                <w:szCs w:val="16"/>
              </w:rPr>
            </w:pPr>
          </w:p>
        </w:tc>
      </w:tr>
      <w:tr w:rsidR="00B47F52" w:rsidRPr="00547C63" w14:paraId="6C1E814A" w14:textId="77777777" w:rsidTr="00FC492C">
        <w:trPr>
          <w:trHeight w:val="20"/>
        </w:trPr>
        <w:tc>
          <w:tcPr>
            <w:tcW w:w="1542" w:type="dxa"/>
            <w:tcBorders>
              <w:top w:val="nil"/>
            </w:tcBorders>
            <w:noWrap/>
            <w:vAlign w:val="center"/>
            <w:hideMark/>
          </w:tcPr>
          <w:p w14:paraId="04061DBE" w14:textId="77777777" w:rsidR="000636C3" w:rsidRPr="00547C63" w:rsidRDefault="000636C3" w:rsidP="00547C63">
            <w:pPr>
              <w:spacing w:before="0"/>
              <w:jc w:val="right"/>
              <w:rPr>
                <w:sz w:val="16"/>
                <w:szCs w:val="16"/>
              </w:rPr>
            </w:pPr>
            <w:r w:rsidRPr="00547C63">
              <w:rPr>
                <w:sz w:val="16"/>
                <w:szCs w:val="16"/>
              </w:rPr>
              <w:t>Unknown</w:t>
            </w:r>
          </w:p>
        </w:tc>
        <w:tc>
          <w:tcPr>
            <w:tcW w:w="1435" w:type="dxa"/>
            <w:tcBorders>
              <w:top w:val="nil"/>
            </w:tcBorders>
            <w:noWrap/>
            <w:vAlign w:val="center"/>
            <w:hideMark/>
          </w:tcPr>
          <w:p w14:paraId="79AFB68C" w14:textId="77777777" w:rsidR="000636C3" w:rsidRPr="00547C63" w:rsidRDefault="000636C3" w:rsidP="00547C63">
            <w:pPr>
              <w:spacing w:before="0"/>
              <w:jc w:val="center"/>
              <w:rPr>
                <w:sz w:val="16"/>
                <w:szCs w:val="16"/>
              </w:rPr>
            </w:pPr>
          </w:p>
        </w:tc>
        <w:tc>
          <w:tcPr>
            <w:tcW w:w="1156" w:type="dxa"/>
            <w:tcBorders>
              <w:top w:val="nil"/>
            </w:tcBorders>
            <w:noWrap/>
            <w:vAlign w:val="center"/>
            <w:hideMark/>
          </w:tcPr>
          <w:p w14:paraId="64FAFF5C" w14:textId="77777777" w:rsidR="000636C3" w:rsidRPr="00547C63" w:rsidRDefault="000636C3" w:rsidP="00547C63">
            <w:pPr>
              <w:spacing w:before="0"/>
              <w:jc w:val="center"/>
              <w:rPr>
                <w:sz w:val="16"/>
                <w:szCs w:val="16"/>
              </w:rPr>
            </w:pPr>
          </w:p>
        </w:tc>
        <w:tc>
          <w:tcPr>
            <w:tcW w:w="1313" w:type="dxa"/>
            <w:tcBorders>
              <w:top w:val="nil"/>
            </w:tcBorders>
            <w:noWrap/>
            <w:vAlign w:val="center"/>
            <w:hideMark/>
          </w:tcPr>
          <w:p w14:paraId="0C2358D9" w14:textId="77777777" w:rsidR="000636C3" w:rsidRPr="00547C63" w:rsidRDefault="000636C3" w:rsidP="00547C63">
            <w:pPr>
              <w:spacing w:before="0"/>
              <w:jc w:val="center"/>
              <w:rPr>
                <w:sz w:val="16"/>
                <w:szCs w:val="16"/>
              </w:rPr>
            </w:pPr>
          </w:p>
        </w:tc>
        <w:tc>
          <w:tcPr>
            <w:tcW w:w="579" w:type="dxa"/>
            <w:tcBorders>
              <w:top w:val="nil"/>
            </w:tcBorders>
            <w:noWrap/>
            <w:vAlign w:val="center"/>
            <w:hideMark/>
          </w:tcPr>
          <w:p w14:paraId="431429F0" w14:textId="77777777" w:rsidR="000636C3" w:rsidRPr="00547C63" w:rsidRDefault="000636C3" w:rsidP="00547C63">
            <w:pPr>
              <w:spacing w:before="0"/>
              <w:jc w:val="right"/>
              <w:rPr>
                <w:sz w:val="16"/>
                <w:szCs w:val="16"/>
              </w:rPr>
            </w:pPr>
          </w:p>
        </w:tc>
        <w:tc>
          <w:tcPr>
            <w:tcW w:w="1265" w:type="dxa"/>
            <w:tcBorders>
              <w:top w:val="nil"/>
            </w:tcBorders>
            <w:noWrap/>
            <w:vAlign w:val="center"/>
            <w:hideMark/>
          </w:tcPr>
          <w:p w14:paraId="7799C35C" w14:textId="77777777" w:rsidR="000636C3" w:rsidRPr="00547C63" w:rsidRDefault="000636C3" w:rsidP="00547C63">
            <w:pPr>
              <w:spacing w:before="0"/>
              <w:jc w:val="center"/>
              <w:rPr>
                <w:sz w:val="16"/>
                <w:szCs w:val="16"/>
              </w:rPr>
            </w:pPr>
            <w:r w:rsidRPr="00547C63">
              <w:rPr>
                <w:sz w:val="16"/>
                <w:szCs w:val="16"/>
              </w:rPr>
              <w:t>66.1%</w:t>
            </w:r>
          </w:p>
        </w:tc>
        <w:tc>
          <w:tcPr>
            <w:tcW w:w="1329" w:type="dxa"/>
            <w:tcBorders>
              <w:top w:val="nil"/>
            </w:tcBorders>
            <w:noWrap/>
            <w:vAlign w:val="center"/>
            <w:hideMark/>
          </w:tcPr>
          <w:p w14:paraId="60E8A531" w14:textId="77777777" w:rsidR="000636C3" w:rsidRPr="00547C63" w:rsidRDefault="000636C3" w:rsidP="00547C63">
            <w:pPr>
              <w:spacing w:before="0"/>
              <w:jc w:val="center"/>
              <w:rPr>
                <w:sz w:val="16"/>
                <w:szCs w:val="16"/>
              </w:rPr>
            </w:pPr>
            <w:r w:rsidRPr="00547C63">
              <w:rPr>
                <w:sz w:val="16"/>
                <w:szCs w:val="16"/>
              </w:rPr>
              <w:t>8.8%</w:t>
            </w:r>
          </w:p>
        </w:tc>
        <w:tc>
          <w:tcPr>
            <w:tcW w:w="659" w:type="dxa"/>
            <w:tcBorders>
              <w:top w:val="nil"/>
            </w:tcBorders>
            <w:noWrap/>
            <w:vAlign w:val="center"/>
            <w:hideMark/>
          </w:tcPr>
          <w:p w14:paraId="581643E8" w14:textId="77777777" w:rsidR="000636C3" w:rsidRPr="00547C63" w:rsidRDefault="000636C3" w:rsidP="00547C63">
            <w:pPr>
              <w:spacing w:before="0"/>
              <w:jc w:val="right"/>
              <w:rPr>
                <w:sz w:val="16"/>
                <w:szCs w:val="16"/>
              </w:rPr>
            </w:pPr>
          </w:p>
        </w:tc>
        <w:tc>
          <w:tcPr>
            <w:tcW w:w="1249" w:type="dxa"/>
            <w:tcBorders>
              <w:top w:val="nil"/>
            </w:tcBorders>
            <w:noWrap/>
            <w:vAlign w:val="center"/>
            <w:hideMark/>
          </w:tcPr>
          <w:p w14:paraId="693805D4" w14:textId="77777777" w:rsidR="000636C3" w:rsidRPr="00547C63" w:rsidRDefault="000636C3" w:rsidP="00547C63">
            <w:pPr>
              <w:spacing w:before="0"/>
              <w:jc w:val="center"/>
              <w:rPr>
                <w:sz w:val="16"/>
                <w:szCs w:val="16"/>
              </w:rPr>
            </w:pPr>
            <w:r w:rsidRPr="00547C63">
              <w:rPr>
                <w:sz w:val="16"/>
                <w:szCs w:val="16"/>
              </w:rPr>
              <w:t>56.5%</w:t>
            </w:r>
          </w:p>
        </w:tc>
        <w:tc>
          <w:tcPr>
            <w:tcW w:w="1348" w:type="dxa"/>
            <w:tcBorders>
              <w:top w:val="nil"/>
            </w:tcBorders>
            <w:noWrap/>
            <w:vAlign w:val="center"/>
            <w:hideMark/>
          </w:tcPr>
          <w:p w14:paraId="25447B19" w14:textId="77777777" w:rsidR="000636C3" w:rsidRPr="00547C63" w:rsidRDefault="000636C3" w:rsidP="00547C63">
            <w:pPr>
              <w:spacing w:before="0"/>
              <w:jc w:val="center"/>
              <w:rPr>
                <w:sz w:val="16"/>
                <w:szCs w:val="16"/>
              </w:rPr>
            </w:pPr>
            <w:r w:rsidRPr="00547C63">
              <w:rPr>
                <w:sz w:val="16"/>
                <w:szCs w:val="16"/>
              </w:rPr>
              <w:t>21.1%</w:t>
            </w:r>
          </w:p>
        </w:tc>
        <w:tc>
          <w:tcPr>
            <w:tcW w:w="659" w:type="dxa"/>
            <w:tcBorders>
              <w:top w:val="nil"/>
            </w:tcBorders>
            <w:noWrap/>
            <w:vAlign w:val="center"/>
            <w:hideMark/>
          </w:tcPr>
          <w:p w14:paraId="4F3322D5" w14:textId="77777777" w:rsidR="000636C3" w:rsidRPr="00547C63" w:rsidRDefault="000636C3" w:rsidP="00547C63">
            <w:pPr>
              <w:spacing w:before="0"/>
              <w:jc w:val="right"/>
              <w:rPr>
                <w:sz w:val="16"/>
                <w:szCs w:val="16"/>
              </w:rPr>
            </w:pPr>
          </w:p>
        </w:tc>
        <w:tc>
          <w:tcPr>
            <w:tcW w:w="659" w:type="dxa"/>
            <w:tcBorders>
              <w:top w:val="nil"/>
            </w:tcBorders>
            <w:noWrap/>
            <w:vAlign w:val="center"/>
            <w:hideMark/>
          </w:tcPr>
          <w:p w14:paraId="77CC1A6B" w14:textId="77777777" w:rsidR="000636C3" w:rsidRPr="00547C63" w:rsidRDefault="000636C3" w:rsidP="00547C63">
            <w:pPr>
              <w:spacing w:before="0"/>
              <w:jc w:val="right"/>
              <w:rPr>
                <w:sz w:val="16"/>
                <w:szCs w:val="16"/>
              </w:rPr>
            </w:pPr>
          </w:p>
        </w:tc>
      </w:tr>
      <w:tr w:rsidR="00B47F52" w:rsidRPr="00547C63" w14:paraId="796A5F61" w14:textId="77777777" w:rsidTr="00FC492C">
        <w:trPr>
          <w:trHeight w:val="20"/>
        </w:trPr>
        <w:tc>
          <w:tcPr>
            <w:tcW w:w="1542" w:type="dxa"/>
            <w:noWrap/>
            <w:vAlign w:val="center"/>
            <w:hideMark/>
          </w:tcPr>
          <w:p w14:paraId="6952EEFD" w14:textId="77777777" w:rsidR="000636C3" w:rsidRPr="00547C63" w:rsidRDefault="005E64CB" w:rsidP="00547C63">
            <w:pPr>
              <w:spacing w:before="0"/>
              <w:rPr>
                <w:sz w:val="16"/>
                <w:szCs w:val="16"/>
              </w:rPr>
            </w:pPr>
            <w:r>
              <w:rPr>
                <w:sz w:val="16"/>
                <w:szCs w:val="16"/>
              </w:rPr>
              <w:t xml:space="preserve">Bronchodilator </w:t>
            </w:r>
            <w:r w:rsidR="000636C3" w:rsidRPr="00547C63">
              <w:rPr>
                <w:sz w:val="16"/>
                <w:szCs w:val="16"/>
              </w:rPr>
              <w:t>(%)</w:t>
            </w:r>
          </w:p>
        </w:tc>
        <w:tc>
          <w:tcPr>
            <w:tcW w:w="1435" w:type="dxa"/>
            <w:noWrap/>
            <w:vAlign w:val="center"/>
            <w:hideMark/>
          </w:tcPr>
          <w:p w14:paraId="2DA74A89" w14:textId="77777777" w:rsidR="000636C3" w:rsidRPr="00547C63" w:rsidRDefault="000636C3" w:rsidP="00547C63">
            <w:pPr>
              <w:spacing w:before="0"/>
              <w:jc w:val="center"/>
              <w:rPr>
                <w:sz w:val="16"/>
                <w:szCs w:val="16"/>
              </w:rPr>
            </w:pPr>
            <w:r w:rsidRPr="00547C63">
              <w:rPr>
                <w:sz w:val="16"/>
                <w:szCs w:val="16"/>
              </w:rPr>
              <w:t>71.2%</w:t>
            </w:r>
          </w:p>
        </w:tc>
        <w:tc>
          <w:tcPr>
            <w:tcW w:w="1156" w:type="dxa"/>
            <w:noWrap/>
            <w:vAlign w:val="center"/>
            <w:hideMark/>
          </w:tcPr>
          <w:p w14:paraId="05E32F75" w14:textId="77777777" w:rsidR="000636C3" w:rsidRPr="00547C63" w:rsidRDefault="000636C3" w:rsidP="00547C63">
            <w:pPr>
              <w:spacing w:before="0"/>
              <w:jc w:val="center"/>
              <w:rPr>
                <w:sz w:val="16"/>
                <w:szCs w:val="16"/>
              </w:rPr>
            </w:pPr>
            <w:r w:rsidRPr="00547C63">
              <w:rPr>
                <w:sz w:val="16"/>
                <w:szCs w:val="16"/>
              </w:rPr>
              <w:t>60.0%</w:t>
            </w:r>
          </w:p>
        </w:tc>
        <w:tc>
          <w:tcPr>
            <w:tcW w:w="1313" w:type="dxa"/>
            <w:noWrap/>
            <w:vAlign w:val="center"/>
            <w:hideMark/>
          </w:tcPr>
          <w:p w14:paraId="77A04C21" w14:textId="77777777" w:rsidR="000636C3" w:rsidRPr="00547C63" w:rsidRDefault="000636C3" w:rsidP="00547C63">
            <w:pPr>
              <w:spacing w:before="0"/>
              <w:jc w:val="center"/>
              <w:rPr>
                <w:sz w:val="16"/>
                <w:szCs w:val="16"/>
              </w:rPr>
            </w:pPr>
            <w:r w:rsidRPr="00547C63">
              <w:rPr>
                <w:sz w:val="16"/>
                <w:szCs w:val="16"/>
              </w:rPr>
              <w:t>60.7%</w:t>
            </w:r>
          </w:p>
        </w:tc>
        <w:tc>
          <w:tcPr>
            <w:tcW w:w="579" w:type="dxa"/>
            <w:noWrap/>
            <w:vAlign w:val="center"/>
            <w:hideMark/>
          </w:tcPr>
          <w:p w14:paraId="5B9589C5" w14:textId="77777777" w:rsidR="000636C3" w:rsidRPr="00547C63" w:rsidRDefault="00B47F52" w:rsidP="00547C63">
            <w:pPr>
              <w:spacing w:before="0"/>
              <w:jc w:val="right"/>
              <w:rPr>
                <w:sz w:val="16"/>
                <w:szCs w:val="16"/>
              </w:rPr>
            </w:pPr>
            <w:r>
              <w:rPr>
                <w:sz w:val="16"/>
                <w:szCs w:val="16"/>
              </w:rPr>
              <w:t>1.00</w:t>
            </w:r>
            <w:r w:rsidR="00270A22">
              <w:rPr>
                <w:sz w:val="16"/>
                <w:szCs w:val="16"/>
              </w:rPr>
              <w:t>0</w:t>
            </w:r>
          </w:p>
        </w:tc>
        <w:tc>
          <w:tcPr>
            <w:tcW w:w="1265" w:type="dxa"/>
            <w:noWrap/>
            <w:vAlign w:val="center"/>
            <w:hideMark/>
          </w:tcPr>
          <w:p w14:paraId="12D3271B" w14:textId="77777777" w:rsidR="000636C3" w:rsidRPr="00547C63" w:rsidRDefault="000636C3" w:rsidP="00547C63">
            <w:pPr>
              <w:spacing w:before="0"/>
              <w:jc w:val="center"/>
              <w:rPr>
                <w:sz w:val="16"/>
                <w:szCs w:val="16"/>
              </w:rPr>
            </w:pPr>
            <w:r w:rsidRPr="00547C63">
              <w:rPr>
                <w:sz w:val="16"/>
                <w:szCs w:val="16"/>
              </w:rPr>
              <w:t>98.4%</w:t>
            </w:r>
          </w:p>
        </w:tc>
        <w:tc>
          <w:tcPr>
            <w:tcW w:w="1329" w:type="dxa"/>
            <w:noWrap/>
            <w:vAlign w:val="center"/>
            <w:hideMark/>
          </w:tcPr>
          <w:p w14:paraId="498FF6CC" w14:textId="77777777" w:rsidR="000636C3" w:rsidRPr="00547C63" w:rsidRDefault="000636C3" w:rsidP="00547C63">
            <w:pPr>
              <w:spacing w:before="0"/>
              <w:jc w:val="center"/>
              <w:rPr>
                <w:sz w:val="16"/>
                <w:szCs w:val="16"/>
              </w:rPr>
            </w:pPr>
            <w:r w:rsidRPr="00547C63">
              <w:rPr>
                <w:sz w:val="16"/>
                <w:szCs w:val="16"/>
              </w:rPr>
              <w:t>84.8%</w:t>
            </w:r>
          </w:p>
        </w:tc>
        <w:tc>
          <w:tcPr>
            <w:tcW w:w="659" w:type="dxa"/>
            <w:noWrap/>
            <w:vAlign w:val="center"/>
            <w:hideMark/>
          </w:tcPr>
          <w:p w14:paraId="32FBCE98" w14:textId="77777777" w:rsidR="000636C3" w:rsidRPr="00547C63" w:rsidRDefault="000636C3" w:rsidP="00547C63">
            <w:pPr>
              <w:spacing w:before="0"/>
              <w:jc w:val="right"/>
              <w:rPr>
                <w:sz w:val="16"/>
                <w:szCs w:val="16"/>
              </w:rPr>
            </w:pPr>
            <w:r w:rsidRPr="00547C63">
              <w:rPr>
                <w:sz w:val="16"/>
                <w:szCs w:val="16"/>
              </w:rPr>
              <w:t>0.018</w:t>
            </w:r>
          </w:p>
        </w:tc>
        <w:tc>
          <w:tcPr>
            <w:tcW w:w="1249" w:type="dxa"/>
            <w:noWrap/>
            <w:vAlign w:val="center"/>
            <w:hideMark/>
          </w:tcPr>
          <w:p w14:paraId="013178EF" w14:textId="77777777" w:rsidR="000636C3" w:rsidRPr="00547C63" w:rsidRDefault="000636C3" w:rsidP="00547C63">
            <w:pPr>
              <w:spacing w:before="0"/>
              <w:jc w:val="center"/>
              <w:rPr>
                <w:sz w:val="16"/>
                <w:szCs w:val="16"/>
              </w:rPr>
            </w:pPr>
            <w:r w:rsidRPr="00547C63">
              <w:rPr>
                <w:sz w:val="16"/>
                <w:szCs w:val="16"/>
              </w:rPr>
              <w:t>98.9%</w:t>
            </w:r>
          </w:p>
        </w:tc>
        <w:tc>
          <w:tcPr>
            <w:tcW w:w="1348" w:type="dxa"/>
            <w:noWrap/>
            <w:vAlign w:val="center"/>
            <w:hideMark/>
          </w:tcPr>
          <w:p w14:paraId="61F928E3" w14:textId="77777777" w:rsidR="000636C3" w:rsidRPr="00547C63" w:rsidRDefault="000636C3" w:rsidP="00547C63">
            <w:pPr>
              <w:spacing w:before="0"/>
              <w:jc w:val="center"/>
              <w:rPr>
                <w:sz w:val="16"/>
                <w:szCs w:val="16"/>
              </w:rPr>
            </w:pPr>
            <w:r w:rsidRPr="00547C63">
              <w:rPr>
                <w:sz w:val="16"/>
                <w:szCs w:val="16"/>
              </w:rPr>
              <w:t>92.5%</w:t>
            </w:r>
          </w:p>
        </w:tc>
        <w:tc>
          <w:tcPr>
            <w:tcW w:w="659" w:type="dxa"/>
            <w:noWrap/>
            <w:vAlign w:val="center"/>
            <w:hideMark/>
          </w:tcPr>
          <w:p w14:paraId="2EA271EC" w14:textId="77777777" w:rsidR="000636C3" w:rsidRPr="00547C63" w:rsidRDefault="000636C3" w:rsidP="00547C63">
            <w:pPr>
              <w:spacing w:before="0"/>
              <w:jc w:val="right"/>
              <w:rPr>
                <w:sz w:val="16"/>
                <w:szCs w:val="16"/>
              </w:rPr>
            </w:pPr>
            <w:r w:rsidRPr="00547C63">
              <w:rPr>
                <w:sz w:val="16"/>
                <w:szCs w:val="16"/>
              </w:rPr>
              <w:t>0.027</w:t>
            </w:r>
          </w:p>
        </w:tc>
        <w:tc>
          <w:tcPr>
            <w:tcW w:w="659" w:type="dxa"/>
            <w:noWrap/>
            <w:vAlign w:val="center"/>
            <w:hideMark/>
          </w:tcPr>
          <w:p w14:paraId="28F9276E" w14:textId="77777777" w:rsidR="000636C3" w:rsidRPr="00547C63" w:rsidRDefault="000636C3" w:rsidP="00547C63">
            <w:pPr>
              <w:spacing w:before="0"/>
              <w:jc w:val="right"/>
              <w:rPr>
                <w:sz w:val="16"/>
                <w:szCs w:val="16"/>
              </w:rPr>
            </w:pPr>
            <w:r w:rsidRPr="00547C63">
              <w:rPr>
                <w:sz w:val="16"/>
                <w:szCs w:val="16"/>
              </w:rPr>
              <w:t>&lt;0.001</w:t>
            </w:r>
          </w:p>
        </w:tc>
      </w:tr>
      <w:tr w:rsidR="00B47F52" w:rsidRPr="00547C63" w14:paraId="6F8FB571" w14:textId="77777777" w:rsidTr="00FC492C">
        <w:trPr>
          <w:trHeight w:val="20"/>
        </w:trPr>
        <w:tc>
          <w:tcPr>
            <w:tcW w:w="1542" w:type="dxa"/>
            <w:tcBorders>
              <w:bottom w:val="single" w:sz="4" w:space="0" w:color="000000" w:themeColor="text1"/>
            </w:tcBorders>
            <w:noWrap/>
            <w:vAlign w:val="center"/>
            <w:hideMark/>
          </w:tcPr>
          <w:p w14:paraId="00DA03D4" w14:textId="77777777" w:rsidR="000636C3" w:rsidRPr="00547C63" w:rsidRDefault="000636C3" w:rsidP="005E64CB">
            <w:pPr>
              <w:spacing w:before="0"/>
              <w:rPr>
                <w:sz w:val="16"/>
                <w:szCs w:val="16"/>
              </w:rPr>
            </w:pPr>
            <w:r w:rsidRPr="00547C63">
              <w:rPr>
                <w:sz w:val="16"/>
                <w:szCs w:val="16"/>
              </w:rPr>
              <w:t>Inhaled</w:t>
            </w:r>
            <w:r w:rsidR="005E64CB">
              <w:rPr>
                <w:sz w:val="16"/>
                <w:szCs w:val="16"/>
              </w:rPr>
              <w:t xml:space="preserve"> s</w:t>
            </w:r>
            <w:r w:rsidRPr="00547C63">
              <w:rPr>
                <w:sz w:val="16"/>
                <w:szCs w:val="16"/>
              </w:rPr>
              <w:t>teroids (%)</w:t>
            </w:r>
          </w:p>
        </w:tc>
        <w:tc>
          <w:tcPr>
            <w:tcW w:w="1435" w:type="dxa"/>
            <w:tcBorders>
              <w:bottom w:val="single" w:sz="4" w:space="0" w:color="000000" w:themeColor="text1"/>
            </w:tcBorders>
            <w:noWrap/>
            <w:vAlign w:val="center"/>
            <w:hideMark/>
          </w:tcPr>
          <w:p w14:paraId="46D18B98" w14:textId="77777777" w:rsidR="000636C3" w:rsidRPr="00547C63" w:rsidRDefault="000636C3" w:rsidP="00547C63">
            <w:pPr>
              <w:spacing w:before="0"/>
              <w:jc w:val="center"/>
              <w:rPr>
                <w:sz w:val="16"/>
                <w:szCs w:val="16"/>
              </w:rPr>
            </w:pPr>
            <w:r w:rsidRPr="00547C63">
              <w:rPr>
                <w:sz w:val="16"/>
                <w:szCs w:val="16"/>
              </w:rPr>
              <w:t>77.9%</w:t>
            </w:r>
          </w:p>
        </w:tc>
        <w:tc>
          <w:tcPr>
            <w:tcW w:w="1156" w:type="dxa"/>
            <w:tcBorders>
              <w:bottom w:val="single" w:sz="4" w:space="0" w:color="000000" w:themeColor="text1"/>
            </w:tcBorders>
            <w:noWrap/>
            <w:vAlign w:val="center"/>
            <w:hideMark/>
          </w:tcPr>
          <w:p w14:paraId="6FE52D2B" w14:textId="77777777" w:rsidR="000636C3" w:rsidRPr="00547C63" w:rsidRDefault="000636C3" w:rsidP="00547C63">
            <w:pPr>
              <w:spacing w:before="0"/>
              <w:jc w:val="center"/>
              <w:rPr>
                <w:sz w:val="16"/>
                <w:szCs w:val="16"/>
              </w:rPr>
            </w:pPr>
            <w:r w:rsidRPr="00547C63">
              <w:rPr>
                <w:sz w:val="16"/>
                <w:szCs w:val="16"/>
              </w:rPr>
              <w:t>70.0%</w:t>
            </w:r>
          </w:p>
        </w:tc>
        <w:tc>
          <w:tcPr>
            <w:tcW w:w="1313" w:type="dxa"/>
            <w:tcBorders>
              <w:bottom w:val="single" w:sz="4" w:space="0" w:color="000000" w:themeColor="text1"/>
            </w:tcBorders>
            <w:noWrap/>
            <w:vAlign w:val="center"/>
            <w:hideMark/>
          </w:tcPr>
          <w:p w14:paraId="4602C5F4" w14:textId="77777777" w:rsidR="000636C3" w:rsidRPr="00547C63" w:rsidRDefault="000636C3" w:rsidP="00547C63">
            <w:pPr>
              <w:spacing w:before="0"/>
              <w:jc w:val="center"/>
              <w:rPr>
                <w:sz w:val="16"/>
                <w:szCs w:val="16"/>
              </w:rPr>
            </w:pPr>
            <w:r w:rsidRPr="00547C63">
              <w:rPr>
                <w:sz w:val="16"/>
                <w:szCs w:val="16"/>
              </w:rPr>
              <w:t>59.0%</w:t>
            </w:r>
          </w:p>
        </w:tc>
        <w:tc>
          <w:tcPr>
            <w:tcW w:w="579" w:type="dxa"/>
            <w:tcBorders>
              <w:bottom w:val="single" w:sz="4" w:space="0" w:color="000000" w:themeColor="text1"/>
            </w:tcBorders>
            <w:noWrap/>
            <w:vAlign w:val="center"/>
            <w:hideMark/>
          </w:tcPr>
          <w:p w14:paraId="7370FAE1" w14:textId="77777777" w:rsidR="000636C3" w:rsidRPr="00547C63" w:rsidRDefault="000636C3" w:rsidP="00547C63">
            <w:pPr>
              <w:spacing w:before="0"/>
              <w:jc w:val="right"/>
              <w:rPr>
                <w:sz w:val="16"/>
                <w:szCs w:val="16"/>
              </w:rPr>
            </w:pPr>
            <w:r w:rsidRPr="00547C63">
              <w:rPr>
                <w:sz w:val="16"/>
                <w:szCs w:val="16"/>
              </w:rPr>
              <w:t>0.461</w:t>
            </w:r>
          </w:p>
        </w:tc>
        <w:tc>
          <w:tcPr>
            <w:tcW w:w="1265" w:type="dxa"/>
            <w:tcBorders>
              <w:bottom w:val="single" w:sz="4" w:space="0" w:color="000000" w:themeColor="text1"/>
            </w:tcBorders>
            <w:noWrap/>
            <w:vAlign w:val="center"/>
            <w:hideMark/>
          </w:tcPr>
          <w:p w14:paraId="50557064" w14:textId="77777777" w:rsidR="000636C3" w:rsidRPr="00547C63" w:rsidRDefault="000636C3" w:rsidP="00547C63">
            <w:pPr>
              <w:spacing w:before="0"/>
              <w:jc w:val="center"/>
              <w:rPr>
                <w:sz w:val="16"/>
                <w:szCs w:val="16"/>
              </w:rPr>
            </w:pPr>
            <w:r w:rsidRPr="00547C63">
              <w:rPr>
                <w:sz w:val="16"/>
                <w:szCs w:val="16"/>
              </w:rPr>
              <w:t>41.9%</w:t>
            </w:r>
          </w:p>
        </w:tc>
        <w:tc>
          <w:tcPr>
            <w:tcW w:w="1329" w:type="dxa"/>
            <w:tcBorders>
              <w:bottom w:val="single" w:sz="4" w:space="0" w:color="000000" w:themeColor="text1"/>
            </w:tcBorders>
            <w:noWrap/>
            <w:vAlign w:val="center"/>
            <w:hideMark/>
          </w:tcPr>
          <w:p w14:paraId="78C58078" w14:textId="77777777" w:rsidR="000636C3" w:rsidRPr="00547C63" w:rsidRDefault="000636C3" w:rsidP="00547C63">
            <w:pPr>
              <w:spacing w:before="0"/>
              <w:jc w:val="center"/>
              <w:rPr>
                <w:sz w:val="16"/>
                <w:szCs w:val="16"/>
              </w:rPr>
            </w:pPr>
            <w:r w:rsidRPr="00547C63">
              <w:rPr>
                <w:sz w:val="16"/>
                <w:szCs w:val="16"/>
              </w:rPr>
              <w:t>72.7%</w:t>
            </w:r>
          </w:p>
        </w:tc>
        <w:tc>
          <w:tcPr>
            <w:tcW w:w="659" w:type="dxa"/>
            <w:tcBorders>
              <w:bottom w:val="single" w:sz="4" w:space="0" w:color="000000" w:themeColor="text1"/>
            </w:tcBorders>
            <w:noWrap/>
            <w:vAlign w:val="center"/>
            <w:hideMark/>
          </w:tcPr>
          <w:p w14:paraId="4BDE7B1F" w14:textId="77777777" w:rsidR="000636C3" w:rsidRPr="00547C63" w:rsidRDefault="000636C3" w:rsidP="00547C63">
            <w:pPr>
              <w:spacing w:before="0"/>
              <w:jc w:val="right"/>
              <w:rPr>
                <w:sz w:val="16"/>
                <w:szCs w:val="16"/>
              </w:rPr>
            </w:pPr>
            <w:r w:rsidRPr="00547C63">
              <w:rPr>
                <w:sz w:val="16"/>
                <w:szCs w:val="16"/>
              </w:rPr>
              <w:t>0.005</w:t>
            </w:r>
          </w:p>
        </w:tc>
        <w:tc>
          <w:tcPr>
            <w:tcW w:w="1249" w:type="dxa"/>
            <w:tcBorders>
              <w:bottom w:val="single" w:sz="4" w:space="0" w:color="000000" w:themeColor="text1"/>
            </w:tcBorders>
            <w:noWrap/>
            <w:vAlign w:val="center"/>
            <w:hideMark/>
          </w:tcPr>
          <w:p w14:paraId="31263419" w14:textId="77777777" w:rsidR="000636C3" w:rsidRPr="00547C63" w:rsidRDefault="000636C3" w:rsidP="00547C63">
            <w:pPr>
              <w:spacing w:before="0"/>
              <w:jc w:val="center"/>
              <w:rPr>
                <w:sz w:val="16"/>
                <w:szCs w:val="16"/>
              </w:rPr>
            </w:pPr>
            <w:r w:rsidRPr="00547C63">
              <w:rPr>
                <w:sz w:val="16"/>
                <w:szCs w:val="16"/>
              </w:rPr>
              <w:t>39.2%</w:t>
            </w:r>
          </w:p>
        </w:tc>
        <w:tc>
          <w:tcPr>
            <w:tcW w:w="1348" w:type="dxa"/>
            <w:tcBorders>
              <w:bottom w:val="single" w:sz="4" w:space="0" w:color="000000" w:themeColor="text1"/>
            </w:tcBorders>
            <w:noWrap/>
            <w:vAlign w:val="center"/>
            <w:hideMark/>
          </w:tcPr>
          <w:p w14:paraId="21A962C6" w14:textId="77777777" w:rsidR="000636C3" w:rsidRPr="00547C63" w:rsidRDefault="000636C3" w:rsidP="00547C63">
            <w:pPr>
              <w:spacing w:before="0"/>
              <w:jc w:val="center"/>
              <w:rPr>
                <w:sz w:val="16"/>
                <w:szCs w:val="16"/>
              </w:rPr>
            </w:pPr>
            <w:r w:rsidRPr="00547C63">
              <w:rPr>
                <w:sz w:val="16"/>
                <w:szCs w:val="16"/>
              </w:rPr>
              <w:t>83.0%</w:t>
            </w:r>
          </w:p>
        </w:tc>
        <w:tc>
          <w:tcPr>
            <w:tcW w:w="659" w:type="dxa"/>
            <w:tcBorders>
              <w:bottom w:val="single" w:sz="4" w:space="0" w:color="000000" w:themeColor="text1"/>
            </w:tcBorders>
            <w:noWrap/>
            <w:vAlign w:val="center"/>
            <w:hideMark/>
          </w:tcPr>
          <w:p w14:paraId="7A3F088A" w14:textId="77777777" w:rsidR="000636C3" w:rsidRPr="00547C63" w:rsidRDefault="000636C3" w:rsidP="00547C63">
            <w:pPr>
              <w:spacing w:before="0"/>
              <w:jc w:val="right"/>
              <w:rPr>
                <w:sz w:val="16"/>
                <w:szCs w:val="16"/>
              </w:rPr>
            </w:pPr>
            <w:r w:rsidRPr="00547C63">
              <w:rPr>
                <w:sz w:val="16"/>
                <w:szCs w:val="16"/>
              </w:rPr>
              <w:t>&lt;0.001</w:t>
            </w:r>
          </w:p>
        </w:tc>
        <w:tc>
          <w:tcPr>
            <w:tcW w:w="659" w:type="dxa"/>
            <w:tcBorders>
              <w:bottom w:val="single" w:sz="4" w:space="0" w:color="000000" w:themeColor="text1"/>
            </w:tcBorders>
            <w:noWrap/>
            <w:vAlign w:val="center"/>
            <w:hideMark/>
          </w:tcPr>
          <w:p w14:paraId="5F378254" w14:textId="77777777" w:rsidR="000636C3" w:rsidRPr="00547C63" w:rsidRDefault="000636C3" w:rsidP="00547C63">
            <w:pPr>
              <w:spacing w:before="0"/>
              <w:jc w:val="right"/>
              <w:rPr>
                <w:sz w:val="16"/>
                <w:szCs w:val="16"/>
              </w:rPr>
            </w:pPr>
            <w:r w:rsidRPr="00547C63">
              <w:rPr>
                <w:sz w:val="16"/>
                <w:szCs w:val="16"/>
              </w:rPr>
              <w:t>&lt;0.001</w:t>
            </w:r>
          </w:p>
        </w:tc>
      </w:tr>
      <w:tr w:rsidR="00B47F52" w:rsidRPr="00547C63" w14:paraId="2C2C3050" w14:textId="77777777" w:rsidTr="00FC492C">
        <w:trPr>
          <w:trHeight w:val="20"/>
        </w:trPr>
        <w:tc>
          <w:tcPr>
            <w:tcW w:w="1542" w:type="dxa"/>
            <w:tcBorders>
              <w:bottom w:val="nil"/>
            </w:tcBorders>
            <w:noWrap/>
            <w:vAlign w:val="center"/>
            <w:hideMark/>
          </w:tcPr>
          <w:p w14:paraId="7730A396" w14:textId="77777777" w:rsidR="000636C3" w:rsidRPr="00547C63" w:rsidRDefault="000636C3" w:rsidP="00547C63">
            <w:pPr>
              <w:spacing w:before="0"/>
              <w:rPr>
                <w:sz w:val="16"/>
                <w:szCs w:val="16"/>
              </w:rPr>
            </w:pPr>
            <w:r w:rsidRPr="00547C63">
              <w:rPr>
                <w:sz w:val="16"/>
                <w:szCs w:val="16"/>
              </w:rPr>
              <w:t>Smoking</w:t>
            </w:r>
            <w:r w:rsidR="005E64CB">
              <w:rPr>
                <w:sz w:val="16"/>
                <w:szCs w:val="16"/>
              </w:rPr>
              <w:t xml:space="preserve"> status</w:t>
            </w:r>
          </w:p>
        </w:tc>
        <w:tc>
          <w:tcPr>
            <w:tcW w:w="1435" w:type="dxa"/>
            <w:tcBorders>
              <w:bottom w:val="nil"/>
            </w:tcBorders>
            <w:noWrap/>
            <w:vAlign w:val="center"/>
            <w:hideMark/>
          </w:tcPr>
          <w:p w14:paraId="2000B54B" w14:textId="77777777" w:rsidR="000636C3" w:rsidRPr="00547C63" w:rsidRDefault="000636C3" w:rsidP="00547C63">
            <w:pPr>
              <w:spacing w:before="0"/>
              <w:jc w:val="center"/>
              <w:rPr>
                <w:sz w:val="16"/>
                <w:szCs w:val="16"/>
              </w:rPr>
            </w:pPr>
          </w:p>
        </w:tc>
        <w:tc>
          <w:tcPr>
            <w:tcW w:w="1156" w:type="dxa"/>
            <w:tcBorders>
              <w:bottom w:val="nil"/>
            </w:tcBorders>
            <w:noWrap/>
            <w:vAlign w:val="center"/>
            <w:hideMark/>
          </w:tcPr>
          <w:p w14:paraId="5637C534" w14:textId="77777777" w:rsidR="000636C3" w:rsidRPr="00547C63" w:rsidRDefault="000636C3" w:rsidP="00547C63">
            <w:pPr>
              <w:spacing w:before="0"/>
              <w:jc w:val="center"/>
              <w:rPr>
                <w:sz w:val="16"/>
                <w:szCs w:val="16"/>
              </w:rPr>
            </w:pPr>
          </w:p>
        </w:tc>
        <w:tc>
          <w:tcPr>
            <w:tcW w:w="1313" w:type="dxa"/>
            <w:tcBorders>
              <w:bottom w:val="nil"/>
            </w:tcBorders>
            <w:noWrap/>
            <w:vAlign w:val="center"/>
            <w:hideMark/>
          </w:tcPr>
          <w:p w14:paraId="34953641" w14:textId="77777777" w:rsidR="000636C3" w:rsidRPr="00547C63" w:rsidRDefault="000636C3" w:rsidP="00547C63">
            <w:pPr>
              <w:spacing w:before="0"/>
              <w:jc w:val="center"/>
              <w:rPr>
                <w:sz w:val="16"/>
                <w:szCs w:val="16"/>
              </w:rPr>
            </w:pPr>
          </w:p>
        </w:tc>
        <w:tc>
          <w:tcPr>
            <w:tcW w:w="579" w:type="dxa"/>
            <w:tcBorders>
              <w:bottom w:val="nil"/>
            </w:tcBorders>
            <w:noWrap/>
            <w:vAlign w:val="center"/>
            <w:hideMark/>
          </w:tcPr>
          <w:p w14:paraId="5B4F37B3" w14:textId="77777777" w:rsidR="000636C3" w:rsidRPr="00547C63" w:rsidRDefault="000636C3" w:rsidP="00547C63">
            <w:pPr>
              <w:spacing w:before="0"/>
              <w:jc w:val="right"/>
              <w:rPr>
                <w:sz w:val="16"/>
                <w:szCs w:val="16"/>
              </w:rPr>
            </w:pPr>
            <w:r w:rsidRPr="00547C63">
              <w:rPr>
                <w:sz w:val="16"/>
                <w:szCs w:val="16"/>
              </w:rPr>
              <w:t>0.47</w:t>
            </w:r>
            <w:r w:rsidR="00B47F52">
              <w:rPr>
                <w:sz w:val="16"/>
                <w:szCs w:val="16"/>
              </w:rPr>
              <w:t>0</w:t>
            </w:r>
          </w:p>
        </w:tc>
        <w:tc>
          <w:tcPr>
            <w:tcW w:w="1265" w:type="dxa"/>
            <w:tcBorders>
              <w:bottom w:val="nil"/>
            </w:tcBorders>
            <w:noWrap/>
            <w:vAlign w:val="center"/>
            <w:hideMark/>
          </w:tcPr>
          <w:p w14:paraId="0918B0F0" w14:textId="77777777" w:rsidR="000636C3" w:rsidRPr="00547C63" w:rsidRDefault="000636C3" w:rsidP="00547C63">
            <w:pPr>
              <w:spacing w:before="0"/>
              <w:jc w:val="center"/>
              <w:rPr>
                <w:sz w:val="16"/>
                <w:szCs w:val="16"/>
              </w:rPr>
            </w:pPr>
          </w:p>
        </w:tc>
        <w:tc>
          <w:tcPr>
            <w:tcW w:w="1329" w:type="dxa"/>
            <w:tcBorders>
              <w:bottom w:val="nil"/>
            </w:tcBorders>
            <w:noWrap/>
            <w:vAlign w:val="center"/>
            <w:hideMark/>
          </w:tcPr>
          <w:p w14:paraId="134891AD" w14:textId="77777777" w:rsidR="000636C3" w:rsidRPr="00547C63" w:rsidRDefault="000636C3" w:rsidP="00547C63">
            <w:pPr>
              <w:spacing w:before="0"/>
              <w:jc w:val="center"/>
              <w:rPr>
                <w:sz w:val="16"/>
                <w:szCs w:val="16"/>
              </w:rPr>
            </w:pPr>
          </w:p>
        </w:tc>
        <w:tc>
          <w:tcPr>
            <w:tcW w:w="659" w:type="dxa"/>
            <w:tcBorders>
              <w:bottom w:val="nil"/>
            </w:tcBorders>
            <w:noWrap/>
            <w:vAlign w:val="center"/>
            <w:hideMark/>
          </w:tcPr>
          <w:p w14:paraId="62094CF2" w14:textId="77777777" w:rsidR="000636C3" w:rsidRPr="00547C63" w:rsidRDefault="000636C3" w:rsidP="00547C63">
            <w:pPr>
              <w:spacing w:before="0"/>
              <w:jc w:val="right"/>
              <w:rPr>
                <w:sz w:val="16"/>
                <w:szCs w:val="16"/>
              </w:rPr>
            </w:pPr>
            <w:r w:rsidRPr="00547C63">
              <w:rPr>
                <w:sz w:val="16"/>
                <w:szCs w:val="16"/>
              </w:rPr>
              <w:t>0.754</w:t>
            </w:r>
          </w:p>
        </w:tc>
        <w:tc>
          <w:tcPr>
            <w:tcW w:w="1249" w:type="dxa"/>
            <w:tcBorders>
              <w:bottom w:val="nil"/>
            </w:tcBorders>
            <w:noWrap/>
            <w:vAlign w:val="center"/>
            <w:hideMark/>
          </w:tcPr>
          <w:p w14:paraId="19D9DB79" w14:textId="77777777" w:rsidR="000636C3" w:rsidRPr="00547C63" w:rsidRDefault="000636C3" w:rsidP="00547C63">
            <w:pPr>
              <w:spacing w:before="0"/>
              <w:jc w:val="center"/>
              <w:rPr>
                <w:sz w:val="16"/>
                <w:szCs w:val="16"/>
              </w:rPr>
            </w:pPr>
          </w:p>
        </w:tc>
        <w:tc>
          <w:tcPr>
            <w:tcW w:w="1348" w:type="dxa"/>
            <w:tcBorders>
              <w:bottom w:val="nil"/>
            </w:tcBorders>
            <w:noWrap/>
            <w:vAlign w:val="center"/>
            <w:hideMark/>
          </w:tcPr>
          <w:p w14:paraId="55C57896" w14:textId="77777777" w:rsidR="000636C3" w:rsidRPr="00547C63" w:rsidRDefault="000636C3" w:rsidP="00547C63">
            <w:pPr>
              <w:spacing w:before="0"/>
              <w:jc w:val="center"/>
              <w:rPr>
                <w:sz w:val="16"/>
                <w:szCs w:val="16"/>
              </w:rPr>
            </w:pPr>
          </w:p>
        </w:tc>
        <w:tc>
          <w:tcPr>
            <w:tcW w:w="659" w:type="dxa"/>
            <w:tcBorders>
              <w:bottom w:val="nil"/>
            </w:tcBorders>
            <w:noWrap/>
            <w:vAlign w:val="center"/>
            <w:hideMark/>
          </w:tcPr>
          <w:p w14:paraId="13B00536" w14:textId="77777777" w:rsidR="000636C3" w:rsidRPr="00547C63" w:rsidRDefault="000636C3" w:rsidP="00547C63">
            <w:pPr>
              <w:spacing w:before="0"/>
              <w:jc w:val="right"/>
              <w:rPr>
                <w:sz w:val="16"/>
                <w:szCs w:val="16"/>
              </w:rPr>
            </w:pPr>
            <w:r w:rsidRPr="00547C63">
              <w:rPr>
                <w:sz w:val="16"/>
                <w:szCs w:val="16"/>
              </w:rPr>
              <w:t>0.004</w:t>
            </w:r>
          </w:p>
        </w:tc>
        <w:tc>
          <w:tcPr>
            <w:tcW w:w="659" w:type="dxa"/>
            <w:tcBorders>
              <w:bottom w:val="nil"/>
            </w:tcBorders>
            <w:noWrap/>
            <w:vAlign w:val="center"/>
            <w:hideMark/>
          </w:tcPr>
          <w:p w14:paraId="62C49F9D" w14:textId="77777777" w:rsidR="000636C3" w:rsidRPr="00547C63" w:rsidRDefault="000636C3" w:rsidP="00547C63">
            <w:pPr>
              <w:spacing w:before="0"/>
              <w:jc w:val="right"/>
              <w:rPr>
                <w:sz w:val="16"/>
                <w:szCs w:val="16"/>
              </w:rPr>
            </w:pPr>
            <w:r w:rsidRPr="00547C63">
              <w:rPr>
                <w:sz w:val="16"/>
                <w:szCs w:val="16"/>
              </w:rPr>
              <w:t>0.037</w:t>
            </w:r>
          </w:p>
        </w:tc>
      </w:tr>
      <w:tr w:rsidR="00B47F52" w:rsidRPr="00547C63" w14:paraId="59B12B22" w14:textId="77777777" w:rsidTr="00FC492C">
        <w:trPr>
          <w:trHeight w:val="20"/>
        </w:trPr>
        <w:tc>
          <w:tcPr>
            <w:tcW w:w="1542" w:type="dxa"/>
            <w:tcBorders>
              <w:top w:val="nil"/>
              <w:bottom w:val="nil"/>
            </w:tcBorders>
            <w:noWrap/>
            <w:vAlign w:val="center"/>
            <w:hideMark/>
          </w:tcPr>
          <w:p w14:paraId="36464494" w14:textId="77777777" w:rsidR="000636C3" w:rsidRPr="00547C63" w:rsidRDefault="000636C3" w:rsidP="00547C63">
            <w:pPr>
              <w:spacing w:before="0"/>
              <w:jc w:val="right"/>
              <w:rPr>
                <w:sz w:val="16"/>
                <w:szCs w:val="16"/>
              </w:rPr>
            </w:pPr>
            <w:r w:rsidRPr="00547C63">
              <w:rPr>
                <w:sz w:val="16"/>
                <w:szCs w:val="16"/>
              </w:rPr>
              <w:t>Never</w:t>
            </w:r>
          </w:p>
        </w:tc>
        <w:tc>
          <w:tcPr>
            <w:tcW w:w="1435" w:type="dxa"/>
            <w:tcBorders>
              <w:top w:val="nil"/>
              <w:bottom w:val="nil"/>
            </w:tcBorders>
            <w:noWrap/>
            <w:vAlign w:val="center"/>
            <w:hideMark/>
          </w:tcPr>
          <w:p w14:paraId="40C1C199" w14:textId="77777777" w:rsidR="000636C3" w:rsidRPr="00547C63" w:rsidRDefault="000636C3" w:rsidP="00547C63">
            <w:pPr>
              <w:spacing w:before="0"/>
              <w:jc w:val="center"/>
              <w:rPr>
                <w:sz w:val="16"/>
                <w:szCs w:val="16"/>
              </w:rPr>
            </w:pPr>
          </w:p>
        </w:tc>
        <w:tc>
          <w:tcPr>
            <w:tcW w:w="1156" w:type="dxa"/>
            <w:tcBorders>
              <w:top w:val="nil"/>
              <w:bottom w:val="nil"/>
            </w:tcBorders>
            <w:noWrap/>
            <w:vAlign w:val="center"/>
            <w:hideMark/>
          </w:tcPr>
          <w:p w14:paraId="642CF0A2" w14:textId="77777777" w:rsidR="000636C3" w:rsidRPr="00547C63" w:rsidRDefault="000636C3" w:rsidP="00547C63">
            <w:pPr>
              <w:spacing w:before="0"/>
              <w:jc w:val="center"/>
              <w:rPr>
                <w:sz w:val="16"/>
                <w:szCs w:val="16"/>
              </w:rPr>
            </w:pPr>
          </w:p>
        </w:tc>
        <w:tc>
          <w:tcPr>
            <w:tcW w:w="1313" w:type="dxa"/>
            <w:tcBorders>
              <w:top w:val="nil"/>
              <w:bottom w:val="nil"/>
            </w:tcBorders>
            <w:noWrap/>
            <w:vAlign w:val="center"/>
            <w:hideMark/>
          </w:tcPr>
          <w:p w14:paraId="2B185FD4" w14:textId="77777777" w:rsidR="000636C3" w:rsidRPr="00547C63" w:rsidRDefault="000636C3" w:rsidP="00547C63">
            <w:pPr>
              <w:spacing w:before="0"/>
              <w:jc w:val="center"/>
              <w:rPr>
                <w:sz w:val="16"/>
                <w:szCs w:val="16"/>
              </w:rPr>
            </w:pPr>
          </w:p>
        </w:tc>
        <w:tc>
          <w:tcPr>
            <w:tcW w:w="579" w:type="dxa"/>
            <w:tcBorders>
              <w:top w:val="nil"/>
              <w:bottom w:val="nil"/>
            </w:tcBorders>
            <w:noWrap/>
            <w:vAlign w:val="center"/>
            <w:hideMark/>
          </w:tcPr>
          <w:p w14:paraId="61210DD9" w14:textId="77777777" w:rsidR="000636C3" w:rsidRPr="00547C63" w:rsidRDefault="000636C3" w:rsidP="00547C63">
            <w:pPr>
              <w:spacing w:before="0"/>
              <w:jc w:val="right"/>
              <w:rPr>
                <w:sz w:val="16"/>
                <w:szCs w:val="16"/>
              </w:rPr>
            </w:pPr>
          </w:p>
        </w:tc>
        <w:tc>
          <w:tcPr>
            <w:tcW w:w="1265" w:type="dxa"/>
            <w:tcBorders>
              <w:top w:val="nil"/>
              <w:bottom w:val="nil"/>
            </w:tcBorders>
            <w:noWrap/>
            <w:vAlign w:val="center"/>
            <w:hideMark/>
          </w:tcPr>
          <w:p w14:paraId="4C1D22C3" w14:textId="77777777" w:rsidR="000636C3" w:rsidRPr="00547C63" w:rsidRDefault="000636C3" w:rsidP="00547C63">
            <w:pPr>
              <w:spacing w:before="0"/>
              <w:jc w:val="center"/>
              <w:rPr>
                <w:sz w:val="16"/>
                <w:szCs w:val="16"/>
              </w:rPr>
            </w:pPr>
            <w:r w:rsidRPr="00547C63">
              <w:rPr>
                <w:sz w:val="16"/>
                <w:szCs w:val="16"/>
              </w:rPr>
              <w:t>6.5%</w:t>
            </w:r>
          </w:p>
        </w:tc>
        <w:tc>
          <w:tcPr>
            <w:tcW w:w="1329" w:type="dxa"/>
            <w:tcBorders>
              <w:top w:val="nil"/>
              <w:bottom w:val="nil"/>
            </w:tcBorders>
            <w:noWrap/>
            <w:vAlign w:val="center"/>
            <w:hideMark/>
          </w:tcPr>
          <w:p w14:paraId="14CB6005" w14:textId="77777777" w:rsidR="000636C3" w:rsidRPr="00547C63" w:rsidRDefault="000636C3" w:rsidP="00547C63">
            <w:pPr>
              <w:spacing w:before="0"/>
              <w:jc w:val="center"/>
              <w:rPr>
                <w:sz w:val="16"/>
                <w:szCs w:val="16"/>
              </w:rPr>
            </w:pPr>
            <w:r w:rsidRPr="00547C63">
              <w:rPr>
                <w:sz w:val="16"/>
                <w:szCs w:val="16"/>
              </w:rPr>
              <w:t>8.8%</w:t>
            </w:r>
          </w:p>
        </w:tc>
        <w:tc>
          <w:tcPr>
            <w:tcW w:w="659" w:type="dxa"/>
            <w:tcBorders>
              <w:top w:val="nil"/>
              <w:bottom w:val="nil"/>
            </w:tcBorders>
            <w:noWrap/>
            <w:vAlign w:val="center"/>
            <w:hideMark/>
          </w:tcPr>
          <w:p w14:paraId="592F56BD" w14:textId="77777777" w:rsidR="000636C3" w:rsidRPr="00547C63" w:rsidRDefault="000636C3" w:rsidP="00547C63">
            <w:pPr>
              <w:spacing w:before="0"/>
              <w:jc w:val="right"/>
              <w:rPr>
                <w:sz w:val="16"/>
                <w:szCs w:val="16"/>
              </w:rPr>
            </w:pPr>
          </w:p>
        </w:tc>
        <w:tc>
          <w:tcPr>
            <w:tcW w:w="1249" w:type="dxa"/>
            <w:tcBorders>
              <w:top w:val="nil"/>
              <w:bottom w:val="nil"/>
            </w:tcBorders>
            <w:noWrap/>
            <w:vAlign w:val="center"/>
            <w:hideMark/>
          </w:tcPr>
          <w:p w14:paraId="081F6FF9" w14:textId="77777777" w:rsidR="000636C3" w:rsidRPr="00547C63" w:rsidRDefault="000636C3" w:rsidP="00547C63">
            <w:pPr>
              <w:spacing w:before="0"/>
              <w:jc w:val="center"/>
              <w:rPr>
                <w:sz w:val="16"/>
                <w:szCs w:val="16"/>
              </w:rPr>
            </w:pPr>
            <w:r w:rsidRPr="00547C63">
              <w:rPr>
                <w:sz w:val="16"/>
                <w:szCs w:val="16"/>
              </w:rPr>
              <w:t>7.3%</w:t>
            </w:r>
          </w:p>
        </w:tc>
        <w:tc>
          <w:tcPr>
            <w:tcW w:w="1348" w:type="dxa"/>
            <w:tcBorders>
              <w:top w:val="nil"/>
              <w:bottom w:val="nil"/>
            </w:tcBorders>
            <w:noWrap/>
            <w:vAlign w:val="center"/>
            <w:hideMark/>
          </w:tcPr>
          <w:p w14:paraId="391758BB" w14:textId="77777777" w:rsidR="000636C3" w:rsidRPr="00547C63" w:rsidRDefault="000636C3" w:rsidP="00547C63">
            <w:pPr>
              <w:spacing w:before="0"/>
              <w:jc w:val="center"/>
              <w:rPr>
                <w:sz w:val="16"/>
                <w:szCs w:val="16"/>
              </w:rPr>
            </w:pPr>
            <w:r w:rsidRPr="00547C63">
              <w:rPr>
                <w:sz w:val="16"/>
                <w:szCs w:val="16"/>
              </w:rPr>
              <w:t>5.4%</w:t>
            </w:r>
          </w:p>
        </w:tc>
        <w:tc>
          <w:tcPr>
            <w:tcW w:w="659" w:type="dxa"/>
            <w:tcBorders>
              <w:top w:val="nil"/>
              <w:bottom w:val="nil"/>
            </w:tcBorders>
            <w:noWrap/>
            <w:vAlign w:val="center"/>
            <w:hideMark/>
          </w:tcPr>
          <w:p w14:paraId="4FB3DD64" w14:textId="77777777" w:rsidR="000636C3" w:rsidRPr="00547C63" w:rsidRDefault="000636C3" w:rsidP="00547C63">
            <w:pPr>
              <w:spacing w:before="0"/>
              <w:jc w:val="right"/>
              <w:rPr>
                <w:sz w:val="16"/>
                <w:szCs w:val="16"/>
              </w:rPr>
            </w:pPr>
          </w:p>
        </w:tc>
        <w:tc>
          <w:tcPr>
            <w:tcW w:w="659" w:type="dxa"/>
            <w:tcBorders>
              <w:top w:val="nil"/>
              <w:bottom w:val="nil"/>
            </w:tcBorders>
            <w:noWrap/>
            <w:vAlign w:val="center"/>
            <w:hideMark/>
          </w:tcPr>
          <w:p w14:paraId="42412EE7" w14:textId="77777777" w:rsidR="000636C3" w:rsidRPr="00547C63" w:rsidRDefault="000636C3" w:rsidP="00547C63">
            <w:pPr>
              <w:spacing w:before="0"/>
              <w:jc w:val="right"/>
              <w:rPr>
                <w:sz w:val="16"/>
                <w:szCs w:val="16"/>
              </w:rPr>
            </w:pPr>
          </w:p>
        </w:tc>
      </w:tr>
      <w:tr w:rsidR="00B47F52" w:rsidRPr="00547C63" w14:paraId="423DFACB" w14:textId="77777777" w:rsidTr="00FC492C">
        <w:trPr>
          <w:trHeight w:val="20"/>
        </w:trPr>
        <w:tc>
          <w:tcPr>
            <w:tcW w:w="1542" w:type="dxa"/>
            <w:tcBorders>
              <w:top w:val="nil"/>
              <w:bottom w:val="nil"/>
            </w:tcBorders>
            <w:noWrap/>
            <w:vAlign w:val="center"/>
            <w:hideMark/>
          </w:tcPr>
          <w:p w14:paraId="7CD0A1AC" w14:textId="77777777" w:rsidR="000636C3" w:rsidRPr="00547C63" w:rsidRDefault="000636C3" w:rsidP="00547C63">
            <w:pPr>
              <w:spacing w:before="0"/>
              <w:jc w:val="right"/>
              <w:rPr>
                <w:sz w:val="16"/>
                <w:szCs w:val="16"/>
              </w:rPr>
            </w:pPr>
            <w:r w:rsidRPr="00547C63">
              <w:rPr>
                <w:sz w:val="16"/>
                <w:szCs w:val="16"/>
              </w:rPr>
              <w:t>Former</w:t>
            </w:r>
          </w:p>
        </w:tc>
        <w:tc>
          <w:tcPr>
            <w:tcW w:w="1435" w:type="dxa"/>
            <w:tcBorders>
              <w:top w:val="nil"/>
              <w:bottom w:val="nil"/>
            </w:tcBorders>
            <w:noWrap/>
            <w:vAlign w:val="center"/>
            <w:hideMark/>
          </w:tcPr>
          <w:p w14:paraId="6AD73A05" w14:textId="77777777" w:rsidR="000636C3" w:rsidRPr="00547C63" w:rsidRDefault="000636C3" w:rsidP="00547C63">
            <w:pPr>
              <w:spacing w:before="0"/>
              <w:jc w:val="center"/>
              <w:rPr>
                <w:sz w:val="16"/>
                <w:szCs w:val="16"/>
              </w:rPr>
            </w:pPr>
            <w:r w:rsidRPr="00547C63">
              <w:rPr>
                <w:sz w:val="16"/>
                <w:szCs w:val="16"/>
              </w:rPr>
              <w:t>96.5%</w:t>
            </w:r>
          </w:p>
        </w:tc>
        <w:tc>
          <w:tcPr>
            <w:tcW w:w="1156" w:type="dxa"/>
            <w:tcBorders>
              <w:top w:val="nil"/>
              <w:bottom w:val="nil"/>
            </w:tcBorders>
            <w:noWrap/>
            <w:vAlign w:val="center"/>
            <w:hideMark/>
          </w:tcPr>
          <w:p w14:paraId="5DD9B971" w14:textId="77777777" w:rsidR="000636C3" w:rsidRPr="00547C63" w:rsidRDefault="000636C3" w:rsidP="00547C63">
            <w:pPr>
              <w:spacing w:before="0"/>
              <w:jc w:val="center"/>
              <w:rPr>
                <w:sz w:val="16"/>
                <w:szCs w:val="16"/>
              </w:rPr>
            </w:pPr>
            <w:r w:rsidRPr="00547C63">
              <w:rPr>
                <w:sz w:val="16"/>
                <w:szCs w:val="16"/>
              </w:rPr>
              <w:t>40.0%</w:t>
            </w:r>
          </w:p>
        </w:tc>
        <w:tc>
          <w:tcPr>
            <w:tcW w:w="1313" w:type="dxa"/>
            <w:tcBorders>
              <w:top w:val="nil"/>
              <w:bottom w:val="nil"/>
            </w:tcBorders>
            <w:noWrap/>
            <w:vAlign w:val="center"/>
            <w:hideMark/>
          </w:tcPr>
          <w:p w14:paraId="04AC05FC" w14:textId="77777777" w:rsidR="000636C3" w:rsidRPr="00547C63" w:rsidRDefault="000636C3" w:rsidP="00547C63">
            <w:pPr>
              <w:spacing w:before="0"/>
              <w:jc w:val="center"/>
              <w:rPr>
                <w:sz w:val="16"/>
                <w:szCs w:val="16"/>
              </w:rPr>
            </w:pPr>
            <w:r w:rsidRPr="00547C63">
              <w:rPr>
                <w:sz w:val="16"/>
                <w:szCs w:val="16"/>
              </w:rPr>
              <w:t>51.6%</w:t>
            </w:r>
          </w:p>
        </w:tc>
        <w:tc>
          <w:tcPr>
            <w:tcW w:w="579" w:type="dxa"/>
            <w:tcBorders>
              <w:top w:val="nil"/>
              <w:bottom w:val="nil"/>
            </w:tcBorders>
            <w:noWrap/>
            <w:vAlign w:val="center"/>
            <w:hideMark/>
          </w:tcPr>
          <w:p w14:paraId="566E5788" w14:textId="77777777" w:rsidR="000636C3" w:rsidRPr="00547C63" w:rsidRDefault="000636C3" w:rsidP="00547C63">
            <w:pPr>
              <w:spacing w:before="0"/>
              <w:jc w:val="right"/>
              <w:rPr>
                <w:sz w:val="16"/>
                <w:szCs w:val="16"/>
              </w:rPr>
            </w:pPr>
          </w:p>
        </w:tc>
        <w:tc>
          <w:tcPr>
            <w:tcW w:w="1265" w:type="dxa"/>
            <w:tcBorders>
              <w:top w:val="nil"/>
              <w:bottom w:val="nil"/>
            </w:tcBorders>
            <w:noWrap/>
            <w:vAlign w:val="center"/>
            <w:hideMark/>
          </w:tcPr>
          <w:p w14:paraId="6220E514" w14:textId="77777777" w:rsidR="000636C3" w:rsidRPr="00547C63" w:rsidRDefault="000636C3" w:rsidP="00547C63">
            <w:pPr>
              <w:spacing w:before="0"/>
              <w:jc w:val="center"/>
              <w:rPr>
                <w:sz w:val="16"/>
                <w:szCs w:val="16"/>
              </w:rPr>
            </w:pPr>
            <w:r w:rsidRPr="00547C63">
              <w:rPr>
                <w:sz w:val="16"/>
                <w:szCs w:val="16"/>
              </w:rPr>
              <w:t>41.9%</w:t>
            </w:r>
          </w:p>
        </w:tc>
        <w:tc>
          <w:tcPr>
            <w:tcW w:w="1329" w:type="dxa"/>
            <w:tcBorders>
              <w:top w:val="nil"/>
              <w:bottom w:val="nil"/>
            </w:tcBorders>
            <w:noWrap/>
            <w:vAlign w:val="center"/>
            <w:hideMark/>
          </w:tcPr>
          <w:p w14:paraId="230126F4" w14:textId="77777777" w:rsidR="000636C3" w:rsidRPr="00547C63" w:rsidRDefault="000636C3" w:rsidP="00547C63">
            <w:pPr>
              <w:spacing w:before="0"/>
              <w:jc w:val="center"/>
              <w:rPr>
                <w:sz w:val="16"/>
                <w:szCs w:val="16"/>
              </w:rPr>
            </w:pPr>
            <w:r w:rsidRPr="00547C63">
              <w:rPr>
                <w:sz w:val="16"/>
                <w:szCs w:val="16"/>
              </w:rPr>
              <w:t>47.1%</w:t>
            </w:r>
          </w:p>
        </w:tc>
        <w:tc>
          <w:tcPr>
            <w:tcW w:w="659" w:type="dxa"/>
            <w:tcBorders>
              <w:top w:val="nil"/>
              <w:bottom w:val="nil"/>
            </w:tcBorders>
            <w:noWrap/>
            <w:vAlign w:val="center"/>
            <w:hideMark/>
          </w:tcPr>
          <w:p w14:paraId="7E402DB0" w14:textId="77777777" w:rsidR="000636C3" w:rsidRPr="00547C63" w:rsidRDefault="000636C3" w:rsidP="00547C63">
            <w:pPr>
              <w:spacing w:before="0"/>
              <w:jc w:val="right"/>
              <w:rPr>
                <w:sz w:val="16"/>
                <w:szCs w:val="16"/>
              </w:rPr>
            </w:pPr>
          </w:p>
        </w:tc>
        <w:tc>
          <w:tcPr>
            <w:tcW w:w="1249" w:type="dxa"/>
            <w:tcBorders>
              <w:top w:val="nil"/>
              <w:bottom w:val="nil"/>
            </w:tcBorders>
            <w:noWrap/>
            <w:vAlign w:val="center"/>
            <w:hideMark/>
          </w:tcPr>
          <w:p w14:paraId="7F25AAFA" w14:textId="77777777" w:rsidR="000636C3" w:rsidRPr="00547C63" w:rsidRDefault="000636C3" w:rsidP="00547C63">
            <w:pPr>
              <w:spacing w:before="0"/>
              <w:jc w:val="center"/>
              <w:rPr>
                <w:sz w:val="16"/>
                <w:szCs w:val="16"/>
              </w:rPr>
            </w:pPr>
            <w:r w:rsidRPr="00547C63">
              <w:rPr>
                <w:sz w:val="16"/>
                <w:szCs w:val="16"/>
              </w:rPr>
              <w:t>30.5%</w:t>
            </w:r>
          </w:p>
        </w:tc>
        <w:tc>
          <w:tcPr>
            <w:tcW w:w="1348" w:type="dxa"/>
            <w:tcBorders>
              <w:top w:val="nil"/>
              <w:bottom w:val="nil"/>
            </w:tcBorders>
            <w:noWrap/>
            <w:vAlign w:val="center"/>
            <w:hideMark/>
          </w:tcPr>
          <w:p w14:paraId="631D2457" w14:textId="77777777" w:rsidR="000636C3" w:rsidRPr="00547C63" w:rsidRDefault="000636C3" w:rsidP="00547C63">
            <w:pPr>
              <w:spacing w:before="0"/>
              <w:jc w:val="center"/>
              <w:rPr>
                <w:sz w:val="16"/>
                <w:szCs w:val="16"/>
              </w:rPr>
            </w:pPr>
            <w:r w:rsidRPr="00547C63">
              <w:rPr>
                <w:sz w:val="16"/>
                <w:szCs w:val="16"/>
              </w:rPr>
              <w:t>55.4%</w:t>
            </w:r>
          </w:p>
        </w:tc>
        <w:tc>
          <w:tcPr>
            <w:tcW w:w="659" w:type="dxa"/>
            <w:tcBorders>
              <w:top w:val="nil"/>
              <w:bottom w:val="nil"/>
            </w:tcBorders>
            <w:noWrap/>
            <w:vAlign w:val="center"/>
            <w:hideMark/>
          </w:tcPr>
          <w:p w14:paraId="7008109E" w14:textId="77777777" w:rsidR="000636C3" w:rsidRPr="00547C63" w:rsidRDefault="000636C3" w:rsidP="00547C63">
            <w:pPr>
              <w:spacing w:before="0"/>
              <w:jc w:val="right"/>
              <w:rPr>
                <w:sz w:val="16"/>
                <w:szCs w:val="16"/>
              </w:rPr>
            </w:pPr>
          </w:p>
        </w:tc>
        <w:tc>
          <w:tcPr>
            <w:tcW w:w="659" w:type="dxa"/>
            <w:tcBorders>
              <w:top w:val="nil"/>
              <w:bottom w:val="nil"/>
            </w:tcBorders>
            <w:noWrap/>
            <w:vAlign w:val="center"/>
            <w:hideMark/>
          </w:tcPr>
          <w:p w14:paraId="007276A3" w14:textId="77777777" w:rsidR="000636C3" w:rsidRPr="00547C63" w:rsidRDefault="000636C3" w:rsidP="00547C63">
            <w:pPr>
              <w:spacing w:before="0"/>
              <w:jc w:val="right"/>
              <w:rPr>
                <w:sz w:val="16"/>
                <w:szCs w:val="16"/>
              </w:rPr>
            </w:pPr>
          </w:p>
        </w:tc>
      </w:tr>
      <w:tr w:rsidR="00B47F52" w:rsidRPr="00547C63" w14:paraId="6CDA14BC" w14:textId="77777777" w:rsidTr="00FC492C">
        <w:trPr>
          <w:trHeight w:val="20"/>
        </w:trPr>
        <w:tc>
          <w:tcPr>
            <w:tcW w:w="1542" w:type="dxa"/>
            <w:tcBorders>
              <w:top w:val="nil"/>
              <w:bottom w:val="nil"/>
            </w:tcBorders>
            <w:noWrap/>
            <w:vAlign w:val="center"/>
            <w:hideMark/>
          </w:tcPr>
          <w:p w14:paraId="5ECB24B2" w14:textId="77777777" w:rsidR="000636C3" w:rsidRPr="00547C63" w:rsidRDefault="000636C3" w:rsidP="00547C63">
            <w:pPr>
              <w:spacing w:before="0"/>
              <w:jc w:val="right"/>
              <w:rPr>
                <w:sz w:val="16"/>
                <w:szCs w:val="16"/>
              </w:rPr>
            </w:pPr>
            <w:r w:rsidRPr="00547C63">
              <w:rPr>
                <w:sz w:val="16"/>
                <w:szCs w:val="16"/>
              </w:rPr>
              <w:t>Current</w:t>
            </w:r>
          </w:p>
        </w:tc>
        <w:tc>
          <w:tcPr>
            <w:tcW w:w="1435" w:type="dxa"/>
            <w:tcBorders>
              <w:top w:val="nil"/>
              <w:bottom w:val="nil"/>
            </w:tcBorders>
            <w:noWrap/>
            <w:vAlign w:val="center"/>
            <w:hideMark/>
          </w:tcPr>
          <w:p w14:paraId="324BBBFF" w14:textId="77777777" w:rsidR="000636C3" w:rsidRPr="00547C63" w:rsidRDefault="000636C3" w:rsidP="00547C63">
            <w:pPr>
              <w:spacing w:before="0"/>
              <w:jc w:val="center"/>
              <w:rPr>
                <w:sz w:val="16"/>
                <w:szCs w:val="16"/>
              </w:rPr>
            </w:pPr>
            <w:r w:rsidRPr="00547C63">
              <w:rPr>
                <w:sz w:val="16"/>
                <w:szCs w:val="16"/>
              </w:rPr>
              <w:t>3.5%</w:t>
            </w:r>
          </w:p>
        </w:tc>
        <w:tc>
          <w:tcPr>
            <w:tcW w:w="1156" w:type="dxa"/>
            <w:tcBorders>
              <w:top w:val="nil"/>
              <w:bottom w:val="nil"/>
            </w:tcBorders>
            <w:noWrap/>
            <w:vAlign w:val="center"/>
            <w:hideMark/>
          </w:tcPr>
          <w:p w14:paraId="1E77FEBB" w14:textId="77777777" w:rsidR="000636C3" w:rsidRPr="00547C63" w:rsidRDefault="000636C3" w:rsidP="00547C63">
            <w:pPr>
              <w:spacing w:before="0"/>
              <w:jc w:val="center"/>
              <w:rPr>
                <w:sz w:val="16"/>
                <w:szCs w:val="16"/>
              </w:rPr>
            </w:pPr>
            <w:r w:rsidRPr="00547C63">
              <w:rPr>
                <w:sz w:val="16"/>
                <w:szCs w:val="16"/>
              </w:rPr>
              <w:t>60.0%</w:t>
            </w:r>
          </w:p>
        </w:tc>
        <w:tc>
          <w:tcPr>
            <w:tcW w:w="1313" w:type="dxa"/>
            <w:tcBorders>
              <w:top w:val="nil"/>
              <w:bottom w:val="nil"/>
            </w:tcBorders>
            <w:noWrap/>
            <w:vAlign w:val="center"/>
            <w:hideMark/>
          </w:tcPr>
          <w:p w14:paraId="7C73FE48" w14:textId="77777777" w:rsidR="000636C3" w:rsidRPr="00547C63" w:rsidRDefault="000636C3" w:rsidP="00547C63">
            <w:pPr>
              <w:spacing w:before="0"/>
              <w:jc w:val="center"/>
              <w:rPr>
                <w:sz w:val="16"/>
                <w:szCs w:val="16"/>
              </w:rPr>
            </w:pPr>
            <w:r w:rsidRPr="00547C63">
              <w:rPr>
                <w:sz w:val="16"/>
                <w:szCs w:val="16"/>
              </w:rPr>
              <w:t>48.4%</w:t>
            </w:r>
          </w:p>
        </w:tc>
        <w:tc>
          <w:tcPr>
            <w:tcW w:w="579" w:type="dxa"/>
            <w:tcBorders>
              <w:top w:val="nil"/>
              <w:bottom w:val="nil"/>
            </w:tcBorders>
            <w:noWrap/>
            <w:vAlign w:val="center"/>
            <w:hideMark/>
          </w:tcPr>
          <w:p w14:paraId="08EF12C3" w14:textId="77777777" w:rsidR="000636C3" w:rsidRPr="00547C63" w:rsidRDefault="000636C3" w:rsidP="00547C63">
            <w:pPr>
              <w:spacing w:before="0"/>
              <w:jc w:val="right"/>
              <w:rPr>
                <w:sz w:val="16"/>
                <w:szCs w:val="16"/>
              </w:rPr>
            </w:pPr>
          </w:p>
        </w:tc>
        <w:tc>
          <w:tcPr>
            <w:tcW w:w="1265" w:type="dxa"/>
            <w:tcBorders>
              <w:top w:val="nil"/>
              <w:bottom w:val="nil"/>
            </w:tcBorders>
            <w:noWrap/>
            <w:vAlign w:val="center"/>
            <w:hideMark/>
          </w:tcPr>
          <w:p w14:paraId="56AF6707" w14:textId="77777777" w:rsidR="000636C3" w:rsidRPr="00547C63" w:rsidRDefault="000636C3" w:rsidP="00547C63">
            <w:pPr>
              <w:spacing w:before="0"/>
              <w:jc w:val="center"/>
              <w:rPr>
                <w:sz w:val="16"/>
                <w:szCs w:val="16"/>
              </w:rPr>
            </w:pPr>
            <w:r w:rsidRPr="00547C63">
              <w:rPr>
                <w:sz w:val="16"/>
                <w:szCs w:val="16"/>
              </w:rPr>
              <w:t>51.6%</w:t>
            </w:r>
          </w:p>
        </w:tc>
        <w:tc>
          <w:tcPr>
            <w:tcW w:w="1329" w:type="dxa"/>
            <w:tcBorders>
              <w:top w:val="nil"/>
              <w:bottom w:val="nil"/>
            </w:tcBorders>
            <w:noWrap/>
            <w:vAlign w:val="center"/>
            <w:hideMark/>
          </w:tcPr>
          <w:p w14:paraId="22106D7B" w14:textId="77777777" w:rsidR="000636C3" w:rsidRPr="00547C63" w:rsidRDefault="000636C3" w:rsidP="00547C63">
            <w:pPr>
              <w:spacing w:before="0"/>
              <w:jc w:val="center"/>
              <w:rPr>
                <w:sz w:val="16"/>
                <w:szCs w:val="16"/>
              </w:rPr>
            </w:pPr>
            <w:r w:rsidRPr="00547C63">
              <w:rPr>
                <w:sz w:val="16"/>
                <w:szCs w:val="16"/>
              </w:rPr>
              <w:t>44.1%</w:t>
            </w:r>
          </w:p>
        </w:tc>
        <w:tc>
          <w:tcPr>
            <w:tcW w:w="659" w:type="dxa"/>
            <w:tcBorders>
              <w:top w:val="nil"/>
              <w:bottom w:val="nil"/>
            </w:tcBorders>
            <w:noWrap/>
            <w:vAlign w:val="center"/>
            <w:hideMark/>
          </w:tcPr>
          <w:p w14:paraId="6B44DDC6" w14:textId="77777777" w:rsidR="000636C3" w:rsidRPr="00547C63" w:rsidRDefault="000636C3" w:rsidP="00547C63">
            <w:pPr>
              <w:spacing w:before="0"/>
              <w:jc w:val="right"/>
              <w:rPr>
                <w:sz w:val="16"/>
                <w:szCs w:val="16"/>
              </w:rPr>
            </w:pPr>
          </w:p>
        </w:tc>
        <w:tc>
          <w:tcPr>
            <w:tcW w:w="1249" w:type="dxa"/>
            <w:tcBorders>
              <w:top w:val="nil"/>
              <w:bottom w:val="nil"/>
            </w:tcBorders>
            <w:noWrap/>
            <w:vAlign w:val="center"/>
            <w:hideMark/>
          </w:tcPr>
          <w:p w14:paraId="4BFCE9D1" w14:textId="77777777" w:rsidR="000636C3" w:rsidRPr="00547C63" w:rsidRDefault="000636C3" w:rsidP="00547C63">
            <w:pPr>
              <w:spacing w:before="0"/>
              <w:jc w:val="center"/>
              <w:rPr>
                <w:sz w:val="16"/>
                <w:szCs w:val="16"/>
              </w:rPr>
            </w:pPr>
            <w:r w:rsidRPr="00547C63">
              <w:rPr>
                <w:sz w:val="16"/>
                <w:szCs w:val="16"/>
              </w:rPr>
              <w:t>62.1%</w:t>
            </w:r>
          </w:p>
        </w:tc>
        <w:tc>
          <w:tcPr>
            <w:tcW w:w="1348" w:type="dxa"/>
            <w:tcBorders>
              <w:top w:val="nil"/>
              <w:bottom w:val="nil"/>
            </w:tcBorders>
            <w:noWrap/>
            <w:vAlign w:val="center"/>
            <w:hideMark/>
          </w:tcPr>
          <w:p w14:paraId="40A2DE8D" w14:textId="77777777" w:rsidR="000636C3" w:rsidRPr="00547C63" w:rsidRDefault="000636C3" w:rsidP="00547C63">
            <w:pPr>
              <w:spacing w:before="0"/>
              <w:jc w:val="center"/>
              <w:rPr>
                <w:sz w:val="16"/>
                <w:szCs w:val="16"/>
              </w:rPr>
            </w:pPr>
            <w:r w:rsidRPr="00547C63">
              <w:rPr>
                <w:sz w:val="16"/>
                <w:szCs w:val="16"/>
              </w:rPr>
              <w:t>39.3%</w:t>
            </w:r>
          </w:p>
        </w:tc>
        <w:tc>
          <w:tcPr>
            <w:tcW w:w="659" w:type="dxa"/>
            <w:tcBorders>
              <w:top w:val="nil"/>
              <w:bottom w:val="nil"/>
            </w:tcBorders>
            <w:noWrap/>
            <w:vAlign w:val="center"/>
            <w:hideMark/>
          </w:tcPr>
          <w:p w14:paraId="4340A914" w14:textId="77777777" w:rsidR="000636C3" w:rsidRPr="00547C63" w:rsidRDefault="000636C3" w:rsidP="00547C63">
            <w:pPr>
              <w:spacing w:before="0"/>
              <w:jc w:val="right"/>
              <w:rPr>
                <w:sz w:val="16"/>
                <w:szCs w:val="16"/>
              </w:rPr>
            </w:pPr>
          </w:p>
        </w:tc>
        <w:tc>
          <w:tcPr>
            <w:tcW w:w="659" w:type="dxa"/>
            <w:tcBorders>
              <w:top w:val="nil"/>
              <w:bottom w:val="nil"/>
            </w:tcBorders>
            <w:noWrap/>
            <w:vAlign w:val="center"/>
            <w:hideMark/>
          </w:tcPr>
          <w:p w14:paraId="22A346A6" w14:textId="77777777" w:rsidR="000636C3" w:rsidRPr="00547C63" w:rsidRDefault="000636C3" w:rsidP="00547C63">
            <w:pPr>
              <w:spacing w:before="0"/>
              <w:jc w:val="right"/>
              <w:rPr>
                <w:sz w:val="16"/>
                <w:szCs w:val="16"/>
              </w:rPr>
            </w:pPr>
          </w:p>
        </w:tc>
      </w:tr>
      <w:tr w:rsidR="00B47F52" w:rsidRPr="00547C63" w14:paraId="55A44171" w14:textId="77777777" w:rsidTr="00FC492C">
        <w:trPr>
          <w:trHeight w:val="20"/>
        </w:trPr>
        <w:tc>
          <w:tcPr>
            <w:tcW w:w="1542" w:type="dxa"/>
            <w:noWrap/>
            <w:vAlign w:val="center"/>
            <w:hideMark/>
          </w:tcPr>
          <w:p w14:paraId="055A669D" w14:textId="77777777" w:rsidR="000636C3" w:rsidRPr="00547C63" w:rsidRDefault="000636C3" w:rsidP="005E64CB">
            <w:pPr>
              <w:spacing w:before="0"/>
              <w:rPr>
                <w:sz w:val="16"/>
                <w:szCs w:val="16"/>
              </w:rPr>
            </w:pPr>
            <w:r w:rsidRPr="00547C63">
              <w:rPr>
                <w:sz w:val="16"/>
                <w:szCs w:val="16"/>
              </w:rPr>
              <w:t>Pack</w:t>
            </w:r>
            <w:r w:rsidR="005E64CB">
              <w:rPr>
                <w:sz w:val="16"/>
                <w:szCs w:val="16"/>
              </w:rPr>
              <w:t xml:space="preserve"> year</w:t>
            </w:r>
            <w:r w:rsidR="00226C35">
              <w:rPr>
                <w:sz w:val="16"/>
                <w:szCs w:val="16"/>
              </w:rPr>
              <w:t>s</w:t>
            </w:r>
          </w:p>
        </w:tc>
        <w:tc>
          <w:tcPr>
            <w:tcW w:w="1435" w:type="dxa"/>
            <w:noWrap/>
            <w:vAlign w:val="center"/>
            <w:hideMark/>
          </w:tcPr>
          <w:p w14:paraId="781F4151" w14:textId="77777777" w:rsidR="000636C3" w:rsidRPr="00547C63" w:rsidRDefault="000636C3" w:rsidP="00547C63">
            <w:pPr>
              <w:spacing w:before="0"/>
              <w:jc w:val="center"/>
              <w:rPr>
                <w:sz w:val="16"/>
                <w:szCs w:val="16"/>
              </w:rPr>
            </w:pPr>
            <w:r w:rsidRPr="00547C63">
              <w:rPr>
                <w:sz w:val="16"/>
                <w:szCs w:val="16"/>
              </w:rPr>
              <w:t>45.8 ± 26.3</w:t>
            </w:r>
          </w:p>
        </w:tc>
        <w:tc>
          <w:tcPr>
            <w:tcW w:w="1156" w:type="dxa"/>
            <w:noWrap/>
            <w:vAlign w:val="center"/>
            <w:hideMark/>
          </w:tcPr>
          <w:p w14:paraId="6219A7AD" w14:textId="77777777" w:rsidR="000636C3" w:rsidRPr="00547C63" w:rsidRDefault="000636C3" w:rsidP="00547C63">
            <w:pPr>
              <w:spacing w:before="0"/>
              <w:jc w:val="center"/>
              <w:rPr>
                <w:sz w:val="16"/>
                <w:szCs w:val="16"/>
              </w:rPr>
            </w:pPr>
            <w:r w:rsidRPr="00547C63">
              <w:rPr>
                <w:sz w:val="16"/>
                <w:szCs w:val="16"/>
              </w:rPr>
              <w:t>38.2 ± 19.3</w:t>
            </w:r>
          </w:p>
        </w:tc>
        <w:tc>
          <w:tcPr>
            <w:tcW w:w="1313" w:type="dxa"/>
            <w:noWrap/>
            <w:vAlign w:val="center"/>
            <w:hideMark/>
          </w:tcPr>
          <w:p w14:paraId="0D427D61" w14:textId="77777777" w:rsidR="000636C3" w:rsidRPr="00547C63" w:rsidRDefault="000636C3" w:rsidP="00547C63">
            <w:pPr>
              <w:spacing w:before="0"/>
              <w:jc w:val="center"/>
              <w:rPr>
                <w:sz w:val="16"/>
                <w:szCs w:val="16"/>
              </w:rPr>
            </w:pPr>
            <w:r w:rsidRPr="00547C63">
              <w:rPr>
                <w:sz w:val="16"/>
                <w:szCs w:val="16"/>
              </w:rPr>
              <w:t>49.6 ± 27.0</w:t>
            </w:r>
          </w:p>
        </w:tc>
        <w:tc>
          <w:tcPr>
            <w:tcW w:w="579" w:type="dxa"/>
            <w:noWrap/>
            <w:vAlign w:val="center"/>
            <w:hideMark/>
          </w:tcPr>
          <w:p w14:paraId="4AD0AA6F" w14:textId="77777777" w:rsidR="000636C3" w:rsidRPr="00547C63" w:rsidRDefault="000636C3" w:rsidP="00547C63">
            <w:pPr>
              <w:spacing w:before="0"/>
              <w:jc w:val="right"/>
              <w:rPr>
                <w:sz w:val="16"/>
                <w:szCs w:val="16"/>
              </w:rPr>
            </w:pPr>
            <w:r w:rsidRPr="00547C63">
              <w:rPr>
                <w:sz w:val="16"/>
                <w:szCs w:val="16"/>
              </w:rPr>
              <w:t>0.073</w:t>
            </w:r>
          </w:p>
        </w:tc>
        <w:tc>
          <w:tcPr>
            <w:tcW w:w="1265" w:type="dxa"/>
            <w:noWrap/>
            <w:vAlign w:val="center"/>
            <w:hideMark/>
          </w:tcPr>
          <w:p w14:paraId="42274701" w14:textId="77777777" w:rsidR="000636C3" w:rsidRPr="00547C63" w:rsidRDefault="000636C3" w:rsidP="00547C63">
            <w:pPr>
              <w:spacing w:before="0"/>
              <w:jc w:val="center"/>
              <w:rPr>
                <w:sz w:val="16"/>
                <w:szCs w:val="16"/>
              </w:rPr>
            </w:pPr>
            <w:r w:rsidRPr="00547C63">
              <w:rPr>
                <w:sz w:val="16"/>
                <w:szCs w:val="16"/>
              </w:rPr>
              <w:t>40.4 ± 33.5</w:t>
            </w:r>
          </w:p>
        </w:tc>
        <w:tc>
          <w:tcPr>
            <w:tcW w:w="1329" w:type="dxa"/>
            <w:noWrap/>
            <w:vAlign w:val="center"/>
            <w:hideMark/>
          </w:tcPr>
          <w:p w14:paraId="77DBD3AB" w14:textId="77777777" w:rsidR="000636C3" w:rsidRPr="00547C63" w:rsidRDefault="000636C3" w:rsidP="00547C63">
            <w:pPr>
              <w:spacing w:before="0"/>
              <w:jc w:val="center"/>
              <w:rPr>
                <w:sz w:val="16"/>
                <w:szCs w:val="16"/>
              </w:rPr>
            </w:pPr>
            <w:r w:rsidRPr="00547C63">
              <w:rPr>
                <w:sz w:val="16"/>
                <w:szCs w:val="16"/>
              </w:rPr>
              <w:t>31.1 ± 34.8</w:t>
            </w:r>
          </w:p>
        </w:tc>
        <w:tc>
          <w:tcPr>
            <w:tcW w:w="659" w:type="dxa"/>
            <w:noWrap/>
            <w:vAlign w:val="center"/>
            <w:hideMark/>
          </w:tcPr>
          <w:p w14:paraId="47542CF3" w14:textId="77777777" w:rsidR="000636C3" w:rsidRPr="00547C63" w:rsidRDefault="000636C3" w:rsidP="00547C63">
            <w:pPr>
              <w:spacing w:before="0"/>
              <w:jc w:val="right"/>
              <w:rPr>
                <w:sz w:val="16"/>
                <w:szCs w:val="16"/>
              </w:rPr>
            </w:pPr>
            <w:r w:rsidRPr="00547C63">
              <w:rPr>
                <w:sz w:val="16"/>
                <w:szCs w:val="16"/>
              </w:rPr>
              <w:t>0.278</w:t>
            </w:r>
          </w:p>
        </w:tc>
        <w:tc>
          <w:tcPr>
            <w:tcW w:w="1249" w:type="dxa"/>
            <w:noWrap/>
            <w:vAlign w:val="center"/>
            <w:hideMark/>
          </w:tcPr>
          <w:p w14:paraId="034D3A6D" w14:textId="77777777" w:rsidR="000636C3" w:rsidRPr="00547C63" w:rsidRDefault="000636C3" w:rsidP="00547C63">
            <w:pPr>
              <w:spacing w:before="0"/>
              <w:jc w:val="center"/>
              <w:rPr>
                <w:sz w:val="16"/>
                <w:szCs w:val="16"/>
              </w:rPr>
            </w:pPr>
            <w:r w:rsidRPr="00547C63">
              <w:rPr>
                <w:sz w:val="16"/>
                <w:szCs w:val="16"/>
              </w:rPr>
              <w:t>35.4 ± 33.9</w:t>
            </w:r>
          </w:p>
        </w:tc>
        <w:tc>
          <w:tcPr>
            <w:tcW w:w="1348" w:type="dxa"/>
            <w:noWrap/>
            <w:vAlign w:val="center"/>
            <w:hideMark/>
          </w:tcPr>
          <w:p w14:paraId="44C71A66" w14:textId="77777777" w:rsidR="000636C3" w:rsidRPr="00547C63" w:rsidRDefault="000636C3" w:rsidP="00547C63">
            <w:pPr>
              <w:spacing w:before="0"/>
              <w:jc w:val="center"/>
              <w:rPr>
                <w:sz w:val="16"/>
                <w:szCs w:val="16"/>
              </w:rPr>
            </w:pPr>
            <w:r w:rsidRPr="00547C63">
              <w:rPr>
                <w:sz w:val="16"/>
                <w:szCs w:val="16"/>
              </w:rPr>
              <w:t>23.8 ± 28.6</w:t>
            </w:r>
          </w:p>
        </w:tc>
        <w:tc>
          <w:tcPr>
            <w:tcW w:w="659" w:type="dxa"/>
            <w:noWrap/>
            <w:vAlign w:val="center"/>
            <w:hideMark/>
          </w:tcPr>
          <w:p w14:paraId="254C9ABE" w14:textId="77777777" w:rsidR="000636C3" w:rsidRPr="00547C63" w:rsidRDefault="000636C3" w:rsidP="00547C63">
            <w:pPr>
              <w:spacing w:before="0"/>
              <w:jc w:val="right"/>
              <w:rPr>
                <w:sz w:val="16"/>
                <w:szCs w:val="16"/>
              </w:rPr>
            </w:pPr>
            <w:r w:rsidRPr="00547C63">
              <w:rPr>
                <w:sz w:val="16"/>
                <w:szCs w:val="16"/>
              </w:rPr>
              <w:t>0.182</w:t>
            </w:r>
          </w:p>
        </w:tc>
        <w:tc>
          <w:tcPr>
            <w:tcW w:w="659" w:type="dxa"/>
            <w:noWrap/>
            <w:vAlign w:val="center"/>
            <w:hideMark/>
          </w:tcPr>
          <w:p w14:paraId="06D933C8" w14:textId="77777777" w:rsidR="000636C3" w:rsidRPr="00547C63" w:rsidRDefault="000636C3" w:rsidP="00547C63">
            <w:pPr>
              <w:spacing w:before="0"/>
              <w:jc w:val="right"/>
              <w:rPr>
                <w:sz w:val="16"/>
                <w:szCs w:val="16"/>
              </w:rPr>
            </w:pPr>
            <w:r w:rsidRPr="00547C63">
              <w:rPr>
                <w:sz w:val="16"/>
                <w:szCs w:val="16"/>
              </w:rPr>
              <w:t>0.316</w:t>
            </w:r>
          </w:p>
        </w:tc>
      </w:tr>
      <w:tr w:rsidR="00B47F52" w:rsidRPr="00547C63" w14:paraId="4540D828" w14:textId="77777777" w:rsidTr="00FC492C">
        <w:trPr>
          <w:trHeight w:val="20"/>
        </w:trPr>
        <w:tc>
          <w:tcPr>
            <w:tcW w:w="1542" w:type="dxa"/>
            <w:noWrap/>
            <w:vAlign w:val="center"/>
            <w:hideMark/>
          </w:tcPr>
          <w:p w14:paraId="196F7853" w14:textId="77777777" w:rsidR="000636C3" w:rsidRPr="00547C63" w:rsidRDefault="000636C3" w:rsidP="00547C63">
            <w:pPr>
              <w:spacing w:before="0"/>
              <w:rPr>
                <w:sz w:val="16"/>
                <w:szCs w:val="16"/>
              </w:rPr>
            </w:pPr>
            <w:r w:rsidRPr="00547C63">
              <w:rPr>
                <w:sz w:val="16"/>
                <w:szCs w:val="16"/>
              </w:rPr>
              <w:lastRenderedPageBreak/>
              <w:t>W</w:t>
            </w:r>
            <w:r w:rsidR="005E64CB">
              <w:rPr>
                <w:sz w:val="16"/>
                <w:szCs w:val="16"/>
              </w:rPr>
              <w:t>hite blood cell</w:t>
            </w:r>
            <w:r w:rsidR="00B80095">
              <w:rPr>
                <w:sz w:val="16"/>
                <w:szCs w:val="16"/>
              </w:rPr>
              <w:t>s</w:t>
            </w:r>
          </w:p>
        </w:tc>
        <w:tc>
          <w:tcPr>
            <w:tcW w:w="1435" w:type="dxa"/>
            <w:noWrap/>
            <w:vAlign w:val="center"/>
            <w:hideMark/>
          </w:tcPr>
          <w:p w14:paraId="6467CDAF" w14:textId="77777777" w:rsidR="000636C3" w:rsidRPr="00547C63" w:rsidRDefault="000636C3" w:rsidP="00547C63">
            <w:pPr>
              <w:spacing w:before="0"/>
              <w:jc w:val="center"/>
              <w:rPr>
                <w:sz w:val="16"/>
                <w:szCs w:val="16"/>
              </w:rPr>
            </w:pPr>
            <w:r w:rsidRPr="00547C63">
              <w:rPr>
                <w:sz w:val="16"/>
                <w:szCs w:val="16"/>
              </w:rPr>
              <w:t>7.68 ± 2.04</w:t>
            </w:r>
          </w:p>
        </w:tc>
        <w:tc>
          <w:tcPr>
            <w:tcW w:w="1156" w:type="dxa"/>
            <w:noWrap/>
            <w:vAlign w:val="center"/>
            <w:hideMark/>
          </w:tcPr>
          <w:p w14:paraId="7D4AA1FD" w14:textId="77777777" w:rsidR="000636C3" w:rsidRPr="00547C63" w:rsidRDefault="000636C3" w:rsidP="00547C63">
            <w:pPr>
              <w:spacing w:before="0"/>
              <w:jc w:val="center"/>
              <w:rPr>
                <w:sz w:val="16"/>
                <w:szCs w:val="16"/>
              </w:rPr>
            </w:pPr>
            <w:r w:rsidRPr="00547C63">
              <w:rPr>
                <w:sz w:val="16"/>
                <w:szCs w:val="16"/>
              </w:rPr>
              <w:t>8.01 ± 3.72</w:t>
            </w:r>
          </w:p>
        </w:tc>
        <w:tc>
          <w:tcPr>
            <w:tcW w:w="1313" w:type="dxa"/>
            <w:noWrap/>
            <w:vAlign w:val="center"/>
            <w:hideMark/>
          </w:tcPr>
          <w:p w14:paraId="33356AEF" w14:textId="77777777" w:rsidR="000636C3" w:rsidRPr="00547C63" w:rsidRDefault="000636C3" w:rsidP="00547C63">
            <w:pPr>
              <w:spacing w:before="0"/>
              <w:jc w:val="center"/>
              <w:rPr>
                <w:sz w:val="16"/>
                <w:szCs w:val="16"/>
              </w:rPr>
            </w:pPr>
            <w:r w:rsidRPr="00547C63">
              <w:rPr>
                <w:sz w:val="16"/>
                <w:szCs w:val="16"/>
              </w:rPr>
              <w:t>7.52 ± 1.87</w:t>
            </w:r>
          </w:p>
        </w:tc>
        <w:tc>
          <w:tcPr>
            <w:tcW w:w="579" w:type="dxa"/>
            <w:noWrap/>
            <w:vAlign w:val="center"/>
            <w:hideMark/>
          </w:tcPr>
          <w:p w14:paraId="23542EC3" w14:textId="77777777" w:rsidR="000636C3" w:rsidRPr="00547C63" w:rsidRDefault="000636C3" w:rsidP="00547C63">
            <w:pPr>
              <w:spacing w:before="0"/>
              <w:jc w:val="right"/>
              <w:rPr>
                <w:sz w:val="16"/>
                <w:szCs w:val="16"/>
              </w:rPr>
            </w:pPr>
            <w:r w:rsidRPr="00547C63">
              <w:rPr>
                <w:sz w:val="16"/>
                <w:szCs w:val="16"/>
              </w:rPr>
              <w:t>0.37</w:t>
            </w:r>
            <w:r w:rsidR="00B47F52">
              <w:rPr>
                <w:sz w:val="16"/>
                <w:szCs w:val="16"/>
              </w:rPr>
              <w:t>0</w:t>
            </w:r>
          </w:p>
        </w:tc>
        <w:tc>
          <w:tcPr>
            <w:tcW w:w="1265" w:type="dxa"/>
            <w:noWrap/>
            <w:vAlign w:val="center"/>
            <w:hideMark/>
          </w:tcPr>
          <w:p w14:paraId="6F92C3CE" w14:textId="77777777" w:rsidR="000636C3" w:rsidRPr="00547C63" w:rsidRDefault="000636C3" w:rsidP="00547C63">
            <w:pPr>
              <w:spacing w:before="0"/>
              <w:jc w:val="center"/>
              <w:rPr>
                <w:sz w:val="16"/>
                <w:szCs w:val="16"/>
              </w:rPr>
            </w:pPr>
            <w:r w:rsidRPr="00547C63">
              <w:rPr>
                <w:sz w:val="16"/>
                <w:szCs w:val="16"/>
              </w:rPr>
              <w:t>8.65 ± 2.98</w:t>
            </w:r>
          </w:p>
        </w:tc>
        <w:tc>
          <w:tcPr>
            <w:tcW w:w="1329" w:type="dxa"/>
            <w:noWrap/>
            <w:vAlign w:val="center"/>
            <w:hideMark/>
          </w:tcPr>
          <w:p w14:paraId="6C6EB549" w14:textId="77777777" w:rsidR="000636C3" w:rsidRPr="00547C63" w:rsidRDefault="000636C3" w:rsidP="00547C63">
            <w:pPr>
              <w:spacing w:before="0"/>
              <w:jc w:val="center"/>
              <w:rPr>
                <w:sz w:val="16"/>
                <w:szCs w:val="16"/>
              </w:rPr>
            </w:pPr>
            <w:r w:rsidRPr="00547C63">
              <w:rPr>
                <w:sz w:val="16"/>
                <w:szCs w:val="16"/>
              </w:rPr>
              <w:t>7.12 ± 2.68</w:t>
            </w:r>
          </w:p>
        </w:tc>
        <w:tc>
          <w:tcPr>
            <w:tcW w:w="659" w:type="dxa"/>
            <w:noWrap/>
            <w:vAlign w:val="center"/>
            <w:hideMark/>
          </w:tcPr>
          <w:p w14:paraId="6E2DB0AC" w14:textId="77777777" w:rsidR="000636C3" w:rsidRPr="00547C63" w:rsidRDefault="000636C3" w:rsidP="00547C63">
            <w:pPr>
              <w:spacing w:before="0"/>
              <w:jc w:val="right"/>
              <w:rPr>
                <w:sz w:val="16"/>
                <w:szCs w:val="16"/>
              </w:rPr>
            </w:pPr>
            <w:r w:rsidRPr="00547C63">
              <w:rPr>
                <w:sz w:val="16"/>
                <w:szCs w:val="16"/>
              </w:rPr>
              <w:t>0.023</w:t>
            </w:r>
          </w:p>
        </w:tc>
        <w:tc>
          <w:tcPr>
            <w:tcW w:w="1249" w:type="dxa"/>
            <w:noWrap/>
            <w:vAlign w:val="center"/>
            <w:hideMark/>
          </w:tcPr>
          <w:p w14:paraId="69DF99C3" w14:textId="77777777" w:rsidR="000636C3" w:rsidRPr="00547C63" w:rsidRDefault="000636C3" w:rsidP="00547C63">
            <w:pPr>
              <w:spacing w:before="0"/>
              <w:jc w:val="center"/>
              <w:rPr>
                <w:sz w:val="16"/>
                <w:szCs w:val="16"/>
              </w:rPr>
            </w:pPr>
            <w:r w:rsidRPr="00547C63">
              <w:rPr>
                <w:sz w:val="16"/>
                <w:szCs w:val="16"/>
              </w:rPr>
              <w:t>10.3 ± 4.7</w:t>
            </w:r>
          </w:p>
        </w:tc>
        <w:tc>
          <w:tcPr>
            <w:tcW w:w="1348" w:type="dxa"/>
            <w:noWrap/>
            <w:vAlign w:val="center"/>
            <w:hideMark/>
          </w:tcPr>
          <w:p w14:paraId="421AC19B" w14:textId="77777777" w:rsidR="000636C3" w:rsidRPr="00547C63" w:rsidRDefault="000636C3" w:rsidP="00547C63">
            <w:pPr>
              <w:spacing w:before="0"/>
              <w:jc w:val="center"/>
              <w:rPr>
                <w:sz w:val="16"/>
                <w:szCs w:val="16"/>
              </w:rPr>
            </w:pPr>
            <w:r w:rsidRPr="00547C63">
              <w:rPr>
                <w:sz w:val="16"/>
                <w:szCs w:val="16"/>
              </w:rPr>
              <w:t>7.16 ± 2.21</w:t>
            </w:r>
          </w:p>
        </w:tc>
        <w:tc>
          <w:tcPr>
            <w:tcW w:w="659" w:type="dxa"/>
            <w:noWrap/>
            <w:vAlign w:val="center"/>
            <w:hideMark/>
          </w:tcPr>
          <w:p w14:paraId="17822324" w14:textId="77777777" w:rsidR="000636C3" w:rsidRPr="00547C63" w:rsidRDefault="000636C3" w:rsidP="00547C63">
            <w:pPr>
              <w:spacing w:before="0"/>
              <w:jc w:val="right"/>
              <w:rPr>
                <w:sz w:val="16"/>
                <w:szCs w:val="16"/>
              </w:rPr>
            </w:pPr>
            <w:r w:rsidRPr="00547C63">
              <w:rPr>
                <w:sz w:val="16"/>
                <w:szCs w:val="16"/>
              </w:rPr>
              <w:t>&lt;0.001</w:t>
            </w:r>
          </w:p>
        </w:tc>
        <w:tc>
          <w:tcPr>
            <w:tcW w:w="659" w:type="dxa"/>
            <w:noWrap/>
            <w:vAlign w:val="center"/>
            <w:hideMark/>
          </w:tcPr>
          <w:p w14:paraId="768AC8A8" w14:textId="77777777" w:rsidR="000636C3" w:rsidRPr="00547C63" w:rsidRDefault="000636C3" w:rsidP="00547C63">
            <w:pPr>
              <w:spacing w:before="0"/>
              <w:jc w:val="right"/>
              <w:rPr>
                <w:sz w:val="16"/>
                <w:szCs w:val="16"/>
              </w:rPr>
            </w:pPr>
            <w:r w:rsidRPr="00547C63">
              <w:rPr>
                <w:sz w:val="16"/>
                <w:szCs w:val="16"/>
              </w:rPr>
              <w:t>&lt;0.001</w:t>
            </w:r>
          </w:p>
        </w:tc>
      </w:tr>
      <w:tr w:rsidR="00B47F52" w:rsidRPr="00547C63" w14:paraId="69D353A5" w14:textId="77777777" w:rsidTr="00FC492C">
        <w:trPr>
          <w:trHeight w:val="20"/>
        </w:trPr>
        <w:tc>
          <w:tcPr>
            <w:tcW w:w="1542" w:type="dxa"/>
            <w:noWrap/>
            <w:vAlign w:val="center"/>
            <w:hideMark/>
          </w:tcPr>
          <w:p w14:paraId="63B14B93" w14:textId="77777777" w:rsidR="000636C3" w:rsidRPr="00547C63" w:rsidRDefault="000636C3" w:rsidP="00547C63">
            <w:pPr>
              <w:spacing w:before="0"/>
              <w:rPr>
                <w:sz w:val="16"/>
                <w:szCs w:val="16"/>
              </w:rPr>
            </w:pPr>
            <w:r w:rsidRPr="00547C63">
              <w:rPr>
                <w:sz w:val="16"/>
                <w:szCs w:val="16"/>
              </w:rPr>
              <w:t>Neut</w:t>
            </w:r>
            <w:r w:rsidR="005E64CB">
              <w:rPr>
                <w:sz w:val="16"/>
                <w:szCs w:val="16"/>
              </w:rPr>
              <w:t>rophil (%)</w:t>
            </w:r>
          </w:p>
        </w:tc>
        <w:tc>
          <w:tcPr>
            <w:tcW w:w="1435" w:type="dxa"/>
            <w:noWrap/>
            <w:vAlign w:val="center"/>
            <w:hideMark/>
          </w:tcPr>
          <w:p w14:paraId="23AD2676" w14:textId="77777777" w:rsidR="000636C3" w:rsidRPr="00547C63" w:rsidRDefault="000636C3" w:rsidP="00547C63">
            <w:pPr>
              <w:spacing w:before="0"/>
              <w:jc w:val="center"/>
              <w:rPr>
                <w:sz w:val="16"/>
                <w:szCs w:val="16"/>
              </w:rPr>
            </w:pPr>
            <w:r w:rsidRPr="00547C63">
              <w:rPr>
                <w:sz w:val="16"/>
                <w:szCs w:val="16"/>
              </w:rPr>
              <w:t>64.3 ± 8.6</w:t>
            </w:r>
          </w:p>
        </w:tc>
        <w:tc>
          <w:tcPr>
            <w:tcW w:w="1156" w:type="dxa"/>
            <w:noWrap/>
            <w:vAlign w:val="center"/>
            <w:hideMark/>
          </w:tcPr>
          <w:p w14:paraId="44A95176" w14:textId="77777777" w:rsidR="000636C3" w:rsidRPr="00547C63" w:rsidRDefault="000636C3" w:rsidP="00547C63">
            <w:pPr>
              <w:spacing w:before="0"/>
              <w:jc w:val="center"/>
              <w:rPr>
                <w:sz w:val="16"/>
                <w:szCs w:val="16"/>
              </w:rPr>
            </w:pPr>
            <w:r w:rsidRPr="00547C63">
              <w:rPr>
                <w:sz w:val="16"/>
                <w:szCs w:val="16"/>
              </w:rPr>
              <w:t>67.7 ± 10.6</w:t>
            </w:r>
          </w:p>
        </w:tc>
        <w:tc>
          <w:tcPr>
            <w:tcW w:w="1313" w:type="dxa"/>
            <w:noWrap/>
            <w:vAlign w:val="center"/>
            <w:hideMark/>
          </w:tcPr>
          <w:p w14:paraId="2EA6F87B" w14:textId="77777777" w:rsidR="000636C3" w:rsidRPr="00547C63" w:rsidRDefault="000636C3" w:rsidP="00547C63">
            <w:pPr>
              <w:spacing w:before="0"/>
              <w:jc w:val="center"/>
              <w:rPr>
                <w:sz w:val="16"/>
                <w:szCs w:val="16"/>
              </w:rPr>
            </w:pPr>
            <w:r w:rsidRPr="00547C63">
              <w:rPr>
                <w:sz w:val="16"/>
                <w:szCs w:val="16"/>
              </w:rPr>
              <w:t>62.7 ± 9.8</w:t>
            </w:r>
          </w:p>
        </w:tc>
        <w:tc>
          <w:tcPr>
            <w:tcW w:w="579" w:type="dxa"/>
            <w:noWrap/>
            <w:vAlign w:val="center"/>
            <w:hideMark/>
          </w:tcPr>
          <w:p w14:paraId="56974DA4" w14:textId="77777777" w:rsidR="000636C3" w:rsidRPr="00547C63" w:rsidRDefault="000636C3" w:rsidP="00547C63">
            <w:pPr>
              <w:spacing w:before="0"/>
              <w:jc w:val="right"/>
              <w:rPr>
                <w:sz w:val="16"/>
                <w:szCs w:val="16"/>
              </w:rPr>
            </w:pPr>
            <w:r w:rsidRPr="00547C63">
              <w:rPr>
                <w:sz w:val="16"/>
                <w:szCs w:val="16"/>
              </w:rPr>
              <w:t>0.107</w:t>
            </w:r>
          </w:p>
        </w:tc>
        <w:tc>
          <w:tcPr>
            <w:tcW w:w="1265" w:type="dxa"/>
            <w:noWrap/>
            <w:vAlign w:val="center"/>
            <w:hideMark/>
          </w:tcPr>
          <w:p w14:paraId="058A66F2" w14:textId="77777777" w:rsidR="000636C3" w:rsidRPr="00547C63" w:rsidRDefault="000636C3" w:rsidP="00547C63">
            <w:pPr>
              <w:spacing w:before="0"/>
              <w:jc w:val="center"/>
              <w:rPr>
                <w:sz w:val="16"/>
                <w:szCs w:val="16"/>
              </w:rPr>
            </w:pPr>
            <w:r w:rsidRPr="00547C63">
              <w:rPr>
                <w:sz w:val="16"/>
                <w:szCs w:val="16"/>
              </w:rPr>
              <w:t>78.0 ± 13.4</w:t>
            </w:r>
          </w:p>
        </w:tc>
        <w:tc>
          <w:tcPr>
            <w:tcW w:w="1329" w:type="dxa"/>
            <w:noWrap/>
            <w:vAlign w:val="center"/>
            <w:hideMark/>
          </w:tcPr>
          <w:p w14:paraId="299C07A4" w14:textId="77777777" w:rsidR="000636C3" w:rsidRPr="00547C63" w:rsidRDefault="000636C3" w:rsidP="00547C63">
            <w:pPr>
              <w:spacing w:before="0"/>
              <w:jc w:val="center"/>
              <w:rPr>
                <w:sz w:val="16"/>
                <w:szCs w:val="16"/>
              </w:rPr>
            </w:pPr>
            <w:r w:rsidRPr="00547C63">
              <w:rPr>
                <w:sz w:val="16"/>
                <w:szCs w:val="16"/>
              </w:rPr>
              <w:t>63.8 ± 9.1</w:t>
            </w:r>
          </w:p>
        </w:tc>
        <w:tc>
          <w:tcPr>
            <w:tcW w:w="659" w:type="dxa"/>
            <w:noWrap/>
            <w:vAlign w:val="center"/>
            <w:hideMark/>
          </w:tcPr>
          <w:p w14:paraId="61DDDB1E" w14:textId="77777777" w:rsidR="000636C3" w:rsidRPr="00547C63" w:rsidRDefault="000636C3" w:rsidP="00547C63">
            <w:pPr>
              <w:spacing w:before="0"/>
              <w:jc w:val="right"/>
              <w:rPr>
                <w:sz w:val="16"/>
                <w:szCs w:val="16"/>
              </w:rPr>
            </w:pPr>
            <w:r w:rsidRPr="00547C63">
              <w:rPr>
                <w:sz w:val="16"/>
                <w:szCs w:val="16"/>
              </w:rPr>
              <w:t>&lt;0.001</w:t>
            </w:r>
          </w:p>
        </w:tc>
        <w:tc>
          <w:tcPr>
            <w:tcW w:w="1249" w:type="dxa"/>
            <w:noWrap/>
            <w:vAlign w:val="center"/>
            <w:hideMark/>
          </w:tcPr>
          <w:p w14:paraId="172C051D" w14:textId="77777777" w:rsidR="000636C3" w:rsidRPr="00547C63" w:rsidRDefault="000636C3" w:rsidP="00547C63">
            <w:pPr>
              <w:spacing w:before="0"/>
              <w:jc w:val="center"/>
              <w:rPr>
                <w:sz w:val="16"/>
                <w:szCs w:val="16"/>
              </w:rPr>
            </w:pPr>
            <w:r w:rsidRPr="00547C63">
              <w:rPr>
                <w:sz w:val="16"/>
                <w:szCs w:val="16"/>
              </w:rPr>
              <w:t>80.5 ± 13.3</w:t>
            </w:r>
          </w:p>
        </w:tc>
        <w:tc>
          <w:tcPr>
            <w:tcW w:w="1348" w:type="dxa"/>
            <w:noWrap/>
            <w:vAlign w:val="center"/>
            <w:hideMark/>
          </w:tcPr>
          <w:p w14:paraId="0ECCDCA4" w14:textId="77777777" w:rsidR="000636C3" w:rsidRPr="00547C63" w:rsidRDefault="000636C3" w:rsidP="00547C63">
            <w:pPr>
              <w:spacing w:before="0"/>
              <w:jc w:val="center"/>
              <w:rPr>
                <w:sz w:val="16"/>
                <w:szCs w:val="16"/>
              </w:rPr>
            </w:pPr>
            <w:r w:rsidRPr="00547C63">
              <w:rPr>
                <w:sz w:val="16"/>
                <w:szCs w:val="16"/>
              </w:rPr>
              <w:t>64.7 ± 12.8</w:t>
            </w:r>
          </w:p>
        </w:tc>
        <w:tc>
          <w:tcPr>
            <w:tcW w:w="659" w:type="dxa"/>
            <w:noWrap/>
            <w:vAlign w:val="center"/>
            <w:hideMark/>
          </w:tcPr>
          <w:p w14:paraId="64392E68" w14:textId="77777777" w:rsidR="000636C3" w:rsidRPr="00547C63" w:rsidRDefault="000636C3" w:rsidP="00547C63">
            <w:pPr>
              <w:spacing w:before="0"/>
              <w:jc w:val="right"/>
              <w:rPr>
                <w:sz w:val="16"/>
                <w:szCs w:val="16"/>
              </w:rPr>
            </w:pPr>
            <w:r w:rsidRPr="00547C63">
              <w:rPr>
                <w:sz w:val="16"/>
                <w:szCs w:val="16"/>
              </w:rPr>
              <w:t>&lt;0.001</w:t>
            </w:r>
          </w:p>
        </w:tc>
        <w:tc>
          <w:tcPr>
            <w:tcW w:w="659" w:type="dxa"/>
            <w:noWrap/>
            <w:vAlign w:val="center"/>
            <w:hideMark/>
          </w:tcPr>
          <w:p w14:paraId="00B639C8" w14:textId="77777777" w:rsidR="000636C3" w:rsidRPr="00547C63" w:rsidRDefault="000636C3" w:rsidP="00547C63">
            <w:pPr>
              <w:spacing w:before="0"/>
              <w:jc w:val="right"/>
              <w:rPr>
                <w:sz w:val="16"/>
                <w:szCs w:val="16"/>
              </w:rPr>
            </w:pPr>
            <w:r w:rsidRPr="00547C63">
              <w:rPr>
                <w:sz w:val="16"/>
                <w:szCs w:val="16"/>
              </w:rPr>
              <w:t>&lt;0.001</w:t>
            </w:r>
          </w:p>
        </w:tc>
      </w:tr>
      <w:tr w:rsidR="00B47F52" w:rsidRPr="00547C63" w14:paraId="025A3482" w14:textId="77777777" w:rsidTr="00FC492C">
        <w:trPr>
          <w:trHeight w:val="20"/>
        </w:trPr>
        <w:tc>
          <w:tcPr>
            <w:tcW w:w="1542" w:type="dxa"/>
            <w:noWrap/>
            <w:vAlign w:val="center"/>
            <w:hideMark/>
          </w:tcPr>
          <w:p w14:paraId="6B3CBE4D" w14:textId="77777777" w:rsidR="000636C3" w:rsidRPr="00547C63" w:rsidRDefault="000636C3" w:rsidP="00547C63">
            <w:pPr>
              <w:spacing w:before="0"/>
              <w:rPr>
                <w:sz w:val="16"/>
                <w:szCs w:val="16"/>
              </w:rPr>
            </w:pPr>
            <w:r w:rsidRPr="00547C63">
              <w:rPr>
                <w:sz w:val="16"/>
                <w:szCs w:val="16"/>
              </w:rPr>
              <w:t>Mono</w:t>
            </w:r>
            <w:r w:rsidR="005E64CB">
              <w:rPr>
                <w:sz w:val="16"/>
                <w:szCs w:val="16"/>
              </w:rPr>
              <w:t>cyte (%)</w:t>
            </w:r>
          </w:p>
        </w:tc>
        <w:tc>
          <w:tcPr>
            <w:tcW w:w="1435" w:type="dxa"/>
            <w:noWrap/>
            <w:vAlign w:val="center"/>
            <w:hideMark/>
          </w:tcPr>
          <w:p w14:paraId="145D81B8" w14:textId="77777777" w:rsidR="000636C3" w:rsidRPr="00547C63" w:rsidRDefault="000636C3" w:rsidP="00547C63">
            <w:pPr>
              <w:spacing w:before="0"/>
              <w:jc w:val="center"/>
              <w:rPr>
                <w:sz w:val="16"/>
                <w:szCs w:val="16"/>
              </w:rPr>
            </w:pPr>
            <w:r w:rsidRPr="00547C63">
              <w:rPr>
                <w:sz w:val="16"/>
                <w:szCs w:val="16"/>
              </w:rPr>
              <w:t>6.58 ± 2.19</w:t>
            </w:r>
          </w:p>
        </w:tc>
        <w:tc>
          <w:tcPr>
            <w:tcW w:w="1156" w:type="dxa"/>
            <w:noWrap/>
            <w:vAlign w:val="center"/>
            <w:hideMark/>
          </w:tcPr>
          <w:p w14:paraId="62461921" w14:textId="77777777" w:rsidR="000636C3" w:rsidRPr="00547C63" w:rsidRDefault="000636C3" w:rsidP="00547C63">
            <w:pPr>
              <w:spacing w:before="0"/>
              <w:jc w:val="center"/>
              <w:rPr>
                <w:sz w:val="16"/>
                <w:szCs w:val="16"/>
              </w:rPr>
            </w:pPr>
            <w:r w:rsidRPr="00547C63">
              <w:rPr>
                <w:sz w:val="16"/>
                <w:szCs w:val="16"/>
              </w:rPr>
              <w:t>6.42 ± 2.49</w:t>
            </w:r>
          </w:p>
        </w:tc>
        <w:tc>
          <w:tcPr>
            <w:tcW w:w="1313" w:type="dxa"/>
            <w:noWrap/>
            <w:vAlign w:val="center"/>
            <w:hideMark/>
          </w:tcPr>
          <w:p w14:paraId="363EE40D" w14:textId="77777777" w:rsidR="000636C3" w:rsidRPr="00547C63" w:rsidRDefault="000636C3" w:rsidP="00547C63">
            <w:pPr>
              <w:spacing w:before="0"/>
              <w:jc w:val="center"/>
              <w:rPr>
                <w:sz w:val="16"/>
                <w:szCs w:val="16"/>
              </w:rPr>
            </w:pPr>
            <w:r w:rsidRPr="00547C63">
              <w:rPr>
                <w:sz w:val="16"/>
                <w:szCs w:val="16"/>
              </w:rPr>
              <w:t>6.08 ± 2.19</w:t>
            </w:r>
          </w:p>
        </w:tc>
        <w:tc>
          <w:tcPr>
            <w:tcW w:w="579" w:type="dxa"/>
            <w:noWrap/>
            <w:vAlign w:val="center"/>
            <w:hideMark/>
          </w:tcPr>
          <w:p w14:paraId="25BF9121" w14:textId="77777777" w:rsidR="000636C3" w:rsidRPr="00547C63" w:rsidRDefault="000636C3" w:rsidP="00547C63">
            <w:pPr>
              <w:spacing w:before="0"/>
              <w:jc w:val="right"/>
              <w:rPr>
                <w:sz w:val="16"/>
                <w:szCs w:val="16"/>
              </w:rPr>
            </w:pPr>
            <w:r w:rsidRPr="00547C63">
              <w:rPr>
                <w:sz w:val="16"/>
                <w:szCs w:val="16"/>
              </w:rPr>
              <w:t>0.348</w:t>
            </w:r>
          </w:p>
        </w:tc>
        <w:tc>
          <w:tcPr>
            <w:tcW w:w="1265" w:type="dxa"/>
            <w:noWrap/>
            <w:vAlign w:val="center"/>
            <w:hideMark/>
          </w:tcPr>
          <w:p w14:paraId="412F60A0" w14:textId="77777777" w:rsidR="000636C3" w:rsidRPr="00547C63" w:rsidRDefault="000636C3" w:rsidP="00547C63">
            <w:pPr>
              <w:spacing w:before="0"/>
              <w:jc w:val="center"/>
              <w:rPr>
                <w:sz w:val="16"/>
                <w:szCs w:val="16"/>
              </w:rPr>
            </w:pPr>
            <w:r w:rsidRPr="00547C63">
              <w:rPr>
                <w:sz w:val="16"/>
                <w:szCs w:val="16"/>
              </w:rPr>
              <w:t>6.59 ± 3.75</w:t>
            </w:r>
          </w:p>
        </w:tc>
        <w:tc>
          <w:tcPr>
            <w:tcW w:w="1329" w:type="dxa"/>
            <w:noWrap/>
            <w:vAlign w:val="center"/>
            <w:hideMark/>
          </w:tcPr>
          <w:p w14:paraId="519AB875" w14:textId="77777777" w:rsidR="000636C3" w:rsidRPr="00547C63" w:rsidRDefault="000636C3" w:rsidP="00547C63">
            <w:pPr>
              <w:spacing w:before="0"/>
              <w:jc w:val="center"/>
              <w:rPr>
                <w:sz w:val="16"/>
                <w:szCs w:val="16"/>
              </w:rPr>
            </w:pPr>
            <w:r w:rsidRPr="00547C63">
              <w:rPr>
                <w:sz w:val="16"/>
                <w:szCs w:val="16"/>
              </w:rPr>
              <w:t>7.93 ± 1.95</w:t>
            </w:r>
          </w:p>
        </w:tc>
        <w:tc>
          <w:tcPr>
            <w:tcW w:w="659" w:type="dxa"/>
            <w:noWrap/>
            <w:vAlign w:val="center"/>
            <w:hideMark/>
          </w:tcPr>
          <w:p w14:paraId="37A354A5" w14:textId="77777777" w:rsidR="000636C3" w:rsidRPr="00547C63" w:rsidRDefault="000636C3" w:rsidP="00547C63">
            <w:pPr>
              <w:spacing w:before="0"/>
              <w:jc w:val="right"/>
              <w:rPr>
                <w:sz w:val="16"/>
                <w:szCs w:val="16"/>
              </w:rPr>
            </w:pPr>
            <w:r w:rsidRPr="00547C63">
              <w:rPr>
                <w:sz w:val="16"/>
                <w:szCs w:val="16"/>
              </w:rPr>
              <w:t>0.038</w:t>
            </w:r>
          </w:p>
        </w:tc>
        <w:tc>
          <w:tcPr>
            <w:tcW w:w="1249" w:type="dxa"/>
            <w:noWrap/>
            <w:vAlign w:val="center"/>
            <w:hideMark/>
          </w:tcPr>
          <w:p w14:paraId="0FF30640" w14:textId="77777777" w:rsidR="000636C3" w:rsidRPr="00547C63" w:rsidRDefault="000636C3" w:rsidP="00547C63">
            <w:pPr>
              <w:spacing w:before="0"/>
              <w:jc w:val="center"/>
              <w:rPr>
                <w:sz w:val="16"/>
                <w:szCs w:val="16"/>
              </w:rPr>
            </w:pPr>
            <w:r w:rsidRPr="00547C63">
              <w:rPr>
                <w:sz w:val="16"/>
                <w:szCs w:val="16"/>
              </w:rPr>
              <w:t>5.09 ± 3.18</w:t>
            </w:r>
          </w:p>
        </w:tc>
        <w:tc>
          <w:tcPr>
            <w:tcW w:w="1348" w:type="dxa"/>
            <w:noWrap/>
            <w:vAlign w:val="center"/>
            <w:hideMark/>
          </w:tcPr>
          <w:p w14:paraId="79438396" w14:textId="77777777" w:rsidR="000636C3" w:rsidRPr="00547C63" w:rsidRDefault="000636C3" w:rsidP="00547C63">
            <w:pPr>
              <w:spacing w:before="0"/>
              <w:jc w:val="center"/>
              <w:rPr>
                <w:sz w:val="16"/>
                <w:szCs w:val="16"/>
              </w:rPr>
            </w:pPr>
            <w:r w:rsidRPr="00547C63">
              <w:rPr>
                <w:sz w:val="16"/>
                <w:szCs w:val="16"/>
              </w:rPr>
              <w:t>5.59 ± 2.46</w:t>
            </w:r>
          </w:p>
        </w:tc>
        <w:tc>
          <w:tcPr>
            <w:tcW w:w="659" w:type="dxa"/>
            <w:noWrap/>
            <w:vAlign w:val="center"/>
            <w:hideMark/>
          </w:tcPr>
          <w:p w14:paraId="2E1C167E" w14:textId="77777777" w:rsidR="000636C3" w:rsidRPr="00547C63" w:rsidRDefault="000636C3" w:rsidP="00547C63">
            <w:pPr>
              <w:spacing w:before="0"/>
              <w:jc w:val="right"/>
              <w:rPr>
                <w:sz w:val="16"/>
                <w:szCs w:val="16"/>
              </w:rPr>
            </w:pPr>
            <w:r w:rsidRPr="00547C63">
              <w:rPr>
                <w:sz w:val="16"/>
                <w:szCs w:val="16"/>
              </w:rPr>
              <w:t>0.092</w:t>
            </w:r>
          </w:p>
        </w:tc>
        <w:tc>
          <w:tcPr>
            <w:tcW w:w="659" w:type="dxa"/>
            <w:noWrap/>
            <w:vAlign w:val="center"/>
            <w:hideMark/>
          </w:tcPr>
          <w:p w14:paraId="0697A323" w14:textId="77777777" w:rsidR="000636C3" w:rsidRPr="00547C63" w:rsidRDefault="000636C3" w:rsidP="00547C63">
            <w:pPr>
              <w:spacing w:before="0"/>
              <w:jc w:val="right"/>
              <w:rPr>
                <w:sz w:val="16"/>
                <w:szCs w:val="16"/>
              </w:rPr>
            </w:pPr>
            <w:r w:rsidRPr="00547C63">
              <w:rPr>
                <w:sz w:val="16"/>
                <w:szCs w:val="16"/>
              </w:rPr>
              <w:t>&lt;0.001</w:t>
            </w:r>
          </w:p>
        </w:tc>
      </w:tr>
      <w:tr w:rsidR="00B47F52" w:rsidRPr="00547C63" w14:paraId="29D7067A" w14:textId="77777777" w:rsidTr="00FC492C">
        <w:trPr>
          <w:trHeight w:val="20"/>
        </w:trPr>
        <w:tc>
          <w:tcPr>
            <w:tcW w:w="1542" w:type="dxa"/>
            <w:noWrap/>
            <w:vAlign w:val="center"/>
            <w:hideMark/>
          </w:tcPr>
          <w:p w14:paraId="599D1AF1" w14:textId="77777777" w:rsidR="000636C3" w:rsidRPr="00547C63" w:rsidRDefault="000636C3" w:rsidP="00547C63">
            <w:pPr>
              <w:spacing w:before="0"/>
              <w:rPr>
                <w:sz w:val="16"/>
                <w:szCs w:val="16"/>
              </w:rPr>
            </w:pPr>
            <w:r w:rsidRPr="00547C63">
              <w:rPr>
                <w:sz w:val="16"/>
                <w:szCs w:val="16"/>
              </w:rPr>
              <w:t>Eos</w:t>
            </w:r>
            <w:r w:rsidR="005E64CB">
              <w:rPr>
                <w:sz w:val="16"/>
                <w:szCs w:val="16"/>
              </w:rPr>
              <w:t>inophil (%)</w:t>
            </w:r>
          </w:p>
        </w:tc>
        <w:tc>
          <w:tcPr>
            <w:tcW w:w="1435" w:type="dxa"/>
            <w:noWrap/>
            <w:vAlign w:val="center"/>
            <w:hideMark/>
          </w:tcPr>
          <w:p w14:paraId="7B1F86D6" w14:textId="77777777" w:rsidR="000636C3" w:rsidRPr="00547C63" w:rsidRDefault="000636C3" w:rsidP="00547C63">
            <w:pPr>
              <w:spacing w:before="0"/>
              <w:jc w:val="center"/>
              <w:rPr>
                <w:sz w:val="16"/>
                <w:szCs w:val="16"/>
              </w:rPr>
            </w:pPr>
            <w:r w:rsidRPr="00547C63">
              <w:rPr>
                <w:sz w:val="16"/>
                <w:szCs w:val="16"/>
              </w:rPr>
              <w:t>3.13 ± 2.05</w:t>
            </w:r>
          </w:p>
        </w:tc>
        <w:tc>
          <w:tcPr>
            <w:tcW w:w="1156" w:type="dxa"/>
            <w:noWrap/>
            <w:vAlign w:val="center"/>
            <w:hideMark/>
          </w:tcPr>
          <w:p w14:paraId="0384B72F" w14:textId="77777777" w:rsidR="000636C3" w:rsidRPr="00547C63" w:rsidRDefault="000636C3" w:rsidP="00547C63">
            <w:pPr>
              <w:spacing w:before="0"/>
              <w:jc w:val="center"/>
              <w:rPr>
                <w:sz w:val="16"/>
                <w:szCs w:val="16"/>
              </w:rPr>
            </w:pPr>
            <w:r w:rsidRPr="00547C63">
              <w:rPr>
                <w:sz w:val="16"/>
                <w:szCs w:val="16"/>
              </w:rPr>
              <w:t>2.87 ± 2.00</w:t>
            </w:r>
          </w:p>
        </w:tc>
        <w:tc>
          <w:tcPr>
            <w:tcW w:w="1313" w:type="dxa"/>
            <w:noWrap/>
            <w:vAlign w:val="center"/>
            <w:hideMark/>
          </w:tcPr>
          <w:p w14:paraId="157427DF" w14:textId="77777777" w:rsidR="000636C3" w:rsidRPr="00547C63" w:rsidRDefault="000636C3" w:rsidP="00547C63">
            <w:pPr>
              <w:spacing w:before="0"/>
              <w:jc w:val="center"/>
              <w:rPr>
                <w:sz w:val="16"/>
                <w:szCs w:val="16"/>
              </w:rPr>
            </w:pPr>
            <w:r w:rsidRPr="00547C63">
              <w:rPr>
                <w:sz w:val="16"/>
                <w:szCs w:val="16"/>
              </w:rPr>
              <w:t>2.67 ± 1.68</w:t>
            </w:r>
          </w:p>
        </w:tc>
        <w:tc>
          <w:tcPr>
            <w:tcW w:w="579" w:type="dxa"/>
            <w:noWrap/>
            <w:vAlign w:val="center"/>
            <w:hideMark/>
          </w:tcPr>
          <w:p w14:paraId="242A466B" w14:textId="77777777" w:rsidR="000636C3" w:rsidRPr="00547C63" w:rsidRDefault="000636C3" w:rsidP="00547C63">
            <w:pPr>
              <w:spacing w:before="0"/>
              <w:jc w:val="right"/>
              <w:rPr>
                <w:sz w:val="16"/>
                <w:szCs w:val="16"/>
              </w:rPr>
            </w:pPr>
            <w:r w:rsidRPr="00547C63">
              <w:rPr>
                <w:sz w:val="16"/>
                <w:szCs w:val="16"/>
              </w:rPr>
              <w:t>0.708</w:t>
            </w:r>
          </w:p>
        </w:tc>
        <w:tc>
          <w:tcPr>
            <w:tcW w:w="1265" w:type="dxa"/>
            <w:noWrap/>
            <w:vAlign w:val="center"/>
            <w:hideMark/>
          </w:tcPr>
          <w:p w14:paraId="04DC3763" w14:textId="77777777" w:rsidR="000636C3" w:rsidRPr="00547C63" w:rsidRDefault="000636C3" w:rsidP="00547C63">
            <w:pPr>
              <w:spacing w:before="0"/>
              <w:jc w:val="center"/>
              <w:rPr>
                <w:sz w:val="16"/>
                <w:szCs w:val="16"/>
              </w:rPr>
            </w:pPr>
            <w:r w:rsidRPr="00547C63">
              <w:rPr>
                <w:sz w:val="16"/>
                <w:szCs w:val="16"/>
              </w:rPr>
              <w:t>1.06 ± 1.48</w:t>
            </w:r>
          </w:p>
        </w:tc>
        <w:tc>
          <w:tcPr>
            <w:tcW w:w="1329" w:type="dxa"/>
            <w:noWrap/>
            <w:vAlign w:val="center"/>
            <w:hideMark/>
          </w:tcPr>
          <w:p w14:paraId="0F459381" w14:textId="77777777" w:rsidR="000636C3" w:rsidRPr="00547C63" w:rsidRDefault="000636C3" w:rsidP="00547C63">
            <w:pPr>
              <w:spacing w:before="0"/>
              <w:jc w:val="center"/>
              <w:rPr>
                <w:sz w:val="16"/>
                <w:szCs w:val="16"/>
              </w:rPr>
            </w:pPr>
            <w:r w:rsidRPr="00547C63">
              <w:rPr>
                <w:sz w:val="16"/>
                <w:szCs w:val="16"/>
              </w:rPr>
              <w:t>3.08 ± 2.44</w:t>
            </w:r>
          </w:p>
        </w:tc>
        <w:tc>
          <w:tcPr>
            <w:tcW w:w="659" w:type="dxa"/>
            <w:noWrap/>
            <w:vAlign w:val="center"/>
            <w:hideMark/>
          </w:tcPr>
          <w:p w14:paraId="7B387ABA" w14:textId="77777777" w:rsidR="000636C3" w:rsidRPr="00547C63" w:rsidRDefault="000636C3" w:rsidP="00547C63">
            <w:pPr>
              <w:spacing w:before="0"/>
              <w:jc w:val="right"/>
              <w:rPr>
                <w:sz w:val="16"/>
                <w:szCs w:val="16"/>
              </w:rPr>
            </w:pPr>
            <w:r w:rsidRPr="00547C63">
              <w:rPr>
                <w:sz w:val="16"/>
                <w:szCs w:val="16"/>
              </w:rPr>
              <w:t>&lt;0.001</w:t>
            </w:r>
          </w:p>
        </w:tc>
        <w:tc>
          <w:tcPr>
            <w:tcW w:w="1249" w:type="dxa"/>
            <w:noWrap/>
            <w:vAlign w:val="center"/>
            <w:hideMark/>
          </w:tcPr>
          <w:p w14:paraId="40C91A9F" w14:textId="77777777" w:rsidR="000636C3" w:rsidRPr="00547C63" w:rsidRDefault="000636C3" w:rsidP="00547C63">
            <w:pPr>
              <w:spacing w:before="0"/>
              <w:jc w:val="center"/>
              <w:rPr>
                <w:sz w:val="16"/>
                <w:szCs w:val="16"/>
              </w:rPr>
            </w:pPr>
            <w:r w:rsidRPr="00547C63">
              <w:rPr>
                <w:sz w:val="16"/>
                <w:szCs w:val="16"/>
              </w:rPr>
              <w:t>0.67 ± 1.34</w:t>
            </w:r>
          </w:p>
        </w:tc>
        <w:tc>
          <w:tcPr>
            <w:tcW w:w="1348" w:type="dxa"/>
            <w:noWrap/>
            <w:vAlign w:val="center"/>
            <w:hideMark/>
          </w:tcPr>
          <w:p w14:paraId="7E0F12B6" w14:textId="77777777" w:rsidR="000636C3" w:rsidRPr="00547C63" w:rsidRDefault="000636C3" w:rsidP="00547C63">
            <w:pPr>
              <w:spacing w:before="0"/>
              <w:jc w:val="center"/>
              <w:rPr>
                <w:sz w:val="16"/>
                <w:szCs w:val="16"/>
              </w:rPr>
            </w:pPr>
            <w:r w:rsidRPr="00547C63">
              <w:rPr>
                <w:sz w:val="16"/>
                <w:szCs w:val="16"/>
              </w:rPr>
              <w:t>2.84 ± 1.97</w:t>
            </w:r>
          </w:p>
        </w:tc>
        <w:tc>
          <w:tcPr>
            <w:tcW w:w="659" w:type="dxa"/>
            <w:noWrap/>
            <w:vAlign w:val="center"/>
            <w:hideMark/>
          </w:tcPr>
          <w:p w14:paraId="234DBEDD" w14:textId="77777777" w:rsidR="000636C3" w:rsidRPr="00547C63" w:rsidRDefault="000636C3" w:rsidP="00547C63">
            <w:pPr>
              <w:spacing w:before="0"/>
              <w:jc w:val="right"/>
              <w:rPr>
                <w:sz w:val="16"/>
                <w:szCs w:val="16"/>
              </w:rPr>
            </w:pPr>
            <w:r w:rsidRPr="00547C63">
              <w:rPr>
                <w:sz w:val="16"/>
                <w:szCs w:val="16"/>
              </w:rPr>
              <w:t>&lt;0.001</w:t>
            </w:r>
          </w:p>
        </w:tc>
        <w:tc>
          <w:tcPr>
            <w:tcW w:w="659" w:type="dxa"/>
            <w:noWrap/>
            <w:vAlign w:val="center"/>
            <w:hideMark/>
          </w:tcPr>
          <w:p w14:paraId="789FE9BE" w14:textId="77777777" w:rsidR="000636C3" w:rsidRPr="00547C63" w:rsidRDefault="000636C3" w:rsidP="00547C63">
            <w:pPr>
              <w:spacing w:before="0"/>
              <w:jc w:val="right"/>
              <w:rPr>
                <w:sz w:val="16"/>
                <w:szCs w:val="16"/>
              </w:rPr>
            </w:pPr>
            <w:r w:rsidRPr="00547C63">
              <w:rPr>
                <w:sz w:val="16"/>
                <w:szCs w:val="16"/>
              </w:rPr>
              <w:t>&lt;0.001</w:t>
            </w:r>
          </w:p>
        </w:tc>
      </w:tr>
      <w:tr w:rsidR="00B47F52" w:rsidRPr="00547C63" w14:paraId="1A87AD39" w14:textId="77777777" w:rsidTr="00FC492C">
        <w:trPr>
          <w:trHeight w:val="20"/>
        </w:trPr>
        <w:tc>
          <w:tcPr>
            <w:tcW w:w="1542" w:type="dxa"/>
            <w:noWrap/>
            <w:vAlign w:val="center"/>
            <w:hideMark/>
          </w:tcPr>
          <w:p w14:paraId="392031E4" w14:textId="77777777" w:rsidR="000636C3" w:rsidRPr="00547C63" w:rsidRDefault="000636C3" w:rsidP="00547C63">
            <w:pPr>
              <w:spacing w:before="0"/>
              <w:rPr>
                <w:sz w:val="16"/>
                <w:szCs w:val="16"/>
              </w:rPr>
            </w:pPr>
            <w:r w:rsidRPr="00547C63">
              <w:rPr>
                <w:sz w:val="16"/>
                <w:szCs w:val="16"/>
              </w:rPr>
              <w:t>Baso</w:t>
            </w:r>
            <w:r w:rsidR="005E64CB">
              <w:rPr>
                <w:sz w:val="16"/>
                <w:szCs w:val="16"/>
              </w:rPr>
              <w:t>phil (%)</w:t>
            </w:r>
          </w:p>
        </w:tc>
        <w:tc>
          <w:tcPr>
            <w:tcW w:w="1435" w:type="dxa"/>
            <w:noWrap/>
            <w:vAlign w:val="center"/>
            <w:hideMark/>
          </w:tcPr>
          <w:p w14:paraId="2326BAD1" w14:textId="77777777" w:rsidR="000636C3" w:rsidRPr="00547C63" w:rsidRDefault="000636C3" w:rsidP="00547C63">
            <w:pPr>
              <w:spacing w:before="0"/>
              <w:jc w:val="center"/>
              <w:rPr>
                <w:sz w:val="16"/>
                <w:szCs w:val="16"/>
              </w:rPr>
            </w:pPr>
            <w:r w:rsidRPr="00547C63">
              <w:rPr>
                <w:sz w:val="16"/>
                <w:szCs w:val="16"/>
              </w:rPr>
              <w:t>0.34 ± 0.23</w:t>
            </w:r>
          </w:p>
        </w:tc>
        <w:tc>
          <w:tcPr>
            <w:tcW w:w="1156" w:type="dxa"/>
            <w:noWrap/>
            <w:vAlign w:val="center"/>
            <w:hideMark/>
          </w:tcPr>
          <w:p w14:paraId="1FD9A63D" w14:textId="77777777" w:rsidR="000636C3" w:rsidRPr="00547C63" w:rsidRDefault="000636C3" w:rsidP="00547C63">
            <w:pPr>
              <w:spacing w:before="0"/>
              <w:jc w:val="center"/>
              <w:rPr>
                <w:sz w:val="16"/>
                <w:szCs w:val="16"/>
              </w:rPr>
            </w:pPr>
            <w:r w:rsidRPr="00547C63">
              <w:rPr>
                <w:sz w:val="16"/>
                <w:szCs w:val="16"/>
              </w:rPr>
              <w:t>0.33 ± 0.26</w:t>
            </w:r>
          </w:p>
        </w:tc>
        <w:tc>
          <w:tcPr>
            <w:tcW w:w="1313" w:type="dxa"/>
            <w:noWrap/>
            <w:vAlign w:val="center"/>
            <w:hideMark/>
          </w:tcPr>
          <w:p w14:paraId="7BCB427B" w14:textId="77777777" w:rsidR="000636C3" w:rsidRPr="00547C63" w:rsidRDefault="000636C3" w:rsidP="00547C63">
            <w:pPr>
              <w:spacing w:before="0"/>
              <w:jc w:val="center"/>
              <w:rPr>
                <w:sz w:val="16"/>
                <w:szCs w:val="16"/>
              </w:rPr>
            </w:pPr>
            <w:r w:rsidRPr="00547C63">
              <w:rPr>
                <w:sz w:val="16"/>
                <w:szCs w:val="16"/>
              </w:rPr>
              <w:t>0.34 ± 0.17</w:t>
            </w:r>
          </w:p>
        </w:tc>
        <w:tc>
          <w:tcPr>
            <w:tcW w:w="579" w:type="dxa"/>
            <w:noWrap/>
            <w:vAlign w:val="center"/>
            <w:hideMark/>
          </w:tcPr>
          <w:p w14:paraId="3FC25E19" w14:textId="77777777" w:rsidR="000636C3" w:rsidRPr="00547C63" w:rsidRDefault="000636C3" w:rsidP="00547C63">
            <w:pPr>
              <w:spacing w:before="0"/>
              <w:jc w:val="right"/>
              <w:rPr>
                <w:sz w:val="16"/>
                <w:szCs w:val="16"/>
              </w:rPr>
            </w:pPr>
            <w:r w:rsidRPr="00547C63">
              <w:rPr>
                <w:sz w:val="16"/>
                <w:szCs w:val="16"/>
              </w:rPr>
              <w:t>0.276</w:t>
            </w:r>
          </w:p>
        </w:tc>
        <w:tc>
          <w:tcPr>
            <w:tcW w:w="1265" w:type="dxa"/>
            <w:noWrap/>
            <w:vAlign w:val="center"/>
            <w:hideMark/>
          </w:tcPr>
          <w:p w14:paraId="1EA0B0D6" w14:textId="77777777" w:rsidR="000636C3" w:rsidRPr="00547C63" w:rsidRDefault="000636C3" w:rsidP="00547C63">
            <w:pPr>
              <w:spacing w:before="0"/>
              <w:jc w:val="center"/>
              <w:rPr>
                <w:sz w:val="16"/>
                <w:szCs w:val="16"/>
              </w:rPr>
            </w:pPr>
            <w:r w:rsidRPr="00547C63">
              <w:rPr>
                <w:sz w:val="16"/>
                <w:szCs w:val="16"/>
              </w:rPr>
              <w:t>0.59 ± 0.52</w:t>
            </w:r>
          </w:p>
        </w:tc>
        <w:tc>
          <w:tcPr>
            <w:tcW w:w="1329" w:type="dxa"/>
            <w:noWrap/>
            <w:vAlign w:val="center"/>
            <w:hideMark/>
          </w:tcPr>
          <w:p w14:paraId="15ACCDB9" w14:textId="77777777" w:rsidR="000636C3" w:rsidRPr="00547C63" w:rsidRDefault="000636C3" w:rsidP="00547C63">
            <w:pPr>
              <w:spacing w:before="0"/>
              <w:jc w:val="center"/>
              <w:rPr>
                <w:sz w:val="16"/>
                <w:szCs w:val="16"/>
              </w:rPr>
            </w:pPr>
            <w:r w:rsidRPr="00547C63">
              <w:rPr>
                <w:sz w:val="16"/>
                <w:szCs w:val="16"/>
              </w:rPr>
              <w:t>0.89 ± 0.42</w:t>
            </w:r>
          </w:p>
        </w:tc>
        <w:tc>
          <w:tcPr>
            <w:tcW w:w="659" w:type="dxa"/>
            <w:noWrap/>
            <w:vAlign w:val="center"/>
            <w:hideMark/>
          </w:tcPr>
          <w:p w14:paraId="215CECBA" w14:textId="77777777" w:rsidR="000636C3" w:rsidRPr="00547C63" w:rsidRDefault="000636C3" w:rsidP="00547C63">
            <w:pPr>
              <w:spacing w:before="0"/>
              <w:jc w:val="right"/>
              <w:rPr>
                <w:sz w:val="16"/>
                <w:szCs w:val="16"/>
              </w:rPr>
            </w:pPr>
            <w:r w:rsidRPr="00547C63">
              <w:rPr>
                <w:sz w:val="16"/>
                <w:szCs w:val="16"/>
              </w:rPr>
              <w:t>0.001</w:t>
            </w:r>
          </w:p>
        </w:tc>
        <w:tc>
          <w:tcPr>
            <w:tcW w:w="1249" w:type="dxa"/>
            <w:noWrap/>
            <w:vAlign w:val="center"/>
            <w:hideMark/>
          </w:tcPr>
          <w:p w14:paraId="04F27018" w14:textId="77777777" w:rsidR="000636C3" w:rsidRPr="00547C63" w:rsidRDefault="000636C3" w:rsidP="00547C63">
            <w:pPr>
              <w:spacing w:before="0"/>
              <w:jc w:val="center"/>
              <w:rPr>
                <w:sz w:val="16"/>
                <w:szCs w:val="16"/>
              </w:rPr>
            </w:pPr>
            <w:r w:rsidRPr="00547C63">
              <w:rPr>
                <w:sz w:val="16"/>
                <w:szCs w:val="16"/>
              </w:rPr>
              <w:t>2.23 ± 8.59</w:t>
            </w:r>
          </w:p>
        </w:tc>
        <w:tc>
          <w:tcPr>
            <w:tcW w:w="1348" w:type="dxa"/>
            <w:noWrap/>
            <w:vAlign w:val="center"/>
            <w:hideMark/>
          </w:tcPr>
          <w:p w14:paraId="63C2F7FF" w14:textId="77777777" w:rsidR="000636C3" w:rsidRPr="00547C63" w:rsidRDefault="000636C3" w:rsidP="00547C63">
            <w:pPr>
              <w:spacing w:before="0"/>
              <w:jc w:val="center"/>
              <w:rPr>
                <w:sz w:val="16"/>
                <w:szCs w:val="16"/>
              </w:rPr>
            </w:pPr>
            <w:r w:rsidRPr="00547C63">
              <w:rPr>
                <w:sz w:val="16"/>
                <w:szCs w:val="16"/>
              </w:rPr>
              <w:t>1.50 ± 6.77</w:t>
            </w:r>
          </w:p>
        </w:tc>
        <w:tc>
          <w:tcPr>
            <w:tcW w:w="659" w:type="dxa"/>
            <w:noWrap/>
            <w:vAlign w:val="center"/>
            <w:hideMark/>
          </w:tcPr>
          <w:p w14:paraId="49B0E314" w14:textId="77777777" w:rsidR="000636C3" w:rsidRPr="00547C63" w:rsidRDefault="000636C3" w:rsidP="00547C63">
            <w:pPr>
              <w:spacing w:before="0"/>
              <w:jc w:val="right"/>
              <w:rPr>
                <w:sz w:val="16"/>
                <w:szCs w:val="16"/>
              </w:rPr>
            </w:pPr>
            <w:r w:rsidRPr="00547C63">
              <w:rPr>
                <w:sz w:val="16"/>
                <w:szCs w:val="16"/>
              </w:rPr>
              <w:t>0.004</w:t>
            </w:r>
          </w:p>
        </w:tc>
        <w:tc>
          <w:tcPr>
            <w:tcW w:w="659" w:type="dxa"/>
            <w:noWrap/>
            <w:vAlign w:val="center"/>
            <w:hideMark/>
          </w:tcPr>
          <w:p w14:paraId="22045042" w14:textId="77777777" w:rsidR="000636C3" w:rsidRPr="00547C63" w:rsidRDefault="000636C3" w:rsidP="00547C63">
            <w:pPr>
              <w:spacing w:before="0"/>
              <w:jc w:val="right"/>
              <w:rPr>
                <w:sz w:val="16"/>
                <w:szCs w:val="16"/>
              </w:rPr>
            </w:pPr>
            <w:r w:rsidRPr="00547C63">
              <w:rPr>
                <w:sz w:val="16"/>
                <w:szCs w:val="16"/>
              </w:rPr>
              <w:t>&lt;0.001</w:t>
            </w:r>
          </w:p>
        </w:tc>
      </w:tr>
      <w:tr w:rsidR="00B47F52" w:rsidRPr="00547C63" w14:paraId="00A5B300" w14:textId="77777777" w:rsidTr="00FC492C">
        <w:trPr>
          <w:trHeight w:val="20"/>
        </w:trPr>
        <w:tc>
          <w:tcPr>
            <w:tcW w:w="1542" w:type="dxa"/>
            <w:noWrap/>
            <w:vAlign w:val="center"/>
            <w:hideMark/>
          </w:tcPr>
          <w:p w14:paraId="620D34DA" w14:textId="77777777" w:rsidR="000636C3" w:rsidRPr="00547C63" w:rsidRDefault="000636C3" w:rsidP="005E64CB">
            <w:pPr>
              <w:spacing w:before="0"/>
              <w:rPr>
                <w:sz w:val="16"/>
                <w:szCs w:val="16"/>
              </w:rPr>
            </w:pPr>
            <w:r w:rsidRPr="00547C63">
              <w:rPr>
                <w:sz w:val="16"/>
                <w:szCs w:val="16"/>
              </w:rPr>
              <w:t>Lymph</w:t>
            </w:r>
            <w:r w:rsidR="005E64CB">
              <w:rPr>
                <w:sz w:val="16"/>
                <w:szCs w:val="16"/>
              </w:rPr>
              <w:t>ocyte (%)</w:t>
            </w:r>
          </w:p>
        </w:tc>
        <w:tc>
          <w:tcPr>
            <w:tcW w:w="1435" w:type="dxa"/>
            <w:noWrap/>
            <w:vAlign w:val="center"/>
            <w:hideMark/>
          </w:tcPr>
          <w:p w14:paraId="2FB18489" w14:textId="77777777" w:rsidR="000636C3" w:rsidRPr="00547C63" w:rsidRDefault="000636C3" w:rsidP="00547C63">
            <w:pPr>
              <w:spacing w:before="0"/>
              <w:jc w:val="center"/>
              <w:rPr>
                <w:sz w:val="16"/>
                <w:szCs w:val="16"/>
              </w:rPr>
            </w:pPr>
            <w:r w:rsidRPr="00547C63">
              <w:rPr>
                <w:sz w:val="16"/>
                <w:szCs w:val="16"/>
              </w:rPr>
              <w:t>25.7 ± 7.4</w:t>
            </w:r>
          </w:p>
        </w:tc>
        <w:tc>
          <w:tcPr>
            <w:tcW w:w="1156" w:type="dxa"/>
            <w:noWrap/>
            <w:vAlign w:val="center"/>
            <w:hideMark/>
          </w:tcPr>
          <w:p w14:paraId="4836407B" w14:textId="77777777" w:rsidR="000636C3" w:rsidRPr="00547C63" w:rsidRDefault="000636C3" w:rsidP="00547C63">
            <w:pPr>
              <w:spacing w:before="0"/>
              <w:jc w:val="center"/>
              <w:rPr>
                <w:sz w:val="16"/>
                <w:szCs w:val="16"/>
              </w:rPr>
            </w:pPr>
            <w:r w:rsidRPr="00547C63">
              <w:rPr>
                <w:sz w:val="16"/>
                <w:szCs w:val="16"/>
              </w:rPr>
              <w:t>22.7 ± 8.6</w:t>
            </w:r>
          </w:p>
        </w:tc>
        <w:tc>
          <w:tcPr>
            <w:tcW w:w="1313" w:type="dxa"/>
            <w:noWrap/>
            <w:vAlign w:val="center"/>
            <w:hideMark/>
          </w:tcPr>
          <w:p w14:paraId="645477D0" w14:textId="77777777" w:rsidR="000636C3" w:rsidRPr="00547C63" w:rsidRDefault="000636C3" w:rsidP="00547C63">
            <w:pPr>
              <w:spacing w:before="0"/>
              <w:jc w:val="center"/>
              <w:rPr>
                <w:sz w:val="16"/>
                <w:szCs w:val="16"/>
              </w:rPr>
            </w:pPr>
            <w:r w:rsidRPr="00547C63">
              <w:rPr>
                <w:sz w:val="16"/>
                <w:szCs w:val="16"/>
              </w:rPr>
              <w:t>28.2 ± 9.2</w:t>
            </w:r>
          </w:p>
        </w:tc>
        <w:tc>
          <w:tcPr>
            <w:tcW w:w="579" w:type="dxa"/>
            <w:noWrap/>
            <w:vAlign w:val="center"/>
            <w:hideMark/>
          </w:tcPr>
          <w:p w14:paraId="17854B32" w14:textId="77777777" w:rsidR="000636C3" w:rsidRPr="00547C63" w:rsidRDefault="000636C3" w:rsidP="00547C63">
            <w:pPr>
              <w:spacing w:before="0"/>
              <w:jc w:val="right"/>
              <w:rPr>
                <w:sz w:val="16"/>
                <w:szCs w:val="16"/>
              </w:rPr>
            </w:pPr>
            <w:r w:rsidRPr="00547C63">
              <w:rPr>
                <w:sz w:val="16"/>
                <w:szCs w:val="16"/>
              </w:rPr>
              <w:t>0.035</w:t>
            </w:r>
          </w:p>
        </w:tc>
        <w:tc>
          <w:tcPr>
            <w:tcW w:w="1265" w:type="dxa"/>
            <w:noWrap/>
            <w:vAlign w:val="center"/>
            <w:hideMark/>
          </w:tcPr>
          <w:p w14:paraId="6FA26E77" w14:textId="77777777" w:rsidR="000636C3" w:rsidRPr="00547C63" w:rsidRDefault="000636C3" w:rsidP="00547C63">
            <w:pPr>
              <w:spacing w:before="0"/>
              <w:jc w:val="center"/>
              <w:rPr>
                <w:sz w:val="16"/>
                <w:szCs w:val="16"/>
              </w:rPr>
            </w:pPr>
            <w:r w:rsidRPr="00547C63">
              <w:rPr>
                <w:sz w:val="16"/>
                <w:szCs w:val="16"/>
              </w:rPr>
              <w:t>13.8 ± 9.9</w:t>
            </w:r>
          </w:p>
        </w:tc>
        <w:tc>
          <w:tcPr>
            <w:tcW w:w="1329" w:type="dxa"/>
            <w:noWrap/>
            <w:vAlign w:val="center"/>
            <w:hideMark/>
          </w:tcPr>
          <w:p w14:paraId="4574B900" w14:textId="77777777" w:rsidR="000636C3" w:rsidRPr="00547C63" w:rsidRDefault="000636C3" w:rsidP="00547C63">
            <w:pPr>
              <w:spacing w:before="0"/>
              <w:jc w:val="center"/>
              <w:rPr>
                <w:sz w:val="16"/>
                <w:szCs w:val="16"/>
              </w:rPr>
            </w:pPr>
            <w:r w:rsidRPr="00547C63">
              <w:rPr>
                <w:sz w:val="16"/>
                <w:szCs w:val="16"/>
              </w:rPr>
              <w:t>24.3 ± 7.9</w:t>
            </w:r>
          </w:p>
        </w:tc>
        <w:tc>
          <w:tcPr>
            <w:tcW w:w="659" w:type="dxa"/>
            <w:noWrap/>
            <w:vAlign w:val="center"/>
            <w:hideMark/>
          </w:tcPr>
          <w:p w14:paraId="29EA12E3" w14:textId="77777777" w:rsidR="000636C3" w:rsidRPr="00547C63" w:rsidRDefault="000636C3" w:rsidP="00547C63">
            <w:pPr>
              <w:spacing w:before="0"/>
              <w:jc w:val="right"/>
              <w:rPr>
                <w:sz w:val="16"/>
                <w:szCs w:val="16"/>
              </w:rPr>
            </w:pPr>
            <w:r w:rsidRPr="00547C63">
              <w:rPr>
                <w:sz w:val="16"/>
                <w:szCs w:val="16"/>
              </w:rPr>
              <w:t>&lt;0.001</w:t>
            </w:r>
          </w:p>
        </w:tc>
        <w:tc>
          <w:tcPr>
            <w:tcW w:w="1249" w:type="dxa"/>
            <w:noWrap/>
            <w:vAlign w:val="center"/>
            <w:hideMark/>
          </w:tcPr>
          <w:p w14:paraId="13E358CC" w14:textId="77777777" w:rsidR="000636C3" w:rsidRPr="00547C63" w:rsidRDefault="000636C3" w:rsidP="00547C63">
            <w:pPr>
              <w:spacing w:before="0"/>
              <w:jc w:val="center"/>
              <w:rPr>
                <w:sz w:val="16"/>
                <w:szCs w:val="16"/>
              </w:rPr>
            </w:pPr>
            <w:r w:rsidRPr="00547C63">
              <w:rPr>
                <w:sz w:val="16"/>
                <w:szCs w:val="16"/>
              </w:rPr>
              <w:t>11.1 ± 7.8</w:t>
            </w:r>
          </w:p>
        </w:tc>
        <w:tc>
          <w:tcPr>
            <w:tcW w:w="1348" w:type="dxa"/>
            <w:noWrap/>
            <w:vAlign w:val="center"/>
            <w:hideMark/>
          </w:tcPr>
          <w:p w14:paraId="13D244C8" w14:textId="77777777" w:rsidR="000636C3" w:rsidRPr="00547C63" w:rsidRDefault="000636C3" w:rsidP="00547C63">
            <w:pPr>
              <w:spacing w:before="0"/>
              <w:jc w:val="center"/>
              <w:rPr>
                <w:sz w:val="16"/>
                <w:szCs w:val="16"/>
              </w:rPr>
            </w:pPr>
            <w:r w:rsidRPr="00547C63">
              <w:rPr>
                <w:sz w:val="16"/>
                <w:szCs w:val="16"/>
              </w:rPr>
              <w:t>24.1 ± 10.3</w:t>
            </w:r>
          </w:p>
        </w:tc>
        <w:tc>
          <w:tcPr>
            <w:tcW w:w="659" w:type="dxa"/>
            <w:noWrap/>
            <w:vAlign w:val="center"/>
            <w:hideMark/>
          </w:tcPr>
          <w:p w14:paraId="04A568C1" w14:textId="77777777" w:rsidR="000636C3" w:rsidRPr="00547C63" w:rsidRDefault="000636C3" w:rsidP="00547C63">
            <w:pPr>
              <w:spacing w:before="0"/>
              <w:jc w:val="right"/>
              <w:rPr>
                <w:sz w:val="16"/>
                <w:szCs w:val="16"/>
              </w:rPr>
            </w:pPr>
            <w:r w:rsidRPr="00547C63">
              <w:rPr>
                <w:sz w:val="16"/>
                <w:szCs w:val="16"/>
              </w:rPr>
              <w:t>&lt;0.001</w:t>
            </w:r>
          </w:p>
        </w:tc>
        <w:tc>
          <w:tcPr>
            <w:tcW w:w="659" w:type="dxa"/>
            <w:noWrap/>
            <w:vAlign w:val="center"/>
            <w:hideMark/>
          </w:tcPr>
          <w:p w14:paraId="58B05B26" w14:textId="77777777" w:rsidR="000636C3" w:rsidRPr="00547C63" w:rsidRDefault="000636C3" w:rsidP="00547C63">
            <w:pPr>
              <w:spacing w:before="0"/>
              <w:jc w:val="right"/>
              <w:rPr>
                <w:sz w:val="16"/>
                <w:szCs w:val="16"/>
              </w:rPr>
            </w:pPr>
            <w:r w:rsidRPr="00547C63">
              <w:rPr>
                <w:sz w:val="16"/>
                <w:szCs w:val="16"/>
              </w:rPr>
              <w:t>&lt;0.001</w:t>
            </w:r>
          </w:p>
        </w:tc>
      </w:tr>
      <w:tr w:rsidR="00B47F52" w:rsidRPr="00547C63" w14:paraId="08942885" w14:textId="77777777" w:rsidTr="00FC492C">
        <w:trPr>
          <w:trHeight w:val="20"/>
        </w:trPr>
        <w:tc>
          <w:tcPr>
            <w:tcW w:w="1542" w:type="dxa"/>
            <w:noWrap/>
            <w:vAlign w:val="center"/>
            <w:hideMark/>
          </w:tcPr>
          <w:p w14:paraId="6FD0B394" w14:textId="77777777" w:rsidR="000636C3" w:rsidRPr="00547C63" w:rsidRDefault="000636C3" w:rsidP="00547C63">
            <w:pPr>
              <w:spacing w:before="0"/>
              <w:rPr>
                <w:sz w:val="16"/>
                <w:szCs w:val="16"/>
              </w:rPr>
            </w:pPr>
            <w:r w:rsidRPr="00547C63">
              <w:rPr>
                <w:sz w:val="16"/>
                <w:szCs w:val="16"/>
              </w:rPr>
              <w:t>NT</w:t>
            </w:r>
            <w:r w:rsidR="005E64CB">
              <w:rPr>
                <w:sz w:val="16"/>
                <w:szCs w:val="16"/>
              </w:rPr>
              <w:t>-</w:t>
            </w:r>
            <w:r w:rsidRPr="00547C63">
              <w:rPr>
                <w:sz w:val="16"/>
                <w:szCs w:val="16"/>
              </w:rPr>
              <w:t>proBNP (IQR)</w:t>
            </w:r>
          </w:p>
        </w:tc>
        <w:tc>
          <w:tcPr>
            <w:tcW w:w="1435" w:type="dxa"/>
            <w:noWrap/>
            <w:vAlign w:val="center"/>
            <w:hideMark/>
          </w:tcPr>
          <w:p w14:paraId="348637E4" w14:textId="77777777" w:rsidR="000636C3" w:rsidRPr="00547C63" w:rsidRDefault="000636C3" w:rsidP="00B47F52">
            <w:pPr>
              <w:spacing w:before="0"/>
              <w:jc w:val="center"/>
              <w:rPr>
                <w:sz w:val="16"/>
                <w:szCs w:val="16"/>
              </w:rPr>
            </w:pPr>
            <w:r w:rsidRPr="00547C63">
              <w:rPr>
                <w:sz w:val="16"/>
                <w:szCs w:val="16"/>
              </w:rPr>
              <w:t>109</w:t>
            </w:r>
            <w:r w:rsidR="00B47F52">
              <w:rPr>
                <w:sz w:val="16"/>
                <w:szCs w:val="16"/>
              </w:rPr>
              <w:t xml:space="preserve"> </w:t>
            </w:r>
            <w:r w:rsidRPr="00547C63">
              <w:rPr>
                <w:sz w:val="16"/>
                <w:szCs w:val="16"/>
              </w:rPr>
              <w:t>[3</w:t>
            </w:r>
            <w:r w:rsidR="00B47F52">
              <w:rPr>
                <w:sz w:val="16"/>
                <w:szCs w:val="16"/>
              </w:rPr>
              <w:t>7, 225</w:t>
            </w:r>
            <w:r w:rsidRPr="00547C63">
              <w:rPr>
                <w:sz w:val="16"/>
                <w:szCs w:val="16"/>
              </w:rPr>
              <w:t>]</w:t>
            </w:r>
          </w:p>
        </w:tc>
        <w:tc>
          <w:tcPr>
            <w:tcW w:w="1156" w:type="dxa"/>
            <w:noWrap/>
            <w:vAlign w:val="center"/>
            <w:hideMark/>
          </w:tcPr>
          <w:p w14:paraId="1C1B0643" w14:textId="77777777" w:rsidR="000636C3" w:rsidRPr="00547C63" w:rsidRDefault="000636C3" w:rsidP="00B47F52">
            <w:pPr>
              <w:spacing w:before="0"/>
              <w:jc w:val="center"/>
              <w:rPr>
                <w:sz w:val="16"/>
                <w:szCs w:val="16"/>
              </w:rPr>
            </w:pPr>
            <w:r w:rsidRPr="00547C63">
              <w:rPr>
                <w:sz w:val="16"/>
                <w:szCs w:val="16"/>
              </w:rPr>
              <w:t>107</w:t>
            </w:r>
            <w:r w:rsidR="00B47F52">
              <w:rPr>
                <w:sz w:val="16"/>
                <w:szCs w:val="16"/>
              </w:rPr>
              <w:t xml:space="preserve"> [61, 300</w:t>
            </w:r>
            <w:r w:rsidRPr="00547C63">
              <w:rPr>
                <w:sz w:val="16"/>
                <w:szCs w:val="16"/>
              </w:rPr>
              <w:t>]</w:t>
            </w:r>
          </w:p>
        </w:tc>
        <w:tc>
          <w:tcPr>
            <w:tcW w:w="1313" w:type="dxa"/>
            <w:noWrap/>
            <w:vAlign w:val="center"/>
            <w:hideMark/>
          </w:tcPr>
          <w:p w14:paraId="53CC0969" w14:textId="77777777" w:rsidR="000636C3" w:rsidRPr="00547C63" w:rsidRDefault="000636C3" w:rsidP="00B47F52">
            <w:pPr>
              <w:spacing w:before="0"/>
              <w:jc w:val="center"/>
              <w:rPr>
                <w:sz w:val="16"/>
                <w:szCs w:val="16"/>
              </w:rPr>
            </w:pPr>
            <w:r w:rsidRPr="00547C63">
              <w:rPr>
                <w:sz w:val="16"/>
                <w:szCs w:val="16"/>
              </w:rPr>
              <w:t>133</w:t>
            </w:r>
            <w:r w:rsidR="00B47F52">
              <w:rPr>
                <w:sz w:val="16"/>
                <w:szCs w:val="16"/>
              </w:rPr>
              <w:t xml:space="preserve"> [59</w:t>
            </w:r>
            <w:r w:rsidRPr="00547C63">
              <w:rPr>
                <w:sz w:val="16"/>
                <w:szCs w:val="16"/>
              </w:rPr>
              <w:t>, 24</w:t>
            </w:r>
            <w:r w:rsidR="00B47F52">
              <w:rPr>
                <w:sz w:val="16"/>
                <w:szCs w:val="16"/>
              </w:rPr>
              <w:t>4</w:t>
            </w:r>
            <w:r w:rsidRPr="00547C63">
              <w:rPr>
                <w:sz w:val="16"/>
                <w:szCs w:val="16"/>
              </w:rPr>
              <w:t>]</w:t>
            </w:r>
          </w:p>
        </w:tc>
        <w:tc>
          <w:tcPr>
            <w:tcW w:w="579" w:type="dxa"/>
            <w:noWrap/>
            <w:vAlign w:val="center"/>
            <w:hideMark/>
          </w:tcPr>
          <w:p w14:paraId="5591EF83" w14:textId="77777777" w:rsidR="000636C3" w:rsidRPr="00547C63" w:rsidRDefault="008450B9" w:rsidP="00547C63">
            <w:pPr>
              <w:spacing w:before="0"/>
              <w:jc w:val="right"/>
              <w:rPr>
                <w:sz w:val="16"/>
                <w:szCs w:val="16"/>
              </w:rPr>
            </w:pPr>
            <w:r w:rsidRPr="008450B9">
              <w:rPr>
                <w:sz w:val="16"/>
                <w:szCs w:val="16"/>
              </w:rPr>
              <w:t>0.903</w:t>
            </w:r>
          </w:p>
        </w:tc>
        <w:tc>
          <w:tcPr>
            <w:tcW w:w="1265" w:type="dxa"/>
            <w:noWrap/>
            <w:vAlign w:val="center"/>
            <w:hideMark/>
          </w:tcPr>
          <w:p w14:paraId="5A9E63C8" w14:textId="77777777" w:rsidR="000636C3" w:rsidRPr="00547C63" w:rsidRDefault="000636C3" w:rsidP="00B47F52">
            <w:pPr>
              <w:spacing w:before="0"/>
              <w:jc w:val="center"/>
              <w:rPr>
                <w:sz w:val="16"/>
                <w:szCs w:val="16"/>
              </w:rPr>
            </w:pPr>
            <w:r w:rsidRPr="00547C63">
              <w:rPr>
                <w:sz w:val="16"/>
                <w:szCs w:val="16"/>
              </w:rPr>
              <w:t>273</w:t>
            </w:r>
            <w:r w:rsidR="00B47F52" w:rsidRPr="00547C63">
              <w:rPr>
                <w:sz w:val="16"/>
                <w:szCs w:val="16"/>
              </w:rPr>
              <w:t xml:space="preserve"> </w:t>
            </w:r>
            <w:r w:rsidRPr="00547C63">
              <w:rPr>
                <w:sz w:val="16"/>
                <w:szCs w:val="16"/>
              </w:rPr>
              <w:t>[115, 786]</w:t>
            </w:r>
          </w:p>
        </w:tc>
        <w:tc>
          <w:tcPr>
            <w:tcW w:w="1329" w:type="dxa"/>
            <w:noWrap/>
            <w:vAlign w:val="center"/>
            <w:hideMark/>
          </w:tcPr>
          <w:p w14:paraId="0966DEC7" w14:textId="77777777" w:rsidR="000636C3" w:rsidRPr="00547C63" w:rsidRDefault="00547C63" w:rsidP="00B47F52">
            <w:pPr>
              <w:spacing w:before="0"/>
              <w:jc w:val="center"/>
              <w:rPr>
                <w:sz w:val="16"/>
                <w:szCs w:val="16"/>
              </w:rPr>
            </w:pPr>
            <w:r w:rsidRPr="00547C63">
              <w:rPr>
                <w:sz w:val="16"/>
                <w:szCs w:val="16"/>
              </w:rPr>
              <w:t>132</w:t>
            </w:r>
            <w:r w:rsidR="00B47F52">
              <w:rPr>
                <w:sz w:val="16"/>
                <w:szCs w:val="16"/>
              </w:rPr>
              <w:t xml:space="preserve"> </w:t>
            </w:r>
            <w:r w:rsidR="000636C3" w:rsidRPr="00547C63">
              <w:rPr>
                <w:sz w:val="16"/>
                <w:szCs w:val="16"/>
              </w:rPr>
              <w:t>[</w:t>
            </w:r>
            <w:r w:rsidR="00B47F52">
              <w:rPr>
                <w:sz w:val="16"/>
                <w:szCs w:val="16"/>
              </w:rPr>
              <w:t>80, 332</w:t>
            </w:r>
            <w:r w:rsidR="000636C3" w:rsidRPr="00547C63">
              <w:rPr>
                <w:sz w:val="16"/>
                <w:szCs w:val="16"/>
              </w:rPr>
              <w:t>]</w:t>
            </w:r>
          </w:p>
        </w:tc>
        <w:tc>
          <w:tcPr>
            <w:tcW w:w="659" w:type="dxa"/>
            <w:noWrap/>
            <w:vAlign w:val="center"/>
            <w:hideMark/>
          </w:tcPr>
          <w:p w14:paraId="4A7D3A14" w14:textId="77777777" w:rsidR="000636C3" w:rsidRPr="00547C63" w:rsidRDefault="008450B9" w:rsidP="008450B9">
            <w:pPr>
              <w:spacing w:before="0"/>
              <w:jc w:val="right"/>
              <w:rPr>
                <w:sz w:val="16"/>
                <w:szCs w:val="16"/>
              </w:rPr>
            </w:pPr>
            <w:r w:rsidRPr="008450B9">
              <w:rPr>
                <w:sz w:val="16"/>
                <w:szCs w:val="16"/>
              </w:rPr>
              <w:t>0.</w:t>
            </w:r>
            <w:r>
              <w:rPr>
                <w:sz w:val="16"/>
                <w:szCs w:val="16"/>
              </w:rPr>
              <w:t>017</w:t>
            </w:r>
          </w:p>
        </w:tc>
        <w:tc>
          <w:tcPr>
            <w:tcW w:w="1249" w:type="dxa"/>
            <w:noWrap/>
            <w:vAlign w:val="center"/>
            <w:hideMark/>
          </w:tcPr>
          <w:p w14:paraId="4129FD8A" w14:textId="77777777" w:rsidR="000636C3" w:rsidRPr="00547C63" w:rsidRDefault="000636C3" w:rsidP="00B47F52">
            <w:pPr>
              <w:spacing w:before="0"/>
              <w:jc w:val="center"/>
              <w:rPr>
                <w:sz w:val="16"/>
                <w:szCs w:val="16"/>
              </w:rPr>
            </w:pPr>
            <w:r w:rsidRPr="00547C63">
              <w:rPr>
                <w:sz w:val="16"/>
                <w:szCs w:val="16"/>
              </w:rPr>
              <w:t>468</w:t>
            </w:r>
            <w:r w:rsidR="00B47F52">
              <w:rPr>
                <w:sz w:val="16"/>
                <w:szCs w:val="16"/>
              </w:rPr>
              <w:t xml:space="preserve"> </w:t>
            </w:r>
            <w:r w:rsidRPr="00547C63">
              <w:rPr>
                <w:sz w:val="16"/>
                <w:szCs w:val="16"/>
              </w:rPr>
              <w:t>[216, 1340]</w:t>
            </w:r>
          </w:p>
        </w:tc>
        <w:tc>
          <w:tcPr>
            <w:tcW w:w="1348" w:type="dxa"/>
            <w:noWrap/>
            <w:vAlign w:val="center"/>
            <w:hideMark/>
          </w:tcPr>
          <w:p w14:paraId="02F05CAC" w14:textId="77777777" w:rsidR="000636C3" w:rsidRPr="00547C63" w:rsidRDefault="00396B6C" w:rsidP="00396B6C">
            <w:pPr>
              <w:spacing w:before="0"/>
              <w:jc w:val="center"/>
              <w:rPr>
                <w:sz w:val="16"/>
                <w:szCs w:val="16"/>
              </w:rPr>
            </w:pPr>
            <w:r>
              <w:rPr>
                <w:sz w:val="16"/>
                <w:szCs w:val="16"/>
              </w:rPr>
              <w:t>63</w:t>
            </w:r>
            <w:r w:rsidR="00B47F52">
              <w:rPr>
                <w:sz w:val="16"/>
                <w:szCs w:val="16"/>
              </w:rPr>
              <w:t xml:space="preserve"> </w:t>
            </w:r>
            <w:r w:rsidR="000636C3" w:rsidRPr="00547C63">
              <w:rPr>
                <w:sz w:val="16"/>
                <w:szCs w:val="16"/>
              </w:rPr>
              <w:t>[14</w:t>
            </w:r>
            <w:r>
              <w:rPr>
                <w:sz w:val="16"/>
                <w:szCs w:val="16"/>
              </w:rPr>
              <w:t>, 155</w:t>
            </w:r>
            <w:r w:rsidR="000636C3" w:rsidRPr="00547C63">
              <w:rPr>
                <w:sz w:val="16"/>
                <w:szCs w:val="16"/>
              </w:rPr>
              <w:t>]</w:t>
            </w:r>
          </w:p>
        </w:tc>
        <w:tc>
          <w:tcPr>
            <w:tcW w:w="659" w:type="dxa"/>
            <w:noWrap/>
            <w:vAlign w:val="center"/>
            <w:hideMark/>
          </w:tcPr>
          <w:p w14:paraId="5A1FD52D" w14:textId="77777777" w:rsidR="000636C3" w:rsidRPr="00547C63" w:rsidRDefault="008450B9" w:rsidP="00547C63">
            <w:pPr>
              <w:spacing w:before="0"/>
              <w:jc w:val="right"/>
              <w:rPr>
                <w:sz w:val="16"/>
                <w:szCs w:val="16"/>
              </w:rPr>
            </w:pPr>
            <w:r w:rsidRPr="00547C63">
              <w:rPr>
                <w:sz w:val="16"/>
                <w:szCs w:val="16"/>
              </w:rPr>
              <w:t>&lt;0.001</w:t>
            </w:r>
          </w:p>
        </w:tc>
        <w:tc>
          <w:tcPr>
            <w:tcW w:w="659" w:type="dxa"/>
            <w:noWrap/>
            <w:vAlign w:val="center"/>
            <w:hideMark/>
          </w:tcPr>
          <w:p w14:paraId="1241FD03" w14:textId="77777777" w:rsidR="000636C3" w:rsidRPr="00547C63" w:rsidRDefault="000636C3" w:rsidP="00547C63">
            <w:pPr>
              <w:spacing w:before="0"/>
              <w:jc w:val="right"/>
              <w:rPr>
                <w:sz w:val="16"/>
                <w:szCs w:val="16"/>
              </w:rPr>
            </w:pPr>
            <w:r w:rsidRPr="00547C63">
              <w:rPr>
                <w:sz w:val="16"/>
                <w:szCs w:val="16"/>
              </w:rPr>
              <w:t>&lt;0.001</w:t>
            </w:r>
          </w:p>
        </w:tc>
      </w:tr>
    </w:tbl>
    <w:p w14:paraId="36E33448" w14:textId="77777777" w:rsidR="00CE3502" w:rsidRDefault="00CE3502" w:rsidP="00A83824">
      <w:pPr>
        <w:spacing w:before="0"/>
      </w:pPr>
    </w:p>
    <w:p w14:paraId="45599050" w14:textId="77777777" w:rsidR="00CF4A2C" w:rsidRDefault="00117DCC" w:rsidP="00A83824">
      <w:pPr>
        <w:spacing w:before="0"/>
      </w:pPr>
      <w:r>
        <w:t xml:space="preserve">Patient population characteristics are reported as mean </w:t>
      </w:r>
      <w:r>
        <w:rPr>
          <w:rFonts w:cstheme="minorHAnsi"/>
        </w:rPr>
        <w:t>±</w:t>
      </w:r>
      <w:r>
        <w:t xml:space="preserve"> standard deviation or percentages. For continuous variables, analysis of variance was used to calculate p-values for group differences. For categorical variables, Fisher’s exact test was used to calculate p-values for group differences.</w:t>
      </w:r>
    </w:p>
    <w:p w14:paraId="2EBA726B" w14:textId="77777777" w:rsidR="000F5C4B" w:rsidRDefault="000F5C4B" w:rsidP="00A83824">
      <w:pPr>
        <w:spacing w:before="0"/>
        <w:sectPr w:rsidR="000F5C4B" w:rsidSect="00A935F4">
          <w:pgSz w:w="15840" w:h="12240" w:orient="landscape"/>
          <w:pgMar w:top="1440" w:right="1440" w:bottom="1440" w:left="1440" w:header="720" w:footer="720" w:gutter="0"/>
          <w:cols w:space="720"/>
          <w:docGrid w:linePitch="360"/>
        </w:sectPr>
      </w:pPr>
    </w:p>
    <w:p w14:paraId="180224F5" w14:textId="77777777" w:rsidR="004E3C9F" w:rsidRDefault="004E3C9F">
      <w:r w:rsidRPr="004E3C9F">
        <w:rPr>
          <w:b/>
        </w:rPr>
        <w:lastRenderedPageBreak/>
        <w:t>Table 2.</w:t>
      </w:r>
      <w:r w:rsidRPr="004E3C9F">
        <w:t xml:space="preserve"> WGCNA</w:t>
      </w:r>
      <w:r w:rsidR="00556CD0">
        <w:t xml:space="preserve"> modules and their</w:t>
      </w:r>
      <w:r>
        <w:t xml:space="preserve"> biological </w:t>
      </w:r>
      <w:r w:rsidR="00556CD0">
        <w:t>significance</w:t>
      </w:r>
      <w:r>
        <w:t>.</w:t>
      </w:r>
    </w:p>
    <w:tbl>
      <w:tblPr>
        <w:tblW w:w="88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1160"/>
        <w:gridCol w:w="4939"/>
        <w:gridCol w:w="1199"/>
      </w:tblGrid>
      <w:tr w:rsidR="00147FED" w:rsidRPr="004E3C9F" w14:paraId="698AD14A" w14:textId="77777777" w:rsidTr="00333E7A">
        <w:trPr>
          <w:trHeight w:val="288"/>
        </w:trPr>
        <w:tc>
          <w:tcPr>
            <w:tcW w:w="1588" w:type="dxa"/>
            <w:shd w:val="clear" w:color="auto" w:fill="BFBFBF" w:themeFill="background1" w:themeFillShade="BF"/>
            <w:noWrap/>
            <w:vAlign w:val="bottom"/>
            <w:hideMark/>
          </w:tcPr>
          <w:p w14:paraId="255080F4" w14:textId="77777777" w:rsidR="00147FED" w:rsidRPr="00556CD0" w:rsidRDefault="00147FED" w:rsidP="007F0820">
            <w:pPr>
              <w:spacing w:before="0" w:after="0" w:line="240" w:lineRule="auto"/>
              <w:jc w:val="center"/>
              <w:rPr>
                <w:rFonts w:ascii="Calibri" w:eastAsia="Times New Roman" w:hAnsi="Calibri" w:cs="Calibri"/>
                <w:b/>
                <w:color w:val="000000"/>
                <w:lang w:bidi="ar-SA"/>
              </w:rPr>
            </w:pPr>
            <w:r w:rsidRPr="00556CD0">
              <w:rPr>
                <w:rFonts w:ascii="Calibri" w:eastAsia="Times New Roman" w:hAnsi="Calibri" w:cs="Calibri"/>
                <w:b/>
                <w:color w:val="000000"/>
                <w:lang w:bidi="ar-SA"/>
              </w:rPr>
              <w:t>Module</w:t>
            </w:r>
          </w:p>
        </w:tc>
        <w:tc>
          <w:tcPr>
            <w:tcW w:w="1160" w:type="dxa"/>
            <w:shd w:val="clear" w:color="auto" w:fill="BFBFBF" w:themeFill="background1" w:themeFillShade="BF"/>
            <w:noWrap/>
            <w:vAlign w:val="bottom"/>
            <w:hideMark/>
          </w:tcPr>
          <w:p w14:paraId="1C6FE217" w14:textId="77777777" w:rsidR="00147FED" w:rsidRPr="00556CD0" w:rsidRDefault="00147FED" w:rsidP="007F0820">
            <w:pPr>
              <w:spacing w:before="0" w:after="0" w:line="240" w:lineRule="auto"/>
              <w:jc w:val="center"/>
              <w:rPr>
                <w:rFonts w:ascii="Calibri" w:eastAsia="Times New Roman" w:hAnsi="Calibri" w:cs="Calibri"/>
                <w:b/>
                <w:color w:val="000000"/>
                <w:lang w:bidi="ar-SA"/>
              </w:rPr>
            </w:pPr>
            <w:r w:rsidRPr="00556CD0">
              <w:rPr>
                <w:rFonts w:ascii="Calibri" w:eastAsia="Times New Roman" w:hAnsi="Calibri" w:cs="Calibri"/>
                <w:b/>
                <w:color w:val="000000"/>
                <w:lang w:bidi="ar-SA"/>
              </w:rPr>
              <w:t># of genes</w:t>
            </w:r>
          </w:p>
        </w:tc>
        <w:tc>
          <w:tcPr>
            <w:tcW w:w="4939" w:type="dxa"/>
            <w:shd w:val="clear" w:color="auto" w:fill="BFBFBF" w:themeFill="background1" w:themeFillShade="BF"/>
            <w:vAlign w:val="bottom"/>
          </w:tcPr>
          <w:p w14:paraId="0B4150D8" w14:textId="77777777" w:rsidR="00147FED" w:rsidRPr="00556CD0" w:rsidRDefault="00147FED" w:rsidP="007F0820">
            <w:pPr>
              <w:spacing w:before="0" w:after="0" w:line="240" w:lineRule="auto"/>
              <w:jc w:val="center"/>
              <w:rPr>
                <w:rFonts w:ascii="Calibri" w:eastAsia="Times New Roman" w:hAnsi="Calibri" w:cs="Calibri"/>
                <w:b/>
                <w:color w:val="000000"/>
                <w:lang w:bidi="ar-SA"/>
              </w:rPr>
            </w:pPr>
            <w:r>
              <w:rPr>
                <w:rFonts w:ascii="Calibri" w:eastAsia="Times New Roman" w:hAnsi="Calibri" w:cs="Calibri"/>
                <w:b/>
                <w:color w:val="000000"/>
                <w:lang w:bidi="ar-SA"/>
              </w:rPr>
              <w:t>Blood Transcriptome Module</w:t>
            </w:r>
          </w:p>
        </w:tc>
        <w:tc>
          <w:tcPr>
            <w:tcW w:w="1199" w:type="dxa"/>
            <w:shd w:val="clear" w:color="auto" w:fill="BFBFBF" w:themeFill="background1" w:themeFillShade="BF"/>
          </w:tcPr>
          <w:p w14:paraId="63C722B1" w14:textId="77777777" w:rsidR="00147FED" w:rsidRPr="00556CD0" w:rsidRDefault="00CF1722" w:rsidP="007F0820">
            <w:pPr>
              <w:spacing w:before="0" w:after="0" w:line="240" w:lineRule="auto"/>
              <w:jc w:val="center"/>
              <w:rPr>
                <w:rFonts w:ascii="Calibri" w:eastAsia="Times New Roman" w:hAnsi="Calibri" w:cs="Calibri"/>
                <w:b/>
                <w:color w:val="000000"/>
                <w:lang w:bidi="ar-SA"/>
              </w:rPr>
            </w:pPr>
            <w:r>
              <w:rPr>
                <w:rFonts w:ascii="Calibri" w:eastAsia="Times New Roman" w:hAnsi="Calibri" w:cs="Calibri"/>
                <w:b/>
                <w:color w:val="000000"/>
                <w:lang w:bidi="ar-SA"/>
              </w:rPr>
              <w:t>FDR</w:t>
            </w:r>
          </w:p>
        </w:tc>
      </w:tr>
      <w:tr w:rsidR="00CF1722" w:rsidRPr="00451AE4" w14:paraId="7F637A6B"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C00CB"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black</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7175B"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324</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5E17CCF5" w14:textId="77777777" w:rsidR="00CF1722" w:rsidRPr="00451AE4" w:rsidRDefault="00CF1722" w:rsidP="00CF1722">
            <w:pPr>
              <w:spacing w:before="0" w:after="0" w:line="240" w:lineRule="auto"/>
              <w:rPr>
                <w:rFonts w:ascii="Calibri" w:eastAsia="Times New Roman" w:hAnsi="Calibri" w:cs="Calibri"/>
                <w:color w:val="000000"/>
                <w:lang w:bidi="ar-SA"/>
              </w:rPr>
            </w:pPr>
            <w:r w:rsidRPr="008B49E5">
              <w:t>enriched in cell cycle (M167)</w:t>
            </w:r>
          </w:p>
        </w:tc>
        <w:tc>
          <w:tcPr>
            <w:tcW w:w="1199" w:type="dxa"/>
            <w:tcBorders>
              <w:top w:val="single" w:sz="4" w:space="0" w:color="auto"/>
              <w:left w:val="single" w:sz="4" w:space="0" w:color="auto"/>
              <w:bottom w:val="single" w:sz="4" w:space="0" w:color="auto"/>
              <w:right w:val="single" w:sz="4" w:space="0" w:color="auto"/>
            </w:tcBorders>
          </w:tcPr>
          <w:p w14:paraId="521EB71B"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8B49E5">
              <w:t>6.9</w:t>
            </w:r>
            <w:r w:rsidR="00A935F4">
              <w:t>5</w:t>
            </w:r>
            <w:r w:rsidRPr="008B49E5">
              <w:t>E-05</w:t>
            </w:r>
          </w:p>
        </w:tc>
      </w:tr>
      <w:tr w:rsidR="00CF1722" w:rsidRPr="00451AE4" w14:paraId="6E2CDEE7"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C657E"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blue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E47BF"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1416</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56035456" w14:textId="77777777" w:rsidR="00CF1722" w:rsidRPr="00451AE4" w:rsidRDefault="00CF1722" w:rsidP="00CF1722">
            <w:pPr>
              <w:spacing w:before="0" w:after="0" w:line="240" w:lineRule="auto"/>
              <w:rPr>
                <w:rFonts w:ascii="Calibri" w:eastAsia="Times New Roman" w:hAnsi="Calibri" w:cs="Calibri"/>
                <w:color w:val="000000"/>
                <w:lang w:bidi="ar-SA"/>
              </w:rPr>
            </w:pPr>
            <w:r w:rsidRPr="004E785A">
              <w:t>translation initiation (M227)</w:t>
            </w:r>
          </w:p>
        </w:tc>
        <w:tc>
          <w:tcPr>
            <w:tcW w:w="1199" w:type="dxa"/>
            <w:tcBorders>
              <w:top w:val="single" w:sz="4" w:space="0" w:color="auto"/>
              <w:left w:val="single" w:sz="4" w:space="0" w:color="auto"/>
              <w:bottom w:val="single" w:sz="4" w:space="0" w:color="auto"/>
              <w:right w:val="single" w:sz="4" w:space="0" w:color="auto"/>
            </w:tcBorders>
          </w:tcPr>
          <w:p w14:paraId="58C73AF0"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4E785A">
              <w:t>3.20E-06</w:t>
            </w:r>
          </w:p>
        </w:tc>
      </w:tr>
      <w:tr w:rsidR="00CF1722" w:rsidRPr="00451AE4" w14:paraId="5EB936D5"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03C54"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brown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73875"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578</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4BCDC774"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enriched in monocytes (II) (M11.0)</w:t>
            </w:r>
          </w:p>
        </w:tc>
        <w:tc>
          <w:tcPr>
            <w:tcW w:w="1199" w:type="dxa"/>
            <w:tcBorders>
              <w:top w:val="single" w:sz="4" w:space="0" w:color="auto"/>
              <w:left w:val="single" w:sz="4" w:space="0" w:color="auto"/>
              <w:bottom w:val="single" w:sz="4" w:space="0" w:color="auto"/>
              <w:right w:val="single" w:sz="4" w:space="0" w:color="auto"/>
            </w:tcBorders>
          </w:tcPr>
          <w:p w14:paraId="30699D03"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3.95E-20</w:t>
            </w:r>
          </w:p>
        </w:tc>
      </w:tr>
      <w:tr w:rsidR="00CF1722" w:rsidRPr="00451AE4" w14:paraId="257AF07E"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972CF"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cyan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6121F"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169</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1D61D51B"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enriched in NK cells (I) (M7.2)</w:t>
            </w:r>
          </w:p>
        </w:tc>
        <w:tc>
          <w:tcPr>
            <w:tcW w:w="1199" w:type="dxa"/>
            <w:tcBorders>
              <w:top w:val="single" w:sz="4" w:space="0" w:color="auto"/>
              <w:left w:val="single" w:sz="4" w:space="0" w:color="auto"/>
              <w:bottom w:val="single" w:sz="4" w:space="0" w:color="auto"/>
              <w:right w:val="single" w:sz="4" w:space="0" w:color="auto"/>
            </w:tcBorders>
          </w:tcPr>
          <w:p w14:paraId="4D392CDD"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6.97E-36</w:t>
            </w:r>
          </w:p>
        </w:tc>
      </w:tr>
      <w:tr w:rsidR="00CF1722" w:rsidRPr="00451AE4" w14:paraId="236E9F3F"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8D79A"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darkgreen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43A3C"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97</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2DDB036A"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platelet activation - actin binding (M196)</w:t>
            </w:r>
          </w:p>
        </w:tc>
        <w:tc>
          <w:tcPr>
            <w:tcW w:w="1199" w:type="dxa"/>
            <w:tcBorders>
              <w:top w:val="single" w:sz="4" w:space="0" w:color="auto"/>
              <w:left w:val="single" w:sz="4" w:space="0" w:color="auto"/>
              <w:bottom w:val="single" w:sz="4" w:space="0" w:color="auto"/>
              <w:right w:val="single" w:sz="4" w:space="0" w:color="auto"/>
            </w:tcBorders>
          </w:tcPr>
          <w:p w14:paraId="461EB766"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3.30E-25</w:t>
            </w:r>
          </w:p>
        </w:tc>
      </w:tr>
      <w:tr w:rsidR="00CF1722" w:rsidRPr="00451AE4" w14:paraId="748F0252"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FE989"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darkred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08B5"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109</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0DCDDCBA"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enriched in B cells (I) (M47.0)</w:t>
            </w:r>
          </w:p>
        </w:tc>
        <w:tc>
          <w:tcPr>
            <w:tcW w:w="1199" w:type="dxa"/>
            <w:tcBorders>
              <w:top w:val="single" w:sz="4" w:space="0" w:color="auto"/>
              <w:left w:val="single" w:sz="4" w:space="0" w:color="auto"/>
              <w:bottom w:val="single" w:sz="4" w:space="0" w:color="auto"/>
              <w:right w:val="single" w:sz="4" w:space="0" w:color="auto"/>
            </w:tcBorders>
          </w:tcPr>
          <w:p w14:paraId="2D997E4C"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4.01E-90</w:t>
            </w:r>
          </w:p>
        </w:tc>
      </w:tr>
      <w:tr w:rsidR="00CF1722" w:rsidRPr="00451AE4" w14:paraId="1CC2FF14"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90664"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darkturquoise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6F4E2"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56</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61FD51AC" w14:textId="77777777" w:rsidR="00CF1722" w:rsidRPr="00451AE4" w:rsidRDefault="00CF1722" w:rsidP="00CF1722">
            <w:pPr>
              <w:spacing w:before="0" w:after="0" w:line="240" w:lineRule="auto"/>
              <w:rPr>
                <w:rFonts w:ascii="Calibri" w:eastAsia="Times New Roman" w:hAnsi="Calibri" w:cs="Calibri"/>
                <w:color w:val="000000"/>
                <w:lang w:bidi="ar-SA"/>
              </w:rPr>
            </w:pPr>
            <w:r>
              <w:t>N/A</w:t>
            </w:r>
          </w:p>
        </w:tc>
        <w:tc>
          <w:tcPr>
            <w:tcW w:w="1199" w:type="dxa"/>
            <w:tcBorders>
              <w:top w:val="single" w:sz="4" w:space="0" w:color="auto"/>
              <w:left w:val="single" w:sz="4" w:space="0" w:color="auto"/>
              <w:bottom w:val="single" w:sz="4" w:space="0" w:color="auto"/>
              <w:right w:val="single" w:sz="4" w:space="0" w:color="auto"/>
            </w:tcBorders>
          </w:tcPr>
          <w:p w14:paraId="4E332FF1"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t>N/A</w:t>
            </w:r>
          </w:p>
        </w:tc>
      </w:tr>
      <w:tr w:rsidR="00CF1722" w:rsidRPr="00451AE4" w14:paraId="55C1607E"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06386" w14:textId="77777777" w:rsidR="00CF1722" w:rsidRPr="00534815" w:rsidRDefault="00CF1722" w:rsidP="00CF1722">
            <w:pPr>
              <w:spacing w:before="0" w:after="0" w:line="240" w:lineRule="auto"/>
              <w:rPr>
                <w:rFonts w:ascii="Calibri" w:eastAsia="Times New Roman" w:hAnsi="Calibri" w:cs="Calibri"/>
                <w:b/>
                <w:color w:val="000000"/>
                <w:lang w:bidi="ar-SA"/>
              </w:rPr>
            </w:pPr>
            <w:r w:rsidRPr="00534815">
              <w:rPr>
                <w:rFonts w:ascii="Calibri" w:eastAsia="Times New Roman" w:hAnsi="Calibri" w:cs="Calibri"/>
                <w:b/>
                <w:color w:val="000000"/>
                <w:lang w:bidi="ar-SA"/>
              </w:rPr>
              <w:t>green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713E7" w14:textId="77777777" w:rsidR="00CF1722" w:rsidRPr="00534815" w:rsidRDefault="00CF1722" w:rsidP="00CF1722">
            <w:pPr>
              <w:spacing w:before="0" w:after="0" w:line="240" w:lineRule="auto"/>
              <w:jc w:val="center"/>
              <w:rPr>
                <w:rFonts w:ascii="Calibri" w:eastAsia="Times New Roman" w:hAnsi="Calibri" w:cs="Calibri"/>
                <w:b/>
                <w:color w:val="000000"/>
                <w:lang w:bidi="ar-SA"/>
              </w:rPr>
            </w:pPr>
            <w:r w:rsidRPr="00534815">
              <w:rPr>
                <w:rFonts w:ascii="Calibri" w:eastAsia="Times New Roman" w:hAnsi="Calibri" w:cs="Calibri"/>
                <w:b/>
                <w:color w:val="000000"/>
                <w:lang w:bidi="ar-SA"/>
              </w:rPr>
              <w:t>421</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14834117" w14:textId="77777777" w:rsidR="00CF1722" w:rsidRPr="00534815" w:rsidRDefault="00CF1722" w:rsidP="00CF1722">
            <w:pPr>
              <w:spacing w:before="0" w:after="0" w:line="240" w:lineRule="auto"/>
              <w:rPr>
                <w:rFonts w:ascii="Calibri" w:eastAsia="Times New Roman" w:hAnsi="Calibri" w:cs="Calibri"/>
                <w:b/>
                <w:color w:val="000000"/>
                <w:lang w:bidi="ar-SA"/>
              </w:rPr>
            </w:pPr>
            <w:r w:rsidRPr="00534815">
              <w:rPr>
                <w:b/>
              </w:rPr>
              <w:t>mitochondrial cluster (M235)</w:t>
            </w:r>
          </w:p>
        </w:tc>
        <w:tc>
          <w:tcPr>
            <w:tcW w:w="1199" w:type="dxa"/>
            <w:tcBorders>
              <w:top w:val="single" w:sz="4" w:space="0" w:color="auto"/>
              <w:left w:val="single" w:sz="4" w:space="0" w:color="auto"/>
              <w:bottom w:val="single" w:sz="4" w:space="0" w:color="auto"/>
              <w:right w:val="single" w:sz="4" w:space="0" w:color="auto"/>
            </w:tcBorders>
          </w:tcPr>
          <w:p w14:paraId="0A64BD5D" w14:textId="77777777" w:rsidR="00CF1722" w:rsidRPr="00534815" w:rsidRDefault="00CF1722" w:rsidP="00534815">
            <w:pPr>
              <w:spacing w:before="0" w:after="0" w:line="240" w:lineRule="auto"/>
              <w:jc w:val="right"/>
              <w:rPr>
                <w:rFonts w:ascii="Calibri" w:eastAsia="Times New Roman" w:hAnsi="Calibri" w:cs="Calibri"/>
                <w:b/>
                <w:color w:val="000000"/>
                <w:lang w:bidi="ar-SA"/>
              </w:rPr>
            </w:pPr>
            <w:r w:rsidRPr="00534815">
              <w:rPr>
                <w:b/>
              </w:rPr>
              <w:t>1.07E-03</w:t>
            </w:r>
          </w:p>
        </w:tc>
      </w:tr>
      <w:tr w:rsidR="00CF1722" w:rsidRPr="00451AE4" w14:paraId="57FBBDA9"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F9517"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greenyellow</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792F5"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254</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003DA7BC"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regulation of transcription, transcription factors (M213)</w:t>
            </w:r>
          </w:p>
        </w:tc>
        <w:tc>
          <w:tcPr>
            <w:tcW w:w="1199" w:type="dxa"/>
            <w:tcBorders>
              <w:top w:val="single" w:sz="4" w:space="0" w:color="auto"/>
              <w:left w:val="single" w:sz="4" w:space="0" w:color="auto"/>
              <w:bottom w:val="single" w:sz="4" w:space="0" w:color="auto"/>
              <w:right w:val="single" w:sz="4" w:space="0" w:color="auto"/>
            </w:tcBorders>
          </w:tcPr>
          <w:p w14:paraId="58588BE5"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1.09E-03</w:t>
            </w:r>
          </w:p>
        </w:tc>
      </w:tr>
      <w:tr w:rsidR="00CF1722" w:rsidRPr="00451AE4" w14:paraId="3B36A8A3"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7F314"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grey60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53BAE"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148</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446F4DF7"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immune activation - generic cluster (M37.0)</w:t>
            </w:r>
          </w:p>
        </w:tc>
        <w:tc>
          <w:tcPr>
            <w:tcW w:w="1199" w:type="dxa"/>
            <w:tcBorders>
              <w:top w:val="single" w:sz="4" w:space="0" w:color="auto"/>
              <w:left w:val="single" w:sz="4" w:space="0" w:color="auto"/>
              <w:bottom w:val="single" w:sz="4" w:space="0" w:color="auto"/>
              <w:right w:val="single" w:sz="4" w:space="0" w:color="auto"/>
            </w:tcBorders>
          </w:tcPr>
          <w:p w14:paraId="7D0EC8B4"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1.57E-08</w:t>
            </w:r>
          </w:p>
        </w:tc>
      </w:tr>
      <w:tr w:rsidR="00CF1722" w:rsidRPr="00451AE4" w14:paraId="5718974C"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049CF" w14:textId="77777777" w:rsidR="00CF1722" w:rsidRPr="00534815" w:rsidRDefault="00A305FF" w:rsidP="00CF1722">
            <w:pPr>
              <w:spacing w:before="0" w:after="0" w:line="240" w:lineRule="auto"/>
              <w:rPr>
                <w:rFonts w:ascii="Calibri" w:eastAsia="Times New Roman" w:hAnsi="Calibri" w:cs="Calibri"/>
                <w:b/>
                <w:color w:val="000000"/>
                <w:lang w:bidi="ar-SA"/>
              </w:rPr>
            </w:pPr>
            <w:r>
              <w:rPr>
                <w:rFonts w:ascii="Calibri" w:eastAsia="Times New Roman" w:hAnsi="Calibri" w:cs="Calibri"/>
                <w:b/>
                <w:color w:val="000000"/>
                <w:lang w:bidi="ar-SA"/>
              </w:rPr>
              <w:t>light-cyan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C66D0" w14:textId="77777777" w:rsidR="00CF1722" w:rsidRPr="00534815" w:rsidRDefault="00CF1722" w:rsidP="00CF1722">
            <w:pPr>
              <w:spacing w:before="0" w:after="0" w:line="240" w:lineRule="auto"/>
              <w:jc w:val="center"/>
              <w:rPr>
                <w:rFonts w:ascii="Calibri" w:eastAsia="Times New Roman" w:hAnsi="Calibri" w:cs="Calibri"/>
                <w:b/>
                <w:color w:val="000000"/>
                <w:lang w:bidi="ar-SA"/>
              </w:rPr>
            </w:pPr>
            <w:r w:rsidRPr="00534815">
              <w:rPr>
                <w:rFonts w:ascii="Calibri" w:eastAsia="Times New Roman" w:hAnsi="Calibri" w:cs="Calibri"/>
                <w:b/>
                <w:color w:val="000000"/>
                <w:lang w:bidi="ar-SA"/>
              </w:rPr>
              <w:t>149</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21110086" w14:textId="77777777" w:rsidR="00CF1722" w:rsidRPr="00534815" w:rsidRDefault="00CF1722" w:rsidP="00CF1722">
            <w:pPr>
              <w:spacing w:before="0" w:after="0" w:line="240" w:lineRule="auto"/>
              <w:rPr>
                <w:rFonts w:ascii="Calibri" w:eastAsia="Times New Roman" w:hAnsi="Calibri" w:cs="Calibri"/>
                <w:b/>
                <w:color w:val="000000"/>
                <w:lang w:bidi="ar-SA"/>
              </w:rPr>
            </w:pPr>
            <w:r w:rsidRPr="00534815">
              <w:rPr>
                <w:b/>
              </w:rPr>
              <w:t>T cell differentiation (M14)</w:t>
            </w:r>
          </w:p>
        </w:tc>
        <w:tc>
          <w:tcPr>
            <w:tcW w:w="1199" w:type="dxa"/>
            <w:tcBorders>
              <w:top w:val="single" w:sz="4" w:space="0" w:color="auto"/>
              <w:left w:val="single" w:sz="4" w:space="0" w:color="auto"/>
              <w:bottom w:val="single" w:sz="4" w:space="0" w:color="auto"/>
              <w:right w:val="single" w:sz="4" w:space="0" w:color="auto"/>
            </w:tcBorders>
          </w:tcPr>
          <w:p w14:paraId="244DC8AF" w14:textId="77777777" w:rsidR="00CF1722" w:rsidRPr="00534815" w:rsidRDefault="00CF1722" w:rsidP="00534815">
            <w:pPr>
              <w:spacing w:before="0" w:after="0" w:line="240" w:lineRule="auto"/>
              <w:jc w:val="right"/>
              <w:rPr>
                <w:rFonts w:ascii="Calibri" w:eastAsia="Times New Roman" w:hAnsi="Calibri" w:cs="Calibri"/>
                <w:b/>
                <w:color w:val="000000"/>
                <w:lang w:bidi="ar-SA"/>
              </w:rPr>
            </w:pPr>
            <w:r w:rsidRPr="00534815">
              <w:rPr>
                <w:b/>
              </w:rPr>
              <w:t>3.45E-17</w:t>
            </w:r>
          </w:p>
        </w:tc>
      </w:tr>
      <w:tr w:rsidR="00CF1722" w:rsidRPr="00451AE4" w14:paraId="2465553C"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12183" w14:textId="77777777" w:rsidR="00CF1722" w:rsidRPr="00451AE4" w:rsidRDefault="00DA5591" w:rsidP="00CF1722">
            <w:pPr>
              <w:spacing w:before="0" w:after="0" w:line="240" w:lineRule="auto"/>
              <w:rPr>
                <w:rFonts w:ascii="Calibri" w:eastAsia="Times New Roman" w:hAnsi="Calibri" w:cs="Calibri"/>
                <w:color w:val="000000"/>
                <w:lang w:bidi="ar-SA"/>
              </w:rPr>
            </w:pPr>
            <w:r>
              <w:rPr>
                <w:rFonts w:ascii="Calibri" w:eastAsia="Times New Roman" w:hAnsi="Calibri" w:cs="Calibri"/>
                <w:color w:val="000000"/>
                <w:lang w:bidi="ar-SA"/>
              </w:rPr>
              <w:t>l</w:t>
            </w:r>
            <w:r w:rsidR="00CF1722" w:rsidRPr="00451AE4">
              <w:rPr>
                <w:rFonts w:ascii="Calibri" w:eastAsia="Times New Roman" w:hAnsi="Calibri" w:cs="Calibri"/>
                <w:color w:val="000000"/>
                <w:lang w:bidi="ar-SA"/>
              </w:rPr>
              <w:t>ight</w:t>
            </w:r>
            <w:r>
              <w:rPr>
                <w:rFonts w:ascii="Calibri" w:eastAsia="Times New Roman" w:hAnsi="Calibri" w:cs="Calibri"/>
                <w:color w:val="000000"/>
                <w:lang w:bidi="ar-SA"/>
              </w:rPr>
              <w:t>-</w:t>
            </w:r>
            <w:r w:rsidR="00CF1722" w:rsidRPr="00451AE4">
              <w:rPr>
                <w:rFonts w:ascii="Calibri" w:eastAsia="Times New Roman" w:hAnsi="Calibri" w:cs="Calibri"/>
                <w:color w:val="000000"/>
                <w:lang w:bidi="ar-SA"/>
              </w:rPr>
              <w:t>green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F95CD"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145</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16C2B2F1"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enriched in neutrophils (I) (M37.1)</w:t>
            </w:r>
          </w:p>
        </w:tc>
        <w:tc>
          <w:tcPr>
            <w:tcW w:w="1199" w:type="dxa"/>
            <w:tcBorders>
              <w:top w:val="single" w:sz="4" w:space="0" w:color="auto"/>
              <w:left w:val="single" w:sz="4" w:space="0" w:color="auto"/>
              <w:bottom w:val="single" w:sz="4" w:space="0" w:color="auto"/>
              <w:right w:val="single" w:sz="4" w:space="0" w:color="auto"/>
            </w:tcBorders>
          </w:tcPr>
          <w:p w14:paraId="46577662"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1.01E-36</w:t>
            </w:r>
          </w:p>
        </w:tc>
      </w:tr>
      <w:tr w:rsidR="00CF1722" w:rsidRPr="00451AE4" w14:paraId="4DF31239"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3AB26"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light</w:t>
            </w:r>
            <w:r w:rsidR="00DA5591">
              <w:rPr>
                <w:rFonts w:ascii="Calibri" w:eastAsia="Times New Roman" w:hAnsi="Calibri" w:cs="Calibri"/>
                <w:color w:val="000000"/>
                <w:lang w:bidi="ar-SA"/>
              </w:rPr>
              <w:t>-</w:t>
            </w:r>
            <w:r w:rsidRPr="00451AE4">
              <w:rPr>
                <w:rFonts w:ascii="Calibri" w:eastAsia="Times New Roman" w:hAnsi="Calibri" w:cs="Calibri"/>
                <w:color w:val="000000"/>
                <w:lang w:bidi="ar-SA"/>
              </w:rPr>
              <w:t>yellow</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9AE29"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142</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31AB6789"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enriched in monocytes (IV) (M118.0)</w:t>
            </w:r>
          </w:p>
        </w:tc>
        <w:tc>
          <w:tcPr>
            <w:tcW w:w="1199" w:type="dxa"/>
            <w:tcBorders>
              <w:top w:val="single" w:sz="4" w:space="0" w:color="auto"/>
              <w:left w:val="single" w:sz="4" w:space="0" w:color="auto"/>
              <w:bottom w:val="single" w:sz="4" w:space="0" w:color="auto"/>
              <w:right w:val="single" w:sz="4" w:space="0" w:color="auto"/>
            </w:tcBorders>
          </w:tcPr>
          <w:p w14:paraId="17AFCA5D"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4.71E-05</w:t>
            </w:r>
          </w:p>
        </w:tc>
      </w:tr>
      <w:tr w:rsidR="00CF1722" w:rsidRPr="00451AE4" w14:paraId="04920B23"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EF6A4"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magenta</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8B491"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264</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6CD3E0FC"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intracellular transport (M147)</w:t>
            </w:r>
          </w:p>
        </w:tc>
        <w:tc>
          <w:tcPr>
            <w:tcW w:w="1199" w:type="dxa"/>
            <w:tcBorders>
              <w:top w:val="single" w:sz="4" w:space="0" w:color="auto"/>
              <w:left w:val="single" w:sz="4" w:space="0" w:color="auto"/>
              <w:bottom w:val="single" w:sz="4" w:space="0" w:color="auto"/>
              <w:right w:val="single" w:sz="4" w:space="0" w:color="auto"/>
            </w:tcBorders>
          </w:tcPr>
          <w:p w14:paraId="176B25B3"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1.02E-02</w:t>
            </w:r>
          </w:p>
        </w:tc>
      </w:tr>
      <w:tr w:rsidR="00CF1722" w:rsidRPr="00451AE4" w14:paraId="4BDDB6CF"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1FFA6"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midnightblue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97D83"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157</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61D0EE51"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translation initiation factor 3 complex (M245)</w:t>
            </w:r>
          </w:p>
        </w:tc>
        <w:tc>
          <w:tcPr>
            <w:tcW w:w="1199" w:type="dxa"/>
            <w:tcBorders>
              <w:top w:val="single" w:sz="4" w:space="0" w:color="auto"/>
              <w:left w:val="single" w:sz="4" w:space="0" w:color="auto"/>
              <w:bottom w:val="single" w:sz="4" w:space="0" w:color="auto"/>
              <w:right w:val="single" w:sz="4" w:space="0" w:color="auto"/>
            </w:tcBorders>
          </w:tcPr>
          <w:p w14:paraId="27539090"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2.40E-13</w:t>
            </w:r>
          </w:p>
        </w:tc>
      </w:tr>
      <w:tr w:rsidR="00CF1722" w:rsidRPr="00451AE4" w14:paraId="5FA60647"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AFC84"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pink</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61B37"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297</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58FEB67D"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enriched in monocytes (II) (M11.0)</w:t>
            </w:r>
          </w:p>
        </w:tc>
        <w:tc>
          <w:tcPr>
            <w:tcW w:w="1199" w:type="dxa"/>
            <w:tcBorders>
              <w:top w:val="single" w:sz="4" w:space="0" w:color="auto"/>
              <w:left w:val="single" w:sz="4" w:space="0" w:color="auto"/>
              <w:bottom w:val="single" w:sz="4" w:space="0" w:color="auto"/>
              <w:right w:val="single" w:sz="4" w:space="0" w:color="auto"/>
            </w:tcBorders>
          </w:tcPr>
          <w:p w14:paraId="3EABCB60"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9.79E-16</w:t>
            </w:r>
          </w:p>
        </w:tc>
      </w:tr>
      <w:tr w:rsidR="00CF1722" w:rsidRPr="00451AE4" w14:paraId="19220F04"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BBAEA" w14:textId="77777777" w:rsidR="00CF1722" w:rsidRPr="00EC6924" w:rsidRDefault="001625F4" w:rsidP="00CF1722">
            <w:pPr>
              <w:spacing w:before="0" w:after="0" w:line="240" w:lineRule="auto"/>
              <w:rPr>
                <w:rFonts w:ascii="Calibri" w:eastAsia="Times New Roman" w:hAnsi="Calibri" w:cs="Calibri"/>
                <w:color w:val="000000"/>
                <w:lang w:bidi="ar-SA"/>
              </w:rPr>
            </w:pPr>
            <w:r w:rsidRPr="001625F4">
              <w:rPr>
                <w:rFonts w:ascii="Calibri" w:eastAsia="Times New Roman" w:hAnsi="Calibri" w:cs="Calibri"/>
                <w:color w:val="000000"/>
                <w:lang w:bidi="ar-SA"/>
              </w:rPr>
              <w:t>purple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9D25" w14:textId="77777777" w:rsidR="00CF1722" w:rsidRPr="00EC6924" w:rsidRDefault="001625F4" w:rsidP="00CF1722">
            <w:pPr>
              <w:spacing w:before="0" w:after="0" w:line="240" w:lineRule="auto"/>
              <w:jc w:val="center"/>
              <w:rPr>
                <w:rFonts w:ascii="Calibri" w:eastAsia="Times New Roman" w:hAnsi="Calibri" w:cs="Calibri"/>
                <w:color w:val="000000"/>
                <w:lang w:bidi="ar-SA"/>
              </w:rPr>
            </w:pPr>
            <w:r w:rsidRPr="001625F4">
              <w:rPr>
                <w:rFonts w:ascii="Calibri" w:eastAsia="Times New Roman" w:hAnsi="Calibri" w:cs="Calibri"/>
                <w:color w:val="000000"/>
                <w:lang w:bidi="ar-SA"/>
              </w:rPr>
              <w:t>260</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3DEF4AEA" w14:textId="77777777" w:rsidR="00CF1722" w:rsidRPr="00EC6924" w:rsidRDefault="001625F4" w:rsidP="00CF1722">
            <w:pPr>
              <w:spacing w:before="0" w:after="0" w:line="240" w:lineRule="auto"/>
              <w:rPr>
                <w:rFonts w:ascii="Calibri" w:eastAsia="Times New Roman" w:hAnsi="Calibri" w:cs="Calibri"/>
                <w:color w:val="000000"/>
                <w:lang w:bidi="ar-SA"/>
              </w:rPr>
            </w:pPr>
            <w:r w:rsidRPr="001625F4">
              <w:t>N/A</w:t>
            </w:r>
          </w:p>
        </w:tc>
        <w:tc>
          <w:tcPr>
            <w:tcW w:w="1199" w:type="dxa"/>
            <w:tcBorders>
              <w:top w:val="single" w:sz="4" w:space="0" w:color="auto"/>
              <w:left w:val="single" w:sz="4" w:space="0" w:color="auto"/>
              <w:bottom w:val="single" w:sz="4" w:space="0" w:color="auto"/>
              <w:right w:val="single" w:sz="4" w:space="0" w:color="auto"/>
            </w:tcBorders>
          </w:tcPr>
          <w:p w14:paraId="2019CEDF" w14:textId="77777777" w:rsidR="00CF1722" w:rsidRPr="00EC6924" w:rsidRDefault="001625F4" w:rsidP="00534815">
            <w:pPr>
              <w:spacing w:before="0" w:after="0" w:line="240" w:lineRule="auto"/>
              <w:jc w:val="right"/>
              <w:rPr>
                <w:rFonts w:ascii="Calibri" w:eastAsia="Times New Roman" w:hAnsi="Calibri" w:cs="Calibri"/>
                <w:color w:val="000000"/>
                <w:lang w:bidi="ar-SA"/>
              </w:rPr>
            </w:pPr>
            <w:r w:rsidRPr="001625F4">
              <w:t>N/A</w:t>
            </w:r>
          </w:p>
        </w:tc>
      </w:tr>
      <w:tr w:rsidR="00CF1722" w:rsidRPr="00451AE4" w14:paraId="18BB5D5A"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6C34D"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red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F394F"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397</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496691D2"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heme biosynthesis (I) (M171)</w:t>
            </w:r>
          </w:p>
        </w:tc>
        <w:tc>
          <w:tcPr>
            <w:tcW w:w="1199" w:type="dxa"/>
            <w:tcBorders>
              <w:top w:val="single" w:sz="4" w:space="0" w:color="auto"/>
              <w:left w:val="single" w:sz="4" w:space="0" w:color="auto"/>
              <w:bottom w:val="single" w:sz="4" w:space="0" w:color="auto"/>
              <w:right w:val="single" w:sz="4" w:space="0" w:color="auto"/>
            </w:tcBorders>
          </w:tcPr>
          <w:p w14:paraId="7EF50485"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7.03E-17</w:t>
            </w:r>
          </w:p>
        </w:tc>
      </w:tr>
      <w:tr w:rsidR="00CF1722" w:rsidRPr="00451AE4" w14:paraId="244A5C33"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9030F"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royalblue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74D95"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109</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1F6845FE"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type I interferon response (M127)</w:t>
            </w:r>
          </w:p>
        </w:tc>
        <w:tc>
          <w:tcPr>
            <w:tcW w:w="1199" w:type="dxa"/>
            <w:tcBorders>
              <w:top w:val="single" w:sz="4" w:space="0" w:color="auto"/>
              <w:left w:val="single" w:sz="4" w:space="0" w:color="auto"/>
              <w:bottom w:val="single" w:sz="4" w:space="0" w:color="auto"/>
              <w:right w:val="single" w:sz="4" w:space="0" w:color="auto"/>
            </w:tcBorders>
          </w:tcPr>
          <w:p w14:paraId="7E51D44C"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2.32E-21</w:t>
            </w:r>
          </w:p>
        </w:tc>
      </w:tr>
      <w:tr w:rsidR="00CF1722" w:rsidRPr="00451AE4" w14:paraId="23F06526"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FDC47" w14:textId="77777777" w:rsidR="00CF1722" w:rsidRPr="00534815" w:rsidRDefault="00CF1722" w:rsidP="00CF1722">
            <w:pPr>
              <w:spacing w:before="0" w:after="0" w:line="240" w:lineRule="auto"/>
              <w:rPr>
                <w:rFonts w:ascii="Calibri" w:eastAsia="Times New Roman" w:hAnsi="Calibri" w:cs="Calibri"/>
                <w:b/>
                <w:color w:val="000000"/>
                <w:lang w:bidi="ar-SA"/>
              </w:rPr>
            </w:pPr>
            <w:r w:rsidRPr="00534815">
              <w:rPr>
                <w:rFonts w:ascii="Calibri" w:eastAsia="Times New Roman" w:hAnsi="Calibri" w:cs="Calibri"/>
                <w:b/>
                <w:color w:val="000000"/>
                <w:lang w:bidi="ar-SA"/>
              </w:rPr>
              <w:t>salmon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28223" w14:textId="77777777" w:rsidR="00CF1722" w:rsidRPr="00534815" w:rsidRDefault="00CF1722" w:rsidP="00CF1722">
            <w:pPr>
              <w:spacing w:before="0" w:after="0" w:line="240" w:lineRule="auto"/>
              <w:jc w:val="center"/>
              <w:rPr>
                <w:rFonts w:ascii="Calibri" w:eastAsia="Times New Roman" w:hAnsi="Calibri" w:cs="Calibri"/>
                <w:b/>
                <w:color w:val="000000"/>
                <w:lang w:bidi="ar-SA"/>
              </w:rPr>
            </w:pPr>
            <w:r w:rsidRPr="00534815">
              <w:rPr>
                <w:rFonts w:ascii="Calibri" w:eastAsia="Times New Roman" w:hAnsi="Calibri" w:cs="Calibri"/>
                <w:b/>
                <w:color w:val="000000"/>
                <w:lang w:bidi="ar-SA"/>
              </w:rPr>
              <w:t>192</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7DF7333B" w14:textId="77777777" w:rsidR="00CF1722" w:rsidRPr="00534815" w:rsidRDefault="00CF1722" w:rsidP="00CF1722">
            <w:pPr>
              <w:spacing w:before="0" w:after="0" w:line="240" w:lineRule="auto"/>
              <w:rPr>
                <w:rFonts w:ascii="Calibri" w:eastAsia="Times New Roman" w:hAnsi="Calibri" w:cs="Calibri"/>
                <w:b/>
                <w:color w:val="000000"/>
                <w:lang w:bidi="ar-SA"/>
              </w:rPr>
            </w:pPr>
            <w:r w:rsidRPr="00534815">
              <w:rPr>
                <w:b/>
              </w:rPr>
              <w:t>T cell activation (I) (M7.1)</w:t>
            </w:r>
          </w:p>
        </w:tc>
        <w:tc>
          <w:tcPr>
            <w:tcW w:w="1199" w:type="dxa"/>
            <w:tcBorders>
              <w:top w:val="single" w:sz="4" w:space="0" w:color="auto"/>
              <w:left w:val="single" w:sz="4" w:space="0" w:color="auto"/>
              <w:bottom w:val="single" w:sz="4" w:space="0" w:color="auto"/>
              <w:right w:val="single" w:sz="4" w:space="0" w:color="auto"/>
            </w:tcBorders>
          </w:tcPr>
          <w:p w14:paraId="0F755952" w14:textId="77777777" w:rsidR="00CF1722" w:rsidRPr="00534815" w:rsidRDefault="00CF1722" w:rsidP="00534815">
            <w:pPr>
              <w:spacing w:before="0" w:after="0" w:line="240" w:lineRule="auto"/>
              <w:jc w:val="right"/>
              <w:rPr>
                <w:rFonts w:ascii="Calibri" w:eastAsia="Times New Roman" w:hAnsi="Calibri" w:cs="Calibri"/>
                <w:b/>
                <w:color w:val="000000"/>
                <w:lang w:bidi="ar-SA"/>
              </w:rPr>
            </w:pPr>
            <w:r w:rsidRPr="00534815">
              <w:rPr>
                <w:b/>
              </w:rPr>
              <w:t>3.58E-30</w:t>
            </w:r>
          </w:p>
        </w:tc>
      </w:tr>
      <w:tr w:rsidR="00CF1722" w:rsidRPr="00451AE4" w14:paraId="1223EA62"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52BC9"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tan</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D94B6"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218</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074EEA07"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cell cycle (I) (M4.1)</w:t>
            </w:r>
          </w:p>
        </w:tc>
        <w:tc>
          <w:tcPr>
            <w:tcW w:w="1199" w:type="dxa"/>
            <w:tcBorders>
              <w:top w:val="single" w:sz="4" w:space="0" w:color="auto"/>
              <w:left w:val="single" w:sz="4" w:space="0" w:color="auto"/>
              <w:bottom w:val="single" w:sz="4" w:space="0" w:color="auto"/>
              <w:right w:val="single" w:sz="4" w:space="0" w:color="auto"/>
            </w:tcBorders>
          </w:tcPr>
          <w:p w14:paraId="7974D532"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1.73E-10</w:t>
            </w:r>
          </w:p>
        </w:tc>
      </w:tr>
      <w:tr w:rsidR="00CF1722" w:rsidRPr="00451AE4" w14:paraId="5078E103"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377F7"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turquoise</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DE159"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1958</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7B3AEA05"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mismatch repair (I) (M22.0)</w:t>
            </w:r>
          </w:p>
        </w:tc>
        <w:tc>
          <w:tcPr>
            <w:tcW w:w="1199" w:type="dxa"/>
            <w:tcBorders>
              <w:top w:val="single" w:sz="4" w:space="0" w:color="auto"/>
              <w:left w:val="single" w:sz="4" w:space="0" w:color="auto"/>
              <w:bottom w:val="single" w:sz="4" w:space="0" w:color="auto"/>
              <w:right w:val="single" w:sz="4" w:space="0" w:color="auto"/>
            </w:tcBorders>
          </w:tcPr>
          <w:p w14:paraId="1E30C817"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1.96E-03</w:t>
            </w:r>
          </w:p>
        </w:tc>
      </w:tr>
      <w:tr w:rsidR="00CF1722" w:rsidRPr="00451AE4" w14:paraId="7663D73E" w14:textId="77777777" w:rsidTr="00333E7A">
        <w:trPr>
          <w:trHeight w:val="288"/>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D14F1" w14:textId="77777777" w:rsidR="00CF1722" w:rsidRPr="00451AE4" w:rsidRDefault="00CF1722" w:rsidP="00CF1722">
            <w:pPr>
              <w:spacing w:before="0" w:after="0" w:line="240" w:lineRule="auto"/>
              <w:rPr>
                <w:rFonts w:ascii="Calibri" w:eastAsia="Times New Roman" w:hAnsi="Calibri" w:cs="Calibri"/>
                <w:color w:val="000000"/>
                <w:lang w:bidi="ar-SA"/>
              </w:rPr>
            </w:pPr>
            <w:r w:rsidRPr="00451AE4">
              <w:rPr>
                <w:rFonts w:ascii="Calibri" w:eastAsia="Times New Roman" w:hAnsi="Calibri" w:cs="Calibri"/>
                <w:color w:val="000000"/>
                <w:lang w:bidi="ar-SA"/>
              </w:rPr>
              <w:t>yellow</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94E1F" w14:textId="77777777" w:rsidR="00CF1722" w:rsidRPr="00451AE4" w:rsidRDefault="00CF1722" w:rsidP="00CF1722">
            <w:pPr>
              <w:spacing w:before="0" w:after="0" w:line="240" w:lineRule="auto"/>
              <w:jc w:val="center"/>
              <w:rPr>
                <w:rFonts w:ascii="Calibri" w:eastAsia="Times New Roman" w:hAnsi="Calibri" w:cs="Calibri"/>
                <w:color w:val="000000"/>
                <w:lang w:bidi="ar-SA"/>
              </w:rPr>
            </w:pPr>
            <w:r w:rsidRPr="00451AE4">
              <w:rPr>
                <w:rFonts w:ascii="Calibri" w:eastAsia="Times New Roman" w:hAnsi="Calibri" w:cs="Calibri"/>
                <w:color w:val="000000"/>
                <w:lang w:bidi="ar-SA"/>
              </w:rPr>
              <w:t>434</w:t>
            </w:r>
          </w:p>
        </w:tc>
        <w:tc>
          <w:tcPr>
            <w:tcW w:w="4939" w:type="dxa"/>
            <w:tcBorders>
              <w:top w:val="single" w:sz="4" w:space="0" w:color="auto"/>
              <w:left w:val="single" w:sz="4" w:space="0" w:color="auto"/>
              <w:bottom w:val="single" w:sz="4" w:space="0" w:color="auto"/>
              <w:right w:val="single" w:sz="4" w:space="0" w:color="auto"/>
            </w:tcBorders>
            <w:shd w:val="clear" w:color="auto" w:fill="auto"/>
          </w:tcPr>
          <w:p w14:paraId="3836DCAB" w14:textId="77777777" w:rsidR="00CF1722" w:rsidRPr="00451AE4" w:rsidRDefault="00CF1722" w:rsidP="00CF1722">
            <w:pPr>
              <w:spacing w:before="0" w:after="0" w:line="240" w:lineRule="auto"/>
              <w:rPr>
                <w:rFonts w:ascii="Calibri" w:eastAsia="Times New Roman" w:hAnsi="Calibri" w:cs="Calibri"/>
                <w:color w:val="000000"/>
                <w:lang w:bidi="ar-SA"/>
              </w:rPr>
            </w:pPr>
            <w:r w:rsidRPr="003A33FA">
              <w:t>nuclear pore, transport; mRNA splicing, processing (M143)</w:t>
            </w:r>
          </w:p>
        </w:tc>
        <w:tc>
          <w:tcPr>
            <w:tcW w:w="1199" w:type="dxa"/>
            <w:tcBorders>
              <w:top w:val="single" w:sz="4" w:space="0" w:color="auto"/>
              <w:left w:val="single" w:sz="4" w:space="0" w:color="auto"/>
              <w:bottom w:val="single" w:sz="4" w:space="0" w:color="auto"/>
              <w:right w:val="single" w:sz="4" w:space="0" w:color="auto"/>
            </w:tcBorders>
          </w:tcPr>
          <w:p w14:paraId="2BBC6B0F" w14:textId="77777777" w:rsidR="00CF1722" w:rsidRPr="00451AE4" w:rsidRDefault="00CF1722" w:rsidP="00534815">
            <w:pPr>
              <w:spacing w:before="0" w:after="0" w:line="240" w:lineRule="auto"/>
              <w:jc w:val="right"/>
              <w:rPr>
                <w:rFonts w:ascii="Calibri" w:eastAsia="Times New Roman" w:hAnsi="Calibri" w:cs="Calibri"/>
                <w:color w:val="000000"/>
                <w:lang w:bidi="ar-SA"/>
              </w:rPr>
            </w:pPr>
            <w:r w:rsidRPr="003A33FA">
              <w:t>5.03E-05</w:t>
            </w:r>
          </w:p>
        </w:tc>
      </w:tr>
    </w:tbl>
    <w:p w14:paraId="6F455996" w14:textId="77777777" w:rsidR="00344EF7" w:rsidRDefault="00344EF7">
      <w:r>
        <w:br w:type="page"/>
      </w:r>
    </w:p>
    <w:p w14:paraId="528AB744" w14:textId="77777777" w:rsidR="004E3C9F" w:rsidRDefault="00344EF7">
      <w:r w:rsidRPr="009C4CC8">
        <w:rPr>
          <w:b/>
        </w:rPr>
        <w:lastRenderedPageBreak/>
        <w:t>Table 3.</w:t>
      </w:r>
      <w:r>
        <w:t xml:space="preserve"> </w:t>
      </w:r>
      <w:r w:rsidR="00A54DC6">
        <w:t>Module-based biomarker</w:t>
      </w:r>
      <w:r>
        <w:t xml:space="preserve"> discovery</w:t>
      </w:r>
      <w:r w:rsidR="00DB3318">
        <w:t>, biomarker selection, an</w:t>
      </w:r>
      <w:r w:rsidR="00376DBF">
        <w:t xml:space="preserve">d biomarker replication results, with 95% confidence intervals for the </w:t>
      </w:r>
      <w:commentRangeStart w:id="36"/>
      <w:r w:rsidR="00376DBF">
        <w:t>AUC</w:t>
      </w:r>
      <w:commentRangeEnd w:id="36"/>
      <w:r w:rsidR="007369CF">
        <w:rPr>
          <w:rStyle w:val="CommentReference"/>
          <w:rFonts w:ascii="Calibri" w:eastAsia="Calibri" w:hAnsi="Calibri" w:cs="Times New Roman"/>
        </w:rPr>
        <w:commentReference w:id="36"/>
      </w:r>
      <w:r w:rsidR="00376DBF">
        <w:t>.</w:t>
      </w:r>
    </w:p>
    <w:tbl>
      <w:tblPr>
        <w:tblStyle w:val="TableGrid"/>
        <w:tblW w:w="0" w:type="auto"/>
        <w:tblLook w:val="04A0" w:firstRow="1" w:lastRow="0" w:firstColumn="1" w:lastColumn="0" w:noHBand="0" w:noVBand="1"/>
      </w:tblPr>
      <w:tblGrid>
        <w:gridCol w:w="1563"/>
        <w:gridCol w:w="1249"/>
        <w:gridCol w:w="1064"/>
        <w:gridCol w:w="1859"/>
        <w:gridCol w:w="1682"/>
        <w:gridCol w:w="1933"/>
      </w:tblGrid>
      <w:tr w:rsidR="00FB2F24" w:rsidRPr="00CF4A2C" w14:paraId="358C901A" w14:textId="77777777" w:rsidTr="00B43D6F">
        <w:trPr>
          <w:trHeight w:val="288"/>
        </w:trPr>
        <w:tc>
          <w:tcPr>
            <w:tcW w:w="1359" w:type="dxa"/>
            <w:shd w:val="clear" w:color="auto" w:fill="BFBFBF" w:themeFill="background1" w:themeFillShade="BF"/>
            <w:noWrap/>
            <w:vAlign w:val="bottom"/>
            <w:hideMark/>
          </w:tcPr>
          <w:p w14:paraId="2EA59B93" w14:textId="77777777" w:rsidR="00FB2F24" w:rsidRPr="005910FE" w:rsidRDefault="00FB2F24" w:rsidP="0092563B">
            <w:pPr>
              <w:jc w:val="center"/>
              <w:rPr>
                <w:b/>
              </w:rPr>
            </w:pPr>
            <w:r w:rsidRPr="005910FE">
              <w:rPr>
                <w:b/>
              </w:rPr>
              <w:t>Module</w:t>
            </w:r>
          </w:p>
        </w:tc>
        <w:tc>
          <w:tcPr>
            <w:tcW w:w="1269" w:type="dxa"/>
            <w:shd w:val="clear" w:color="auto" w:fill="BFBFBF" w:themeFill="background1" w:themeFillShade="BF"/>
            <w:noWrap/>
            <w:vAlign w:val="bottom"/>
            <w:hideMark/>
          </w:tcPr>
          <w:p w14:paraId="224E1126" w14:textId="77777777" w:rsidR="00FB2F24" w:rsidRPr="005910FE" w:rsidRDefault="00FB2F24" w:rsidP="0092563B">
            <w:pPr>
              <w:jc w:val="center"/>
              <w:rPr>
                <w:b/>
              </w:rPr>
            </w:pPr>
            <w:r>
              <w:rPr>
                <w:b/>
              </w:rPr>
              <w:t xml:space="preserve"># </w:t>
            </w:r>
            <w:r w:rsidR="00B43D6F">
              <w:rPr>
                <w:b/>
              </w:rPr>
              <w:t xml:space="preserve">genes with </w:t>
            </w:r>
            <w:r>
              <w:rPr>
                <w:b/>
              </w:rPr>
              <w:t>p&lt;0.05</w:t>
            </w:r>
          </w:p>
        </w:tc>
        <w:tc>
          <w:tcPr>
            <w:tcW w:w="1080" w:type="dxa"/>
            <w:shd w:val="clear" w:color="auto" w:fill="BFBFBF" w:themeFill="background1" w:themeFillShade="BF"/>
            <w:noWrap/>
            <w:vAlign w:val="bottom"/>
            <w:hideMark/>
          </w:tcPr>
          <w:p w14:paraId="27F4A1DE" w14:textId="77777777" w:rsidR="00FB2F24" w:rsidRPr="005910FE" w:rsidRDefault="00FB2F24" w:rsidP="0092563B">
            <w:pPr>
              <w:jc w:val="center"/>
              <w:rPr>
                <w:b/>
              </w:rPr>
            </w:pPr>
            <w:r>
              <w:rPr>
                <w:b/>
              </w:rPr>
              <w:t xml:space="preserve">Panel </w:t>
            </w:r>
            <w:r w:rsidRPr="005910FE">
              <w:rPr>
                <w:b/>
              </w:rPr>
              <w:t>size</w:t>
            </w:r>
          </w:p>
        </w:tc>
        <w:tc>
          <w:tcPr>
            <w:tcW w:w="1890" w:type="dxa"/>
            <w:shd w:val="clear" w:color="auto" w:fill="BFBFBF" w:themeFill="background1" w:themeFillShade="BF"/>
            <w:noWrap/>
            <w:vAlign w:val="bottom"/>
            <w:hideMark/>
          </w:tcPr>
          <w:p w14:paraId="6EF28AED" w14:textId="77777777" w:rsidR="00FB2F24" w:rsidRPr="005910FE" w:rsidRDefault="00FB2F24" w:rsidP="00376DBF">
            <w:pPr>
              <w:jc w:val="center"/>
              <w:rPr>
                <w:b/>
              </w:rPr>
            </w:pPr>
            <w:r>
              <w:rPr>
                <w:b/>
              </w:rPr>
              <w:t>Biomarker discovery AUC</w:t>
            </w:r>
            <w:r w:rsidR="00376DBF">
              <w:rPr>
                <w:b/>
              </w:rPr>
              <w:t>*</w:t>
            </w:r>
          </w:p>
        </w:tc>
        <w:tc>
          <w:tcPr>
            <w:tcW w:w="1710" w:type="dxa"/>
            <w:shd w:val="clear" w:color="auto" w:fill="BFBFBF" w:themeFill="background1" w:themeFillShade="BF"/>
            <w:noWrap/>
            <w:vAlign w:val="bottom"/>
            <w:hideMark/>
          </w:tcPr>
          <w:p w14:paraId="69C898A9" w14:textId="77777777" w:rsidR="00FB2F24" w:rsidRPr="005910FE" w:rsidRDefault="00FB2F24" w:rsidP="0092563B">
            <w:pPr>
              <w:jc w:val="center"/>
              <w:rPr>
                <w:b/>
              </w:rPr>
            </w:pPr>
            <w:r>
              <w:rPr>
                <w:b/>
              </w:rPr>
              <w:t>Biomarker selection AUC</w:t>
            </w:r>
            <w:r w:rsidR="006A167A">
              <w:rPr>
                <w:b/>
              </w:rPr>
              <w:t>*</w:t>
            </w:r>
          </w:p>
        </w:tc>
        <w:tc>
          <w:tcPr>
            <w:tcW w:w="1965" w:type="dxa"/>
            <w:shd w:val="clear" w:color="auto" w:fill="BFBFBF" w:themeFill="background1" w:themeFillShade="BF"/>
            <w:noWrap/>
            <w:vAlign w:val="bottom"/>
            <w:hideMark/>
          </w:tcPr>
          <w:p w14:paraId="4F958142" w14:textId="77777777" w:rsidR="00FB2F24" w:rsidRPr="005910FE" w:rsidRDefault="00FB2F24" w:rsidP="0092563B">
            <w:pPr>
              <w:jc w:val="center"/>
              <w:rPr>
                <w:b/>
              </w:rPr>
            </w:pPr>
            <w:r>
              <w:rPr>
                <w:b/>
              </w:rPr>
              <w:t>Biomarker replication AUC</w:t>
            </w:r>
            <w:r w:rsidR="006A167A">
              <w:rPr>
                <w:b/>
              </w:rPr>
              <w:t>*</w:t>
            </w:r>
          </w:p>
        </w:tc>
      </w:tr>
      <w:tr w:rsidR="00E96DA5" w:rsidRPr="00CF4A2C" w14:paraId="233F7649" w14:textId="77777777" w:rsidTr="00E96DA5">
        <w:trPr>
          <w:trHeight w:val="288"/>
        </w:trPr>
        <w:tc>
          <w:tcPr>
            <w:tcW w:w="1359" w:type="dxa"/>
            <w:noWrap/>
            <w:vAlign w:val="center"/>
            <w:hideMark/>
          </w:tcPr>
          <w:p w14:paraId="6C810817" w14:textId="77777777" w:rsidR="00E96DA5" w:rsidRPr="00CF4A2C" w:rsidRDefault="00E96DA5" w:rsidP="00EC3510">
            <w:pPr>
              <w:spacing w:before="0"/>
            </w:pPr>
            <w:commentRangeStart w:id="37"/>
            <w:r>
              <w:t>All transcripts</w:t>
            </w:r>
          </w:p>
        </w:tc>
        <w:tc>
          <w:tcPr>
            <w:tcW w:w="1269" w:type="dxa"/>
            <w:noWrap/>
            <w:vAlign w:val="center"/>
            <w:hideMark/>
          </w:tcPr>
          <w:p w14:paraId="2D20419C" w14:textId="77777777" w:rsidR="00E96DA5" w:rsidRPr="00E96DA5" w:rsidRDefault="00E96DA5" w:rsidP="00E96DA5">
            <w:pPr>
              <w:contextualSpacing/>
              <w:jc w:val="center"/>
              <w:rPr>
                <w:color w:val="000000"/>
              </w:rPr>
            </w:pPr>
            <w:r w:rsidRPr="00E96DA5">
              <w:rPr>
                <w:color w:val="000000"/>
              </w:rPr>
              <w:t>709</w:t>
            </w:r>
          </w:p>
        </w:tc>
        <w:tc>
          <w:tcPr>
            <w:tcW w:w="1080" w:type="dxa"/>
            <w:noWrap/>
            <w:vAlign w:val="center"/>
            <w:hideMark/>
          </w:tcPr>
          <w:p w14:paraId="4981BCD6" w14:textId="77777777" w:rsidR="00E96DA5" w:rsidRPr="00E96DA5" w:rsidRDefault="00E96DA5" w:rsidP="00E96DA5">
            <w:pPr>
              <w:contextualSpacing/>
              <w:jc w:val="center"/>
              <w:rPr>
                <w:color w:val="000000"/>
              </w:rPr>
            </w:pPr>
            <w:r w:rsidRPr="00E96DA5">
              <w:rPr>
                <w:color w:val="000000"/>
              </w:rPr>
              <w:t>84</w:t>
            </w:r>
          </w:p>
        </w:tc>
        <w:tc>
          <w:tcPr>
            <w:tcW w:w="1890" w:type="dxa"/>
            <w:noWrap/>
            <w:vAlign w:val="center"/>
            <w:hideMark/>
          </w:tcPr>
          <w:p w14:paraId="11363C4E" w14:textId="77777777" w:rsidR="00E96DA5" w:rsidRPr="00E96DA5" w:rsidRDefault="00E96DA5" w:rsidP="00E96DA5">
            <w:pPr>
              <w:contextualSpacing/>
              <w:jc w:val="center"/>
              <w:rPr>
                <w:color w:val="000000"/>
              </w:rPr>
            </w:pPr>
            <w:r w:rsidRPr="00E96DA5">
              <w:rPr>
                <w:color w:val="000000"/>
              </w:rPr>
              <w:t>0.63 [0.57, 0.69]</w:t>
            </w:r>
          </w:p>
        </w:tc>
        <w:tc>
          <w:tcPr>
            <w:tcW w:w="1710" w:type="dxa"/>
            <w:noWrap/>
            <w:vAlign w:val="center"/>
            <w:hideMark/>
          </w:tcPr>
          <w:p w14:paraId="68B438A7" w14:textId="77777777" w:rsidR="00E96DA5" w:rsidRPr="00CF4A2C" w:rsidRDefault="00E96DA5" w:rsidP="00EC3510">
            <w:pPr>
              <w:spacing w:before="0"/>
              <w:jc w:val="center"/>
            </w:pPr>
            <w:r>
              <w:t>0.70 [0.59, 0.81]</w:t>
            </w:r>
          </w:p>
        </w:tc>
        <w:tc>
          <w:tcPr>
            <w:tcW w:w="1965" w:type="dxa"/>
            <w:noWrap/>
            <w:vAlign w:val="center"/>
            <w:hideMark/>
          </w:tcPr>
          <w:p w14:paraId="64EE40F9" w14:textId="77777777" w:rsidR="00E96DA5" w:rsidRPr="00CF4A2C" w:rsidRDefault="00E96DA5" w:rsidP="00EC3510">
            <w:pPr>
              <w:spacing w:before="0"/>
              <w:jc w:val="center"/>
            </w:pPr>
            <w:r>
              <w:t>0.74 [0.68, 0.81]</w:t>
            </w:r>
            <w:commentRangeEnd w:id="37"/>
            <w:r>
              <w:rPr>
                <w:rStyle w:val="CommentReference"/>
                <w:rFonts w:ascii="Calibri" w:eastAsia="Calibri" w:hAnsi="Calibri" w:cs="Times New Roman"/>
              </w:rPr>
              <w:commentReference w:id="37"/>
            </w:r>
          </w:p>
        </w:tc>
      </w:tr>
      <w:tr w:rsidR="00E96DA5" w:rsidRPr="00CF4A2C" w14:paraId="0BBD6D57" w14:textId="77777777" w:rsidTr="00E96DA5">
        <w:trPr>
          <w:trHeight w:val="288"/>
        </w:trPr>
        <w:tc>
          <w:tcPr>
            <w:tcW w:w="1359" w:type="dxa"/>
            <w:noWrap/>
            <w:vAlign w:val="center"/>
            <w:hideMark/>
          </w:tcPr>
          <w:p w14:paraId="54A9A297" w14:textId="77777777" w:rsidR="00E96DA5" w:rsidRPr="00CF4A2C" w:rsidRDefault="00E96DA5" w:rsidP="00EC3510">
            <w:pPr>
              <w:spacing w:before="0"/>
            </w:pPr>
            <w:r w:rsidRPr="00CF4A2C">
              <w:t>black</w:t>
            </w:r>
          </w:p>
        </w:tc>
        <w:tc>
          <w:tcPr>
            <w:tcW w:w="1269" w:type="dxa"/>
            <w:noWrap/>
            <w:vAlign w:val="center"/>
            <w:hideMark/>
          </w:tcPr>
          <w:p w14:paraId="0ACF4D0E" w14:textId="77777777" w:rsidR="00E96DA5" w:rsidRPr="00E96DA5" w:rsidRDefault="00E96DA5" w:rsidP="00E96DA5">
            <w:pPr>
              <w:contextualSpacing/>
              <w:jc w:val="center"/>
              <w:rPr>
                <w:color w:val="000000"/>
              </w:rPr>
            </w:pPr>
            <w:r w:rsidRPr="00E96DA5">
              <w:rPr>
                <w:color w:val="000000"/>
              </w:rPr>
              <w:t>16</w:t>
            </w:r>
          </w:p>
        </w:tc>
        <w:tc>
          <w:tcPr>
            <w:tcW w:w="1080" w:type="dxa"/>
            <w:noWrap/>
            <w:vAlign w:val="center"/>
            <w:hideMark/>
          </w:tcPr>
          <w:p w14:paraId="4DCBCF87" w14:textId="77777777" w:rsidR="00E96DA5" w:rsidRPr="00E96DA5" w:rsidRDefault="00E96DA5" w:rsidP="00E96DA5">
            <w:pPr>
              <w:contextualSpacing/>
              <w:jc w:val="center"/>
              <w:rPr>
                <w:color w:val="000000"/>
              </w:rPr>
            </w:pPr>
            <w:r w:rsidRPr="00E96DA5">
              <w:rPr>
                <w:color w:val="000000"/>
              </w:rPr>
              <w:t>12</w:t>
            </w:r>
          </w:p>
        </w:tc>
        <w:tc>
          <w:tcPr>
            <w:tcW w:w="1890" w:type="dxa"/>
            <w:noWrap/>
            <w:vAlign w:val="center"/>
            <w:hideMark/>
          </w:tcPr>
          <w:p w14:paraId="1EE545C9" w14:textId="77777777" w:rsidR="00E96DA5" w:rsidRPr="00E96DA5" w:rsidRDefault="00E96DA5" w:rsidP="00E96DA5">
            <w:pPr>
              <w:contextualSpacing/>
              <w:jc w:val="center"/>
              <w:rPr>
                <w:color w:val="000000"/>
              </w:rPr>
            </w:pPr>
            <w:r w:rsidRPr="00E96DA5">
              <w:rPr>
                <w:color w:val="000000"/>
              </w:rPr>
              <w:t>0.65 [0.57, 0.71]</w:t>
            </w:r>
          </w:p>
        </w:tc>
        <w:tc>
          <w:tcPr>
            <w:tcW w:w="1710" w:type="dxa"/>
            <w:noWrap/>
            <w:vAlign w:val="center"/>
            <w:hideMark/>
          </w:tcPr>
          <w:p w14:paraId="5CB2FE65" w14:textId="77777777" w:rsidR="00E96DA5" w:rsidRPr="00CF4A2C" w:rsidRDefault="00E96DA5" w:rsidP="00EC3510">
            <w:pPr>
              <w:spacing w:before="0"/>
              <w:jc w:val="center"/>
            </w:pPr>
          </w:p>
        </w:tc>
        <w:tc>
          <w:tcPr>
            <w:tcW w:w="1965" w:type="dxa"/>
            <w:noWrap/>
            <w:vAlign w:val="center"/>
            <w:hideMark/>
          </w:tcPr>
          <w:p w14:paraId="59D64261" w14:textId="77777777" w:rsidR="00E96DA5" w:rsidRPr="00CF4A2C" w:rsidRDefault="00E96DA5" w:rsidP="00EC3510">
            <w:pPr>
              <w:spacing w:before="0"/>
              <w:jc w:val="center"/>
            </w:pPr>
          </w:p>
        </w:tc>
      </w:tr>
      <w:tr w:rsidR="00E96DA5" w:rsidRPr="00CF4A2C" w14:paraId="084A12E2" w14:textId="77777777" w:rsidTr="00E96DA5">
        <w:trPr>
          <w:trHeight w:val="288"/>
        </w:trPr>
        <w:tc>
          <w:tcPr>
            <w:tcW w:w="1359" w:type="dxa"/>
            <w:noWrap/>
            <w:vAlign w:val="center"/>
            <w:hideMark/>
          </w:tcPr>
          <w:p w14:paraId="7D185DDF" w14:textId="77777777" w:rsidR="00E96DA5" w:rsidRPr="00CF4A2C" w:rsidRDefault="00E96DA5" w:rsidP="00EC3510">
            <w:pPr>
              <w:spacing w:before="0"/>
            </w:pPr>
            <w:r w:rsidRPr="00CF4A2C">
              <w:t>blue</w:t>
            </w:r>
          </w:p>
        </w:tc>
        <w:tc>
          <w:tcPr>
            <w:tcW w:w="1269" w:type="dxa"/>
            <w:noWrap/>
            <w:vAlign w:val="center"/>
            <w:hideMark/>
          </w:tcPr>
          <w:p w14:paraId="2AD627DA" w14:textId="77777777" w:rsidR="00E96DA5" w:rsidRPr="00E96DA5" w:rsidRDefault="00E96DA5" w:rsidP="00E96DA5">
            <w:pPr>
              <w:contextualSpacing/>
              <w:jc w:val="center"/>
              <w:rPr>
                <w:color w:val="000000"/>
              </w:rPr>
            </w:pPr>
            <w:r w:rsidRPr="00E96DA5">
              <w:rPr>
                <w:color w:val="000000"/>
              </w:rPr>
              <w:t>304</w:t>
            </w:r>
          </w:p>
        </w:tc>
        <w:tc>
          <w:tcPr>
            <w:tcW w:w="1080" w:type="dxa"/>
            <w:noWrap/>
            <w:vAlign w:val="center"/>
            <w:hideMark/>
          </w:tcPr>
          <w:p w14:paraId="74C3A923" w14:textId="77777777" w:rsidR="00E96DA5" w:rsidRPr="00E96DA5" w:rsidRDefault="00E96DA5" w:rsidP="00E96DA5">
            <w:pPr>
              <w:contextualSpacing/>
              <w:jc w:val="center"/>
              <w:rPr>
                <w:color w:val="000000"/>
              </w:rPr>
            </w:pPr>
            <w:r w:rsidRPr="00E96DA5">
              <w:rPr>
                <w:color w:val="000000"/>
              </w:rPr>
              <w:t>96</w:t>
            </w:r>
          </w:p>
        </w:tc>
        <w:tc>
          <w:tcPr>
            <w:tcW w:w="1890" w:type="dxa"/>
            <w:noWrap/>
            <w:vAlign w:val="center"/>
            <w:hideMark/>
          </w:tcPr>
          <w:p w14:paraId="113CA6D8" w14:textId="77777777" w:rsidR="00E96DA5" w:rsidRPr="00E96DA5" w:rsidRDefault="00E96DA5" w:rsidP="00E96DA5">
            <w:pPr>
              <w:contextualSpacing/>
              <w:jc w:val="center"/>
              <w:rPr>
                <w:color w:val="000000"/>
              </w:rPr>
            </w:pPr>
            <w:r w:rsidRPr="00E96DA5">
              <w:rPr>
                <w:color w:val="000000"/>
              </w:rPr>
              <w:t>0.58 [0.52, 0.63]</w:t>
            </w:r>
          </w:p>
        </w:tc>
        <w:tc>
          <w:tcPr>
            <w:tcW w:w="1710" w:type="dxa"/>
            <w:noWrap/>
            <w:vAlign w:val="center"/>
            <w:hideMark/>
          </w:tcPr>
          <w:p w14:paraId="5ED95B26" w14:textId="77777777" w:rsidR="00E96DA5" w:rsidRPr="00CF4A2C" w:rsidRDefault="00E96DA5" w:rsidP="00EC3510">
            <w:pPr>
              <w:spacing w:before="0"/>
              <w:jc w:val="center"/>
            </w:pPr>
          </w:p>
        </w:tc>
        <w:tc>
          <w:tcPr>
            <w:tcW w:w="1965" w:type="dxa"/>
            <w:noWrap/>
            <w:vAlign w:val="center"/>
            <w:hideMark/>
          </w:tcPr>
          <w:p w14:paraId="538AA0DD" w14:textId="77777777" w:rsidR="00E96DA5" w:rsidRPr="00CF4A2C" w:rsidRDefault="00E96DA5" w:rsidP="00EC3510">
            <w:pPr>
              <w:spacing w:before="0"/>
              <w:jc w:val="center"/>
            </w:pPr>
          </w:p>
        </w:tc>
      </w:tr>
      <w:tr w:rsidR="00E96DA5" w:rsidRPr="00CF4A2C" w14:paraId="0F2CBF6B" w14:textId="77777777" w:rsidTr="00E96DA5">
        <w:trPr>
          <w:trHeight w:val="288"/>
        </w:trPr>
        <w:tc>
          <w:tcPr>
            <w:tcW w:w="1359" w:type="dxa"/>
            <w:noWrap/>
            <w:vAlign w:val="center"/>
            <w:hideMark/>
          </w:tcPr>
          <w:p w14:paraId="1CC31E5A" w14:textId="77777777" w:rsidR="00E96DA5" w:rsidRPr="00CF4A2C" w:rsidRDefault="00E96DA5" w:rsidP="00EC3510">
            <w:pPr>
              <w:spacing w:before="0"/>
            </w:pPr>
            <w:r w:rsidRPr="00CF4A2C">
              <w:t>brown</w:t>
            </w:r>
          </w:p>
        </w:tc>
        <w:tc>
          <w:tcPr>
            <w:tcW w:w="1269" w:type="dxa"/>
            <w:noWrap/>
            <w:vAlign w:val="center"/>
            <w:hideMark/>
          </w:tcPr>
          <w:p w14:paraId="047029A8" w14:textId="77777777" w:rsidR="00E96DA5" w:rsidRPr="00E96DA5" w:rsidRDefault="00E96DA5" w:rsidP="00E96DA5">
            <w:pPr>
              <w:contextualSpacing/>
              <w:jc w:val="center"/>
              <w:rPr>
                <w:color w:val="000000"/>
              </w:rPr>
            </w:pPr>
            <w:r w:rsidRPr="00E96DA5">
              <w:rPr>
                <w:color w:val="000000"/>
              </w:rPr>
              <w:t>180</w:t>
            </w:r>
          </w:p>
        </w:tc>
        <w:tc>
          <w:tcPr>
            <w:tcW w:w="1080" w:type="dxa"/>
            <w:noWrap/>
            <w:vAlign w:val="center"/>
            <w:hideMark/>
          </w:tcPr>
          <w:p w14:paraId="5DFAC608" w14:textId="77777777" w:rsidR="00E96DA5" w:rsidRPr="00E96DA5" w:rsidRDefault="00E96DA5" w:rsidP="00E96DA5">
            <w:pPr>
              <w:contextualSpacing/>
              <w:jc w:val="center"/>
              <w:rPr>
                <w:color w:val="000000"/>
              </w:rPr>
            </w:pPr>
            <w:r w:rsidRPr="00E96DA5">
              <w:rPr>
                <w:color w:val="000000"/>
              </w:rPr>
              <w:t>72</w:t>
            </w:r>
          </w:p>
        </w:tc>
        <w:tc>
          <w:tcPr>
            <w:tcW w:w="1890" w:type="dxa"/>
            <w:noWrap/>
            <w:vAlign w:val="center"/>
            <w:hideMark/>
          </w:tcPr>
          <w:p w14:paraId="788BFCFD" w14:textId="77777777" w:rsidR="00E96DA5" w:rsidRPr="00E96DA5" w:rsidRDefault="00E96DA5" w:rsidP="00E96DA5">
            <w:pPr>
              <w:contextualSpacing/>
              <w:jc w:val="center"/>
              <w:rPr>
                <w:color w:val="000000"/>
              </w:rPr>
            </w:pPr>
            <w:r w:rsidRPr="00E96DA5">
              <w:rPr>
                <w:color w:val="000000"/>
              </w:rPr>
              <w:t>0.68 [0.62, 0.75]</w:t>
            </w:r>
          </w:p>
        </w:tc>
        <w:tc>
          <w:tcPr>
            <w:tcW w:w="1710" w:type="dxa"/>
            <w:noWrap/>
            <w:vAlign w:val="center"/>
            <w:hideMark/>
          </w:tcPr>
          <w:p w14:paraId="2D757F2E" w14:textId="77777777" w:rsidR="00E96DA5" w:rsidRPr="00CF4A2C" w:rsidRDefault="00E96DA5" w:rsidP="00EC3510">
            <w:pPr>
              <w:spacing w:before="0"/>
              <w:jc w:val="center"/>
            </w:pPr>
          </w:p>
        </w:tc>
        <w:tc>
          <w:tcPr>
            <w:tcW w:w="1965" w:type="dxa"/>
            <w:noWrap/>
            <w:vAlign w:val="center"/>
            <w:hideMark/>
          </w:tcPr>
          <w:p w14:paraId="0F9CD890" w14:textId="77777777" w:rsidR="00E96DA5" w:rsidRPr="00CF4A2C" w:rsidRDefault="00E96DA5" w:rsidP="00EC3510">
            <w:pPr>
              <w:spacing w:before="0"/>
              <w:jc w:val="center"/>
            </w:pPr>
          </w:p>
        </w:tc>
      </w:tr>
      <w:tr w:rsidR="00E96DA5" w:rsidRPr="00CF4A2C" w14:paraId="2F7CDE5D" w14:textId="77777777" w:rsidTr="00E96DA5">
        <w:trPr>
          <w:trHeight w:val="288"/>
        </w:trPr>
        <w:tc>
          <w:tcPr>
            <w:tcW w:w="1359" w:type="dxa"/>
            <w:noWrap/>
            <w:vAlign w:val="center"/>
            <w:hideMark/>
          </w:tcPr>
          <w:p w14:paraId="42B81AB4" w14:textId="77777777" w:rsidR="00E96DA5" w:rsidRPr="00CF4A2C" w:rsidRDefault="00E96DA5" w:rsidP="00EC3510">
            <w:pPr>
              <w:spacing w:before="0"/>
            </w:pPr>
            <w:r w:rsidRPr="00CF4A2C">
              <w:t>cyan</w:t>
            </w:r>
          </w:p>
        </w:tc>
        <w:tc>
          <w:tcPr>
            <w:tcW w:w="1269" w:type="dxa"/>
            <w:noWrap/>
            <w:vAlign w:val="center"/>
            <w:hideMark/>
          </w:tcPr>
          <w:p w14:paraId="2BE53306" w14:textId="77777777" w:rsidR="00E96DA5" w:rsidRPr="00E96DA5" w:rsidRDefault="00E96DA5" w:rsidP="00E96DA5">
            <w:pPr>
              <w:contextualSpacing/>
              <w:jc w:val="center"/>
              <w:rPr>
                <w:color w:val="000000"/>
              </w:rPr>
            </w:pPr>
            <w:r w:rsidRPr="00E96DA5">
              <w:rPr>
                <w:color w:val="000000"/>
              </w:rPr>
              <w:t>3</w:t>
            </w:r>
          </w:p>
        </w:tc>
        <w:tc>
          <w:tcPr>
            <w:tcW w:w="1080" w:type="dxa"/>
            <w:noWrap/>
            <w:vAlign w:val="center"/>
            <w:hideMark/>
          </w:tcPr>
          <w:p w14:paraId="12E33989" w14:textId="77777777" w:rsidR="00E96DA5" w:rsidRPr="00E96DA5" w:rsidRDefault="00E96DA5" w:rsidP="00E96DA5">
            <w:pPr>
              <w:contextualSpacing/>
              <w:jc w:val="center"/>
              <w:rPr>
                <w:color w:val="000000"/>
              </w:rPr>
            </w:pPr>
            <w:r w:rsidRPr="00E96DA5">
              <w:rPr>
                <w:color w:val="000000"/>
              </w:rPr>
              <w:t>3</w:t>
            </w:r>
          </w:p>
        </w:tc>
        <w:tc>
          <w:tcPr>
            <w:tcW w:w="1890" w:type="dxa"/>
            <w:noWrap/>
            <w:vAlign w:val="center"/>
            <w:hideMark/>
          </w:tcPr>
          <w:p w14:paraId="3222F3C5" w14:textId="77777777" w:rsidR="00E96DA5" w:rsidRPr="00E96DA5" w:rsidRDefault="00E96DA5" w:rsidP="00E96DA5">
            <w:pPr>
              <w:contextualSpacing/>
              <w:jc w:val="center"/>
              <w:rPr>
                <w:color w:val="000000"/>
              </w:rPr>
            </w:pPr>
            <w:r w:rsidRPr="00E96DA5">
              <w:rPr>
                <w:color w:val="000000"/>
              </w:rPr>
              <w:t>0.58 [0.51, 0.65]</w:t>
            </w:r>
          </w:p>
        </w:tc>
        <w:tc>
          <w:tcPr>
            <w:tcW w:w="1710" w:type="dxa"/>
            <w:noWrap/>
            <w:vAlign w:val="center"/>
            <w:hideMark/>
          </w:tcPr>
          <w:p w14:paraId="01EE8C7C" w14:textId="77777777" w:rsidR="00E96DA5" w:rsidRPr="00CF4A2C" w:rsidRDefault="00E96DA5" w:rsidP="00EC3510">
            <w:pPr>
              <w:spacing w:before="0"/>
              <w:jc w:val="center"/>
            </w:pPr>
          </w:p>
        </w:tc>
        <w:tc>
          <w:tcPr>
            <w:tcW w:w="1965" w:type="dxa"/>
            <w:noWrap/>
            <w:vAlign w:val="center"/>
            <w:hideMark/>
          </w:tcPr>
          <w:p w14:paraId="37902233" w14:textId="77777777" w:rsidR="00E96DA5" w:rsidRPr="00CF4A2C" w:rsidRDefault="00E96DA5" w:rsidP="00EC3510">
            <w:pPr>
              <w:spacing w:before="0"/>
              <w:jc w:val="center"/>
            </w:pPr>
          </w:p>
        </w:tc>
      </w:tr>
      <w:tr w:rsidR="00E96DA5" w:rsidRPr="00CF4A2C" w14:paraId="11BB6863" w14:textId="77777777" w:rsidTr="00E96DA5">
        <w:trPr>
          <w:trHeight w:val="288"/>
        </w:trPr>
        <w:tc>
          <w:tcPr>
            <w:tcW w:w="1359" w:type="dxa"/>
            <w:noWrap/>
            <w:vAlign w:val="center"/>
            <w:hideMark/>
          </w:tcPr>
          <w:p w14:paraId="646B6C7A" w14:textId="77777777" w:rsidR="00E96DA5" w:rsidRPr="00CF4A2C" w:rsidRDefault="00E96DA5" w:rsidP="00EC3510">
            <w:pPr>
              <w:spacing w:before="0"/>
            </w:pPr>
            <w:r w:rsidRPr="00CF4A2C">
              <w:t>darkgreen</w:t>
            </w:r>
          </w:p>
        </w:tc>
        <w:tc>
          <w:tcPr>
            <w:tcW w:w="1269" w:type="dxa"/>
            <w:noWrap/>
            <w:vAlign w:val="center"/>
            <w:hideMark/>
          </w:tcPr>
          <w:p w14:paraId="082D643B" w14:textId="77777777" w:rsidR="00E96DA5" w:rsidRPr="00E96DA5" w:rsidRDefault="00E96DA5" w:rsidP="00E96DA5">
            <w:pPr>
              <w:contextualSpacing/>
              <w:jc w:val="center"/>
              <w:rPr>
                <w:color w:val="000000"/>
              </w:rPr>
            </w:pPr>
            <w:r w:rsidRPr="00E96DA5">
              <w:rPr>
                <w:color w:val="000000"/>
              </w:rPr>
              <w:t>28</w:t>
            </w:r>
          </w:p>
        </w:tc>
        <w:tc>
          <w:tcPr>
            <w:tcW w:w="1080" w:type="dxa"/>
            <w:noWrap/>
            <w:vAlign w:val="center"/>
            <w:hideMark/>
          </w:tcPr>
          <w:p w14:paraId="506AF217" w14:textId="77777777" w:rsidR="00E96DA5" w:rsidRPr="00E96DA5" w:rsidRDefault="00E96DA5" w:rsidP="00E96DA5">
            <w:pPr>
              <w:contextualSpacing/>
              <w:jc w:val="center"/>
              <w:rPr>
                <w:color w:val="000000"/>
              </w:rPr>
            </w:pPr>
            <w:r w:rsidRPr="00E96DA5">
              <w:rPr>
                <w:color w:val="000000"/>
              </w:rPr>
              <w:t>20</w:t>
            </w:r>
          </w:p>
        </w:tc>
        <w:tc>
          <w:tcPr>
            <w:tcW w:w="1890" w:type="dxa"/>
            <w:noWrap/>
            <w:vAlign w:val="center"/>
            <w:hideMark/>
          </w:tcPr>
          <w:p w14:paraId="31D64136" w14:textId="77777777" w:rsidR="00E96DA5" w:rsidRPr="00E96DA5" w:rsidRDefault="00E96DA5" w:rsidP="00E96DA5">
            <w:pPr>
              <w:contextualSpacing/>
              <w:jc w:val="center"/>
              <w:rPr>
                <w:color w:val="000000"/>
              </w:rPr>
            </w:pPr>
            <w:r w:rsidRPr="00E96DA5">
              <w:rPr>
                <w:color w:val="000000"/>
              </w:rPr>
              <w:t>0.63 [0.57, 0.68]</w:t>
            </w:r>
          </w:p>
        </w:tc>
        <w:tc>
          <w:tcPr>
            <w:tcW w:w="1710" w:type="dxa"/>
            <w:noWrap/>
            <w:vAlign w:val="center"/>
            <w:hideMark/>
          </w:tcPr>
          <w:p w14:paraId="03907AD4" w14:textId="77777777" w:rsidR="00E96DA5" w:rsidRPr="00CF4A2C" w:rsidRDefault="00E96DA5" w:rsidP="00EC3510">
            <w:pPr>
              <w:spacing w:before="0"/>
              <w:jc w:val="center"/>
            </w:pPr>
          </w:p>
        </w:tc>
        <w:tc>
          <w:tcPr>
            <w:tcW w:w="1965" w:type="dxa"/>
            <w:noWrap/>
            <w:vAlign w:val="center"/>
            <w:hideMark/>
          </w:tcPr>
          <w:p w14:paraId="58C4D20F" w14:textId="77777777" w:rsidR="00E96DA5" w:rsidRPr="00CF4A2C" w:rsidRDefault="00E96DA5" w:rsidP="00EC3510">
            <w:pPr>
              <w:spacing w:before="0"/>
              <w:jc w:val="center"/>
            </w:pPr>
          </w:p>
        </w:tc>
      </w:tr>
      <w:tr w:rsidR="00E96DA5" w:rsidRPr="00CF4A2C" w14:paraId="111D1740" w14:textId="77777777" w:rsidTr="00E96DA5">
        <w:trPr>
          <w:trHeight w:val="288"/>
        </w:trPr>
        <w:tc>
          <w:tcPr>
            <w:tcW w:w="1359" w:type="dxa"/>
            <w:noWrap/>
            <w:vAlign w:val="center"/>
            <w:hideMark/>
          </w:tcPr>
          <w:p w14:paraId="5DA056C2" w14:textId="77777777" w:rsidR="00E96DA5" w:rsidRPr="00CF4A2C" w:rsidRDefault="00E96DA5" w:rsidP="00EC3510">
            <w:pPr>
              <w:spacing w:before="0"/>
            </w:pPr>
            <w:r w:rsidRPr="00CF4A2C">
              <w:t>darkred</w:t>
            </w:r>
          </w:p>
        </w:tc>
        <w:tc>
          <w:tcPr>
            <w:tcW w:w="1269" w:type="dxa"/>
            <w:noWrap/>
            <w:vAlign w:val="center"/>
            <w:hideMark/>
          </w:tcPr>
          <w:p w14:paraId="6B2D448A" w14:textId="77777777" w:rsidR="00E96DA5" w:rsidRPr="00E96DA5" w:rsidRDefault="00E96DA5" w:rsidP="00E96DA5">
            <w:pPr>
              <w:contextualSpacing/>
              <w:jc w:val="center"/>
              <w:rPr>
                <w:color w:val="000000"/>
              </w:rPr>
            </w:pPr>
            <w:r w:rsidRPr="00E96DA5">
              <w:rPr>
                <w:color w:val="000000"/>
              </w:rPr>
              <w:t>3</w:t>
            </w:r>
          </w:p>
        </w:tc>
        <w:tc>
          <w:tcPr>
            <w:tcW w:w="1080" w:type="dxa"/>
            <w:noWrap/>
            <w:vAlign w:val="center"/>
            <w:hideMark/>
          </w:tcPr>
          <w:p w14:paraId="42AB49D5" w14:textId="77777777" w:rsidR="00E96DA5" w:rsidRPr="00E96DA5" w:rsidRDefault="00E96DA5" w:rsidP="00E96DA5">
            <w:pPr>
              <w:contextualSpacing/>
              <w:jc w:val="center"/>
              <w:rPr>
                <w:color w:val="000000"/>
              </w:rPr>
            </w:pPr>
            <w:r w:rsidRPr="00E96DA5">
              <w:rPr>
                <w:color w:val="000000"/>
              </w:rPr>
              <w:t>3</w:t>
            </w:r>
          </w:p>
        </w:tc>
        <w:tc>
          <w:tcPr>
            <w:tcW w:w="1890" w:type="dxa"/>
            <w:noWrap/>
            <w:vAlign w:val="center"/>
            <w:hideMark/>
          </w:tcPr>
          <w:p w14:paraId="403C5934" w14:textId="77777777" w:rsidR="00E96DA5" w:rsidRPr="00E96DA5" w:rsidRDefault="00E96DA5" w:rsidP="00E96DA5">
            <w:pPr>
              <w:contextualSpacing/>
              <w:jc w:val="center"/>
              <w:rPr>
                <w:color w:val="000000"/>
              </w:rPr>
            </w:pPr>
            <w:r w:rsidRPr="00E96DA5">
              <w:rPr>
                <w:color w:val="000000"/>
              </w:rPr>
              <w:t>0.48 [0.38, 0.58]</w:t>
            </w:r>
          </w:p>
        </w:tc>
        <w:tc>
          <w:tcPr>
            <w:tcW w:w="1710" w:type="dxa"/>
            <w:noWrap/>
            <w:vAlign w:val="center"/>
            <w:hideMark/>
          </w:tcPr>
          <w:p w14:paraId="6636FE26" w14:textId="77777777" w:rsidR="00E96DA5" w:rsidRPr="00CF4A2C" w:rsidRDefault="00E96DA5" w:rsidP="00EC3510">
            <w:pPr>
              <w:spacing w:before="0"/>
              <w:jc w:val="center"/>
            </w:pPr>
          </w:p>
        </w:tc>
        <w:tc>
          <w:tcPr>
            <w:tcW w:w="1965" w:type="dxa"/>
            <w:noWrap/>
            <w:vAlign w:val="center"/>
            <w:hideMark/>
          </w:tcPr>
          <w:p w14:paraId="66C0E4F9" w14:textId="77777777" w:rsidR="00E96DA5" w:rsidRPr="00CF4A2C" w:rsidRDefault="00E96DA5" w:rsidP="00EC3510">
            <w:pPr>
              <w:spacing w:before="0"/>
              <w:jc w:val="center"/>
            </w:pPr>
          </w:p>
        </w:tc>
      </w:tr>
      <w:tr w:rsidR="00E96DA5" w:rsidRPr="00CF4A2C" w14:paraId="29314CE8" w14:textId="77777777" w:rsidTr="00E96DA5">
        <w:trPr>
          <w:trHeight w:val="288"/>
        </w:trPr>
        <w:tc>
          <w:tcPr>
            <w:tcW w:w="1359" w:type="dxa"/>
            <w:noWrap/>
            <w:vAlign w:val="center"/>
            <w:hideMark/>
          </w:tcPr>
          <w:p w14:paraId="2411B038" w14:textId="77777777" w:rsidR="00E96DA5" w:rsidRPr="00CF4A2C" w:rsidRDefault="00E96DA5" w:rsidP="00EC3510">
            <w:pPr>
              <w:spacing w:before="0"/>
            </w:pPr>
            <w:r w:rsidRPr="00CF4A2C">
              <w:t>darkturquoise</w:t>
            </w:r>
          </w:p>
        </w:tc>
        <w:tc>
          <w:tcPr>
            <w:tcW w:w="1269" w:type="dxa"/>
            <w:noWrap/>
            <w:vAlign w:val="center"/>
            <w:hideMark/>
          </w:tcPr>
          <w:p w14:paraId="55A21023" w14:textId="77777777" w:rsidR="00E96DA5" w:rsidRPr="00E96DA5" w:rsidRDefault="00E96DA5" w:rsidP="00E96DA5">
            <w:pPr>
              <w:contextualSpacing/>
              <w:jc w:val="center"/>
              <w:rPr>
                <w:color w:val="000000"/>
              </w:rPr>
            </w:pPr>
            <w:r w:rsidRPr="00E96DA5">
              <w:rPr>
                <w:color w:val="000000"/>
              </w:rPr>
              <w:t>2</w:t>
            </w:r>
          </w:p>
        </w:tc>
        <w:tc>
          <w:tcPr>
            <w:tcW w:w="1080" w:type="dxa"/>
            <w:noWrap/>
            <w:vAlign w:val="center"/>
            <w:hideMark/>
          </w:tcPr>
          <w:p w14:paraId="4551E69B" w14:textId="77777777" w:rsidR="00E96DA5" w:rsidRPr="00E96DA5" w:rsidRDefault="00E96DA5" w:rsidP="00E96DA5">
            <w:pPr>
              <w:contextualSpacing/>
              <w:jc w:val="center"/>
              <w:rPr>
                <w:color w:val="000000"/>
              </w:rPr>
            </w:pPr>
            <w:r w:rsidRPr="00E96DA5">
              <w:rPr>
                <w:color w:val="000000"/>
              </w:rPr>
              <w:t>2</w:t>
            </w:r>
          </w:p>
        </w:tc>
        <w:tc>
          <w:tcPr>
            <w:tcW w:w="1890" w:type="dxa"/>
            <w:noWrap/>
            <w:vAlign w:val="center"/>
            <w:hideMark/>
          </w:tcPr>
          <w:p w14:paraId="7208A49E" w14:textId="77777777" w:rsidR="00E96DA5" w:rsidRPr="00E96DA5" w:rsidRDefault="00E96DA5" w:rsidP="00E96DA5">
            <w:pPr>
              <w:contextualSpacing/>
              <w:jc w:val="center"/>
              <w:rPr>
                <w:color w:val="000000"/>
              </w:rPr>
            </w:pPr>
            <w:r w:rsidRPr="00E96DA5">
              <w:rPr>
                <w:color w:val="000000"/>
              </w:rPr>
              <w:t>0.57 [0.49, 0.64]</w:t>
            </w:r>
          </w:p>
        </w:tc>
        <w:tc>
          <w:tcPr>
            <w:tcW w:w="1710" w:type="dxa"/>
            <w:noWrap/>
            <w:vAlign w:val="center"/>
            <w:hideMark/>
          </w:tcPr>
          <w:p w14:paraId="50A03935" w14:textId="77777777" w:rsidR="00E96DA5" w:rsidRPr="00CF4A2C" w:rsidRDefault="00E96DA5" w:rsidP="00EC3510">
            <w:pPr>
              <w:spacing w:before="0"/>
              <w:jc w:val="center"/>
            </w:pPr>
          </w:p>
        </w:tc>
        <w:tc>
          <w:tcPr>
            <w:tcW w:w="1965" w:type="dxa"/>
            <w:noWrap/>
            <w:vAlign w:val="center"/>
            <w:hideMark/>
          </w:tcPr>
          <w:p w14:paraId="2DBF912E" w14:textId="77777777" w:rsidR="00E96DA5" w:rsidRPr="00CF4A2C" w:rsidRDefault="00E96DA5" w:rsidP="00EC3510">
            <w:pPr>
              <w:spacing w:before="0"/>
              <w:jc w:val="center"/>
            </w:pPr>
          </w:p>
        </w:tc>
      </w:tr>
      <w:tr w:rsidR="00E96DA5" w:rsidRPr="00CF4A2C" w14:paraId="6DF54D5D" w14:textId="77777777" w:rsidTr="00E96DA5">
        <w:trPr>
          <w:trHeight w:val="288"/>
        </w:trPr>
        <w:tc>
          <w:tcPr>
            <w:tcW w:w="1359" w:type="dxa"/>
            <w:noWrap/>
            <w:vAlign w:val="center"/>
            <w:hideMark/>
          </w:tcPr>
          <w:p w14:paraId="636026C9" w14:textId="77777777" w:rsidR="00E96DA5" w:rsidRPr="007B13D7" w:rsidRDefault="00E96DA5" w:rsidP="00EC3510">
            <w:pPr>
              <w:spacing w:before="0"/>
              <w:rPr>
                <w:b/>
              </w:rPr>
            </w:pPr>
            <w:r w:rsidRPr="007B13D7">
              <w:rPr>
                <w:b/>
              </w:rPr>
              <w:t>green</w:t>
            </w:r>
          </w:p>
        </w:tc>
        <w:tc>
          <w:tcPr>
            <w:tcW w:w="1269" w:type="dxa"/>
            <w:noWrap/>
            <w:vAlign w:val="center"/>
            <w:hideMark/>
          </w:tcPr>
          <w:p w14:paraId="7ABCEA4C" w14:textId="77777777" w:rsidR="00E96DA5" w:rsidRPr="00AE7F4C" w:rsidRDefault="00E96DA5" w:rsidP="00E96DA5">
            <w:pPr>
              <w:contextualSpacing/>
              <w:jc w:val="center"/>
              <w:rPr>
                <w:b/>
                <w:color w:val="000000"/>
              </w:rPr>
            </w:pPr>
            <w:r w:rsidRPr="00AE7F4C">
              <w:rPr>
                <w:b/>
                <w:color w:val="000000"/>
              </w:rPr>
              <w:t>97</w:t>
            </w:r>
          </w:p>
        </w:tc>
        <w:tc>
          <w:tcPr>
            <w:tcW w:w="1080" w:type="dxa"/>
            <w:noWrap/>
            <w:vAlign w:val="center"/>
            <w:hideMark/>
          </w:tcPr>
          <w:p w14:paraId="3C755A6C" w14:textId="77777777" w:rsidR="00E96DA5" w:rsidRPr="00AE7F4C" w:rsidRDefault="00E96DA5" w:rsidP="00E96DA5">
            <w:pPr>
              <w:contextualSpacing/>
              <w:jc w:val="center"/>
              <w:rPr>
                <w:b/>
                <w:color w:val="000000"/>
              </w:rPr>
            </w:pPr>
            <w:r w:rsidRPr="00AE7F4C">
              <w:rPr>
                <w:b/>
                <w:color w:val="000000"/>
              </w:rPr>
              <w:t>50</w:t>
            </w:r>
          </w:p>
        </w:tc>
        <w:tc>
          <w:tcPr>
            <w:tcW w:w="1890" w:type="dxa"/>
            <w:noWrap/>
            <w:vAlign w:val="center"/>
            <w:hideMark/>
          </w:tcPr>
          <w:p w14:paraId="7D1AC1F7" w14:textId="77777777" w:rsidR="00E96DA5" w:rsidRPr="00AE7F4C" w:rsidRDefault="00E96DA5" w:rsidP="00E96DA5">
            <w:pPr>
              <w:contextualSpacing/>
              <w:jc w:val="center"/>
              <w:rPr>
                <w:b/>
                <w:color w:val="000000"/>
              </w:rPr>
            </w:pPr>
            <w:r w:rsidRPr="00AE7F4C">
              <w:rPr>
                <w:b/>
                <w:color w:val="000000"/>
              </w:rPr>
              <w:t>0.67 [0.6</w:t>
            </w:r>
            <w:r w:rsidR="0071778A" w:rsidRPr="00AE7F4C">
              <w:rPr>
                <w:b/>
                <w:color w:val="000000"/>
              </w:rPr>
              <w:t>0</w:t>
            </w:r>
            <w:r w:rsidRPr="00AE7F4C">
              <w:rPr>
                <w:b/>
                <w:color w:val="000000"/>
              </w:rPr>
              <w:t>, 0.74]</w:t>
            </w:r>
          </w:p>
        </w:tc>
        <w:tc>
          <w:tcPr>
            <w:tcW w:w="1710" w:type="dxa"/>
            <w:noWrap/>
            <w:vAlign w:val="center"/>
            <w:hideMark/>
          </w:tcPr>
          <w:p w14:paraId="06900DAE" w14:textId="77777777" w:rsidR="00E96DA5" w:rsidRPr="00AE7F4C" w:rsidRDefault="00E96DA5" w:rsidP="00EC3510">
            <w:pPr>
              <w:spacing w:before="0"/>
              <w:jc w:val="center"/>
              <w:rPr>
                <w:b/>
              </w:rPr>
            </w:pPr>
            <w:r w:rsidRPr="00AE7F4C">
              <w:rPr>
                <w:b/>
              </w:rPr>
              <w:t>0.77 [0.67, 0.86]</w:t>
            </w:r>
          </w:p>
        </w:tc>
        <w:tc>
          <w:tcPr>
            <w:tcW w:w="1965" w:type="dxa"/>
            <w:noWrap/>
            <w:vAlign w:val="center"/>
            <w:hideMark/>
          </w:tcPr>
          <w:p w14:paraId="5F6983E2" w14:textId="77777777" w:rsidR="00E96DA5" w:rsidRPr="007B13D7" w:rsidRDefault="00E96DA5" w:rsidP="00EC3510">
            <w:pPr>
              <w:spacing w:before="0"/>
              <w:jc w:val="center"/>
              <w:rPr>
                <w:b/>
              </w:rPr>
            </w:pPr>
            <w:r w:rsidRPr="007B13D7">
              <w:rPr>
                <w:b/>
              </w:rPr>
              <w:t>0.74 [0.67, 0.81]</w:t>
            </w:r>
          </w:p>
        </w:tc>
      </w:tr>
      <w:tr w:rsidR="00E96DA5" w:rsidRPr="00CF4A2C" w14:paraId="4AA9F111" w14:textId="77777777" w:rsidTr="00E96DA5">
        <w:trPr>
          <w:trHeight w:val="288"/>
        </w:trPr>
        <w:tc>
          <w:tcPr>
            <w:tcW w:w="1359" w:type="dxa"/>
            <w:noWrap/>
            <w:vAlign w:val="center"/>
            <w:hideMark/>
          </w:tcPr>
          <w:p w14:paraId="76A5E7EF" w14:textId="77777777" w:rsidR="00E96DA5" w:rsidRPr="00CF4A2C" w:rsidRDefault="00E96DA5" w:rsidP="00EC3510">
            <w:pPr>
              <w:spacing w:before="0"/>
            </w:pPr>
            <w:r w:rsidRPr="00CF4A2C">
              <w:t>greenyellow</w:t>
            </w:r>
          </w:p>
        </w:tc>
        <w:tc>
          <w:tcPr>
            <w:tcW w:w="1269" w:type="dxa"/>
            <w:noWrap/>
            <w:vAlign w:val="center"/>
            <w:hideMark/>
          </w:tcPr>
          <w:p w14:paraId="55BFC577" w14:textId="77777777" w:rsidR="00E96DA5" w:rsidRPr="00E96DA5" w:rsidRDefault="00E96DA5" w:rsidP="00E96DA5">
            <w:pPr>
              <w:contextualSpacing/>
              <w:jc w:val="center"/>
              <w:rPr>
                <w:color w:val="000000"/>
              </w:rPr>
            </w:pPr>
            <w:r w:rsidRPr="00E96DA5">
              <w:rPr>
                <w:color w:val="000000"/>
              </w:rPr>
              <w:t>11</w:t>
            </w:r>
          </w:p>
        </w:tc>
        <w:tc>
          <w:tcPr>
            <w:tcW w:w="1080" w:type="dxa"/>
            <w:noWrap/>
            <w:vAlign w:val="center"/>
            <w:hideMark/>
          </w:tcPr>
          <w:p w14:paraId="390759FF" w14:textId="77777777" w:rsidR="00E96DA5" w:rsidRPr="00E96DA5" w:rsidRDefault="00E96DA5" w:rsidP="00E96DA5">
            <w:pPr>
              <w:contextualSpacing/>
              <w:jc w:val="center"/>
              <w:rPr>
                <w:color w:val="000000"/>
              </w:rPr>
            </w:pPr>
            <w:r w:rsidRPr="00E96DA5">
              <w:rPr>
                <w:color w:val="000000"/>
              </w:rPr>
              <w:t>9</w:t>
            </w:r>
          </w:p>
        </w:tc>
        <w:tc>
          <w:tcPr>
            <w:tcW w:w="1890" w:type="dxa"/>
            <w:noWrap/>
            <w:vAlign w:val="center"/>
            <w:hideMark/>
          </w:tcPr>
          <w:p w14:paraId="6A145776" w14:textId="77777777" w:rsidR="00E96DA5" w:rsidRPr="00E96DA5" w:rsidRDefault="00E96DA5" w:rsidP="00E96DA5">
            <w:pPr>
              <w:contextualSpacing/>
              <w:jc w:val="center"/>
              <w:rPr>
                <w:color w:val="000000"/>
              </w:rPr>
            </w:pPr>
            <w:r w:rsidRPr="00E96DA5">
              <w:rPr>
                <w:color w:val="000000"/>
              </w:rPr>
              <w:t>0.64 [0.56, 0.71]</w:t>
            </w:r>
          </w:p>
        </w:tc>
        <w:tc>
          <w:tcPr>
            <w:tcW w:w="1710" w:type="dxa"/>
            <w:noWrap/>
            <w:vAlign w:val="center"/>
            <w:hideMark/>
          </w:tcPr>
          <w:p w14:paraId="296C432E" w14:textId="77777777" w:rsidR="00E96DA5" w:rsidRPr="00CF4A2C" w:rsidRDefault="00E96DA5" w:rsidP="00EC3510">
            <w:pPr>
              <w:spacing w:before="0"/>
              <w:jc w:val="center"/>
            </w:pPr>
            <w:r w:rsidRPr="00CF4A2C">
              <w:t>0.31</w:t>
            </w:r>
            <w:r>
              <w:t xml:space="preserve"> </w:t>
            </w:r>
            <w:r w:rsidRPr="00CF4A2C">
              <w:t>[0.20, 0.43]</w:t>
            </w:r>
          </w:p>
        </w:tc>
        <w:tc>
          <w:tcPr>
            <w:tcW w:w="1965" w:type="dxa"/>
            <w:noWrap/>
            <w:vAlign w:val="center"/>
            <w:hideMark/>
          </w:tcPr>
          <w:p w14:paraId="3959F21C" w14:textId="77777777" w:rsidR="00E96DA5" w:rsidRPr="00CF4A2C" w:rsidRDefault="00E96DA5" w:rsidP="00EC3510">
            <w:pPr>
              <w:spacing w:before="0"/>
              <w:jc w:val="center"/>
            </w:pPr>
          </w:p>
        </w:tc>
      </w:tr>
      <w:tr w:rsidR="00E96DA5" w:rsidRPr="00CF4A2C" w14:paraId="15E28B19" w14:textId="77777777" w:rsidTr="00E96DA5">
        <w:trPr>
          <w:trHeight w:val="288"/>
        </w:trPr>
        <w:tc>
          <w:tcPr>
            <w:tcW w:w="1359" w:type="dxa"/>
            <w:noWrap/>
            <w:vAlign w:val="center"/>
            <w:hideMark/>
          </w:tcPr>
          <w:p w14:paraId="7491EB4B" w14:textId="77777777" w:rsidR="00E96DA5" w:rsidRPr="00CF4A2C" w:rsidRDefault="00E96DA5" w:rsidP="00EC3510">
            <w:pPr>
              <w:spacing w:before="0"/>
            </w:pPr>
            <w:r w:rsidRPr="00CF4A2C">
              <w:t>grey60</w:t>
            </w:r>
          </w:p>
        </w:tc>
        <w:tc>
          <w:tcPr>
            <w:tcW w:w="1269" w:type="dxa"/>
            <w:noWrap/>
            <w:vAlign w:val="center"/>
            <w:hideMark/>
          </w:tcPr>
          <w:p w14:paraId="1CFC9F73" w14:textId="77777777" w:rsidR="00E96DA5" w:rsidRPr="00E96DA5" w:rsidRDefault="00E96DA5" w:rsidP="00E96DA5">
            <w:pPr>
              <w:contextualSpacing/>
              <w:jc w:val="center"/>
              <w:rPr>
                <w:color w:val="000000"/>
              </w:rPr>
            </w:pPr>
            <w:r w:rsidRPr="00E96DA5">
              <w:rPr>
                <w:color w:val="000000"/>
              </w:rPr>
              <w:t>7</w:t>
            </w:r>
          </w:p>
        </w:tc>
        <w:tc>
          <w:tcPr>
            <w:tcW w:w="1080" w:type="dxa"/>
            <w:noWrap/>
            <w:vAlign w:val="center"/>
            <w:hideMark/>
          </w:tcPr>
          <w:p w14:paraId="227DB45A" w14:textId="77777777" w:rsidR="00E96DA5" w:rsidRPr="00E96DA5" w:rsidRDefault="00E96DA5" w:rsidP="00E96DA5">
            <w:pPr>
              <w:contextualSpacing/>
              <w:jc w:val="center"/>
              <w:rPr>
                <w:color w:val="000000"/>
              </w:rPr>
            </w:pPr>
            <w:r w:rsidRPr="00E96DA5">
              <w:rPr>
                <w:color w:val="000000"/>
              </w:rPr>
              <w:t>5</w:t>
            </w:r>
          </w:p>
        </w:tc>
        <w:tc>
          <w:tcPr>
            <w:tcW w:w="1890" w:type="dxa"/>
            <w:noWrap/>
            <w:vAlign w:val="center"/>
            <w:hideMark/>
          </w:tcPr>
          <w:p w14:paraId="4B7CB5AA" w14:textId="77777777" w:rsidR="00E96DA5" w:rsidRPr="00E96DA5" w:rsidRDefault="00E96DA5" w:rsidP="00E96DA5">
            <w:pPr>
              <w:contextualSpacing/>
              <w:jc w:val="center"/>
              <w:rPr>
                <w:color w:val="000000"/>
              </w:rPr>
            </w:pPr>
            <w:r w:rsidRPr="00E96DA5">
              <w:rPr>
                <w:color w:val="000000"/>
              </w:rPr>
              <w:t>0.62 [0.53, 0.69]</w:t>
            </w:r>
          </w:p>
        </w:tc>
        <w:tc>
          <w:tcPr>
            <w:tcW w:w="1710" w:type="dxa"/>
            <w:noWrap/>
            <w:vAlign w:val="center"/>
            <w:hideMark/>
          </w:tcPr>
          <w:p w14:paraId="0A5213DA" w14:textId="77777777" w:rsidR="00E96DA5" w:rsidRPr="00CF4A2C" w:rsidRDefault="00E96DA5" w:rsidP="00EC3510">
            <w:pPr>
              <w:spacing w:before="0"/>
              <w:jc w:val="center"/>
            </w:pPr>
          </w:p>
        </w:tc>
        <w:tc>
          <w:tcPr>
            <w:tcW w:w="1965" w:type="dxa"/>
            <w:noWrap/>
            <w:vAlign w:val="center"/>
            <w:hideMark/>
          </w:tcPr>
          <w:p w14:paraId="09D0448D" w14:textId="77777777" w:rsidR="00E96DA5" w:rsidRPr="00CF4A2C" w:rsidRDefault="00E96DA5" w:rsidP="00EC3510">
            <w:pPr>
              <w:spacing w:before="0"/>
              <w:jc w:val="center"/>
            </w:pPr>
          </w:p>
        </w:tc>
      </w:tr>
      <w:tr w:rsidR="00E96DA5" w:rsidRPr="00CF4A2C" w14:paraId="742A3EA0" w14:textId="77777777" w:rsidTr="00E96DA5">
        <w:trPr>
          <w:trHeight w:val="288"/>
        </w:trPr>
        <w:tc>
          <w:tcPr>
            <w:tcW w:w="1359" w:type="dxa"/>
            <w:noWrap/>
            <w:vAlign w:val="center"/>
            <w:hideMark/>
          </w:tcPr>
          <w:p w14:paraId="2EFF0890" w14:textId="77777777" w:rsidR="00E96DA5" w:rsidRPr="007B13D7" w:rsidRDefault="00E96DA5" w:rsidP="00EC3510">
            <w:pPr>
              <w:spacing w:before="0"/>
              <w:rPr>
                <w:b/>
              </w:rPr>
            </w:pPr>
            <w:r w:rsidRPr="007B13D7">
              <w:rPr>
                <w:b/>
              </w:rPr>
              <w:t>light-cyan</w:t>
            </w:r>
          </w:p>
        </w:tc>
        <w:tc>
          <w:tcPr>
            <w:tcW w:w="1269" w:type="dxa"/>
            <w:noWrap/>
            <w:vAlign w:val="center"/>
            <w:hideMark/>
          </w:tcPr>
          <w:p w14:paraId="08F844EC" w14:textId="77777777" w:rsidR="00E96DA5" w:rsidRPr="00AE7F4C" w:rsidRDefault="00E96DA5" w:rsidP="00E96DA5">
            <w:pPr>
              <w:contextualSpacing/>
              <w:jc w:val="center"/>
              <w:rPr>
                <w:b/>
                <w:color w:val="000000"/>
              </w:rPr>
            </w:pPr>
            <w:r w:rsidRPr="00AE7F4C">
              <w:rPr>
                <w:b/>
                <w:color w:val="000000"/>
              </w:rPr>
              <w:t>22</w:t>
            </w:r>
          </w:p>
        </w:tc>
        <w:tc>
          <w:tcPr>
            <w:tcW w:w="1080" w:type="dxa"/>
            <w:noWrap/>
            <w:vAlign w:val="center"/>
            <w:hideMark/>
          </w:tcPr>
          <w:p w14:paraId="3778C596" w14:textId="77777777" w:rsidR="00E96DA5" w:rsidRPr="00AE7F4C" w:rsidRDefault="00E96DA5" w:rsidP="00E96DA5">
            <w:pPr>
              <w:contextualSpacing/>
              <w:jc w:val="center"/>
              <w:rPr>
                <w:b/>
                <w:color w:val="000000"/>
              </w:rPr>
            </w:pPr>
            <w:r w:rsidRPr="00AE7F4C">
              <w:rPr>
                <w:b/>
                <w:color w:val="000000"/>
              </w:rPr>
              <w:t>16</w:t>
            </w:r>
          </w:p>
        </w:tc>
        <w:tc>
          <w:tcPr>
            <w:tcW w:w="1890" w:type="dxa"/>
            <w:noWrap/>
            <w:vAlign w:val="center"/>
            <w:hideMark/>
          </w:tcPr>
          <w:p w14:paraId="2F40D9A5" w14:textId="77777777" w:rsidR="00E96DA5" w:rsidRPr="00AE7F4C" w:rsidRDefault="00E96DA5" w:rsidP="00E96DA5">
            <w:pPr>
              <w:contextualSpacing/>
              <w:jc w:val="center"/>
              <w:rPr>
                <w:b/>
                <w:color w:val="000000"/>
              </w:rPr>
            </w:pPr>
            <w:r w:rsidRPr="00AE7F4C">
              <w:rPr>
                <w:b/>
                <w:color w:val="000000"/>
              </w:rPr>
              <w:t>0.68 [0.63, 0.74]</w:t>
            </w:r>
          </w:p>
        </w:tc>
        <w:tc>
          <w:tcPr>
            <w:tcW w:w="1710" w:type="dxa"/>
            <w:noWrap/>
            <w:vAlign w:val="center"/>
            <w:hideMark/>
          </w:tcPr>
          <w:p w14:paraId="65EA53B9" w14:textId="77777777" w:rsidR="00E96DA5" w:rsidRPr="007B13D7" w:rsidRDefault="00E96DA5" w:rsidP="00EC3510">
            <w:pPr>
              <w:spacing w:before="0"/>
              <w:jc w:val="center"/>
              <w:rPr>
                <w:b/>
              </w:rPr>
            </w:pPr>
            <w:r w:rsidRPr="007B13D7">
              <w:rPr>
                <w:b/>
              </w:rPr>
              <w:t>0.76 [0.67, 0.86]</w:t>
            </w:r>
          </w:p>
        </w:tc>
        <w:tc>
          <w:tcPr>
            <w:tcW w:w="1965" w:type="dxa"/>
            <w:noWrap/>
            <w:vAlign w:val="center"/>
            <w:hideMark/>
          </w:tcPr>
          <w:p w14:paraId="699AD6AB" w14:textId="77777777" w:rsidR="00E96DA5" w:rsidRPr="007B13D7" w:rsidRDefault="00E96DA5" w:rsidP="00EC3510">
            <w:pPr>
              <w:spacing w:before="0"/>
              <w:jc w:val="center"/>
              <w:rPr>
                <w:b/>
              </w:rPr>
            </w:pPr>
            <w:r w:rsidRPr="007B13D7">
              <w:rPr>
                <w:b/>
              </w:rPr>
              <w:t>0.77 [0.71, 0.83]</w:t>
            </w:r>
          </w:p>
        </w:tc>
      </w:tr>
      <w:tr w:rsidR="00E96DA5" w:rsidRPr="00CF4A2C" w14:paraId="2A850FA6" w14:textId="77777777" w:rsidTr="00E96DA5">
        <w:trPr>
          <w:trHeight w:val="288"/>
        </w:trPr>
        <w:tc>
          <w:tcPr>
            <w:tcW w:w="1359" w:type="dxa"/>
            <w:noWrap/>
            <w:vAlign w:val="center"/>
            <w:hideMark/>
          </w:tcPr>
          <w:p w14:paraId="13B17E88" w14:textId="77777777" w:rsidR="00E96DA5" w:rsidRPr="00CF4A2C" w:rsidRDefault="00E96DA5" w:rsidP="00EC3510">
            <w:pPr>
              <w:spacing w:before="0"/>
            </w:pPr>
            <w:r w:rsidRPr="00CF4A2C">
              <w:t>light</w:t>
            </w:r>
            <w:r>
              <w:t>-</w:t>
            </w:r>
            <w:r w:rsidRPr="00CF4A2C">
              <w:t>green</w:t>
            </w:r>
          </w:p>
        </w:tc>
        <w:tc>
          <w:tcPr>
            <w:tcW w:w="1269" w:type="dxa"/>
            <w:noWrap/>
            <w:vAlign w:val="center"/>
            <w:hideMark/>
          </w:tcPr>
          <w:p w14:paraId="1B4FEB5E" w14:textId="77777777" w:rsidR="00E96DA5" w:rsidRPr="00E96DA5" w:rsidRDefault="00E96DA5" w:rsidP="00E96DA5">
            <w:pPr>
              <w:contextualSpacing/>
              <w:jc w:val="center"/>
              <w:rPr>
                <w:color w:val="000000"/>
              </w:rPr>
            </w:pPr>
            <w:r w:rsidRPr="00E96DA5">
              <w:rPr>
                <w:color w:val="000000"/>
              </w:rPr>
              <w:t>15</w:t>
            </w:r>
          </w:p>
        </w:tc>
        <w:tc>
          <w:tcPr>
            <w:tcW w:w="1080" w:type="dxa"/>
            <w:noWrap/>
            <w:vAlign w:val="center"/>
            <w:hideMark/>
          </w:tcPr>
          <w:p w14:paraId="64054552" w14:textId="77777777" w:rsidR="00E96DA5" w:rsidRPr="00E96DA5" w:rsidRDefault="00E96DA5" w:rsidP="00E96DA5">
            <w:pPr>
              <w:contextualSpacing/>
              <w:jc w:val="center"/>
              <w:rPr>
                <w:color w:val="000000"/>
              </w:rPr>
            </w:pPr>
            <w:r w:rsidRPr="00E96DA5">
              <w:rPr>
                <w:color w:val="000000"/>
              </w:rPr>
              <w:t>10</w:t>
            </w:r>
          </w:p>
        </w:tc>
        <w:tc>
          <w:tcPr>
            <w:tcW w:w="1890" w:type="dxa"/>
            <w:noWrap/>
            <w:vAlign w:val="center"/>
            <w:hideMark/>
          </w:tcPr>
          <w:p w14:paraId="39414244" w14:textId="77777777" w:rsidR="00E96DA5" w:rsidRPr="00E96DA5" w:rsidRDefault="00E96DA5" w:rsidP="00E96DA5">
            <w:pPr>
              <w:contextualSpacing/>
              <w:jc w:val="center"/>
              <w:rPr>
                <w:color w:val="000000"/>
              </w:rPr>
            </w:pPr>
            <w:r w:rsidRPr="00E96DA5">
              <w:rPr>
                <w:color w:val="000000"/>
              </w:rPr>
              <w:t>0.64 [0.58, 0.68]</w:t>
            </w:r>
          </w:p>
        </w:tc>
        <w:tc>
          <w:tcPr>
            <w:tcW w:w="1710" w:type="dxa"/>
            <w:noWrap/>
            <w:vAlign w:val="center"/>
            <w:hideMark/>
          </w:tcPr>
          <w:p w14:paraId="1797FEA0" w14:textId="77777777" w:rsidR="00E96DA5" w:rsidRPr="00CF4A2C" w:rsidRDefault="00E96DA5" w:rsidP="00EC3510">
            <w:pPr>
              <w:spacing w:before="0"/>
              <w:jc w:val="center"/>
            </w:pPr>
          </w:p>
        </w:tc>
        <w:tc>
          <w:tcPr>
            <w:tcW w:w="1965" w:type="dxa"/>
            <w:noWrap/>
            <w:vAlign w:val="center"/>
            <w:hideMark/>
          </w:tcPr>
          <w:p w14:paraId="3D100463" w14:textId="77777777" w:rsidR="00E96DA5" w:rsidRPr="00CF4A2C" w:rsidRDefault="00E96DA5" w:rsidP="00EC3510">
            <w:pPr>
              <w:spacing w:before="0"/>
              <w:jc w:val="center"/>
            </w:pPr>
          </w:p>
        </w:tc>
      </w:tr>
      <w:tr w:rsidR="00E96DA5" w:rsidRPr="00CF4A2C" w14:paraId="726FFAFD" w14:textId="77777777" w:rsidTr="00E96DA5">
        <w:trPr>
          <w:trHeight w:val="288"/>
        </w:trPr>
        <w:tc>
          <w:tcPr>
            <w:tcW w:w="1359" w:type="dxa"/>
            <w:noWrap/>
            <w:vAlign w:val="center"/>
            <w:hideMark/>
          </w:tcPr>
          <w:p w14:paraId="4DB62A4C" w14:textId="77777777" w:rsidR="00E96DA5" w:rsidRPr="00CF4A2C" w:rsidRDefault="00E96DA5" w:rsidP="00EC3510">
            <w:pPr>
              <w:spacing w:before="0"/>
            </w:pPr>
            <w:r w:rsidRPr="00CF4A2C">
              <w:t>light</w:t>
            </w:r>
            <w:r>
              <w:t>-</w:t>
            </w:r>
            <w:r w:rsidRPr="00CF4A2C">
              <w:t>yellow</w:t>
            </w:r>
          </w:p>
        </w:tc>
        <w:tc>
          <w:tcPr>
            <w:tcW w:w="1269" w:type="dxa"/>
            <w:noWrap/>
            <w:vAlign w:val="center"/>
            <w:hideMark/>
          </w:tcPr>
          <w:p w14:paraId="60817B07" w14:textId="77777777" w:rsidR="00E96DA5" w:rsidRPr="00E96DA5" w:rsidRDefault="00E96DA5" w:rsidP="00E96DA5">
            <w:pPr>
              <w:contextualSpacing/>
              <w:jc w:val="center"/>
              <w:rPr>
                <w:color w:val="000000"/>
              </w:rPr>
            </w:pPr>
            <w:r w:rsidRPr="00E96DA5">
              <w:rPr>
                <w:color w:val="000000"/>
              </w:rPr>
              <w:t>5</w:t>
            </w:r>
          </w:p>
        </w:tc>
        <w:tc>
          <w:tcPr>
            <w:tcW w:w="1080" w:type="dxa"/>
            <w:noWrap/>
            <w:vAlign w:val="center"/>
            <w:hideMark/>
          </w:tcPr>
          <w:p w14:paraId="62599814" w14:textId="77777777" w:rsidR="00E96DA5" w:rsidRPr="00E96DA5" w:rsidRDefault="00E96DA5" w:rsidP="00E96DA5">
            <w:pPr>
              <w:contextualSpacing/>
              <w:jc w:val="center"/>
              <w:rPr>
                <w:color w:val="000000"/>
              </w:rPr>
            </w:pPr>
            <w:r w:rsidRPr="00E96DA5">
              <w:rPr>
                <w:color w:val="000000"/>
              </w:rPr>
              <w:t>5</w:t>
            </w:r>
          </w:p>
        </w:tc>
        <w:tc>
          <w:tcPr>
            <w:tcW w:w="1890" w:type="dxa"/>
            <w:noWrap/>
            <w:vAlign w:val="center"/>
            <w:hideMark/>
          </w:tcPr>
          <w:p w14:paraId="222C1D9F" w14:textId="77777777" w:rsidR="00E96DA5" w:rsidRPr="00E96DA5" w:rsidRDefault="00E96DA5" w:rsidP="00E96DA5">
            <w:pPr>
              <w:contextualSpacing/>
              <w:jc w:val="center"/>
              <w:rPr>
                <w:color w:val="000000"/>
              </w:rPr>
            </w:pPr>
            <w:r w:rsidRPr="00E96DA5">
              <w:rPr>
                <w:color w:val="000000"/>
              </w:rPr>
              <w:t>0.43 [0.35, 0.51]</w:t>
            </w:r>
          </w:p>
        </w:tc>
        <w:tc>
          <w:tcPr>
            <w:tcW w:w="1710" w:type="dxa"/>
            <w:noWrap/>
            <w:vAlign w:val="center"/>
            <w:hideMark/>
          </w:tcPr>
          <w:p w14:paraId="117914E3" w14:textId="77777777" w:rsidR="00E96DA5" w:rsidRPr="00CF4A2C" w:rsidRDefault="00E96DA5" w:rsidP="00EC3510">
            <w:pPr>
              <w:spacing w:before="0"/>
              <w:jc w:val="center"/>
            </w:pPr>
          </w:p>
        </w:tc>
        <w:tc>
          <w:tcPr>
            <w:tcW w:w="1965" w:type="dxa"/>
            <w:noWrap/>
            <w:vAlign w:val="center"/>
            <w:hideMark/>
          </w:tcPr>
          <w:p w14:paraId="6D22FDD0" w14:textId="77777777" w:rsidR="00E96DA5" w:rsidRPr="00CF4A2C" w:rsidRDefault="00E96DA5" w:rsidP="00EC3510">
            <w:pPr>
              <w:spacing w:before="0"/>
              <w:jc w:val="center"/>
            </w:pPr>
          </w:p>
        </w:tc>
      </w:tr>
      <w:tr w:rsidR="00E96DA5" w:rsidRPr="00CF4A2C" w14:paraId="6E3B6CE3" w14:textId="77777777" w:rsidTr="00E96DA5">
        <w:trPr>
          <w:trHeight w:val="288"/>
        </w:trPr>
        <w:tc>
          <w:tcPr>
            <w:tcW w:w="1359" w:type="dxa"/>
            <w:noWrap/>
            <w:vAlign w:val="center"/>
            <w:hideMark/>
          </w:tcPr>
          <w:p w14:paraId="4CFCA170" w14:textId="77777777" w:rsidR="00E96DA5" w:rsidRPr="00CF4A2C" w:rsidRDefault="00E96DA5" w:rsidP="00EC3510">
            <w:pPr>
              <w:spacing w:before="0"/>
            </w:pPr>
            <w:r w:rsidRPr="00CF4A2C">
              <w:t>magenta</w:t>
            </w:r>
          </w:p>
        </w:tc>
        <w:tc>
          <w:tcPr>
            <w:tcW w:w="1269" w:type="dxa"/>
            <w:noWrap/>
            <w:vAlign w:val="center"/>
            <w:hideMark/>
          </w:tcPr>
          <w:p w14:paraId="12CA2453" w14:textId="77777777" w:rsidR="00E96DA5" w:rsidRPr="00E96DA5" w:rsidRDefault="00E96DA5" w:rsidP="00E96DA5">
            <w:pPr>
              <w:contextualSpacing/>
              <w:jc w:val="center"/>
              <w:rPr>
                <w:color w:val="000000"/>
              </w:rPr>
            </w:pPr>
            <w:r w:rsidRPr="00E96DA5">
              <w:rPr>
                <w:color w:val="000000"/>
              </w:rPr>
              <w:t>38</w:t>
            </w:r>
          </w:p>
        </w:tc>
        <w:tc>
          <w:tcPr>
            <w:tcW w:w="1080" w:type="dxa"/>
            <w:noWrap/>
            <w:vAlign w:val="center"/>
            <w:hideMark/>
          </w:tcPr>
          <w:p w14:paraId="6FE0476F" w14:textId="77777777" w:rsidR="00E96DA5" w:rsidRPr="00E96DA5" w:rsidRDefault="00E96DA5" w:rsidP="00E96DA5">
            <w:pPr>
              <w:contextualSpacing/>
              <w:jc w:val="center"/>
              <w:rPr>
                <w:color w:val="000000"/>
              </w:rPr>
            </w:pPr>
            <w:r w:rsidRPr="00E96DA5">
              <w:rPr>
                <w:color w:val="000000"/>
              </w:rPr>
              <w:t>28</w:t>
            </w:r>
          </w:p>
        </w:tc>
        <w:tc>
          <w:tcPr>
            <w:tcW w:w="1890" w:type="dxa"/>
            <w:noWrap/>
            <w:vAlign w:val="center"/>
            <w:hideMark/>
          </w:tcPr>
          <w:p w14:paraId="0A2171E0" w14:textId="77777777" w:rsidR="00E96DA5" w:rsidRPr="00E96DA5" w:rsidRDefault="00E96DA5" w:rsidP="00E96DA5">
            <w:pPr>
              <w:contextualSpacing/>
              <w:jc w:val="center"/>
              <w:rPr>
                <w:color w:val="000000"/>
              </w:rPr>
            </w:pPr>
            <w:r w:rsidRPr="00E96DA5">
              <w:rPr>
                <w:color w:val="000000"/>
              </w:rPr>
              <w:t>0.64 [0.57, 0.7</w:t>
            </w:r>
            <w:r w:rsidR="0071778A">
              <w:rPr>
                <w:color w:val="000000"/>
              </w:rPr>
              <w:t>0</w:t>
            </w:r>
            <w:r w:rsidRPr="00E96DA5">
              <w:rPr>
                <w:color w:val="000000"/>
              </w:rPr>
              <w:t>]</w:t>
            </w:r>
          </w:p>
        </w:tc>
        <w:tc>
          <w:tcPr>
            <w:tcW w:w="1710" w:type="dxa"/>
            <w:noWrap/>
            <w:vAlign w:val="center"/>
            <w:hideMark/>
          </w:tcPr>
          <w:p w14:paraId="401A5E4A" w14:textId="77777777" w:rsidR="00E96DA5" w:rsidRPr="00CF4A2C" w:rsidRDefault="00E96DA5" w:rsidP="00EC3510">
            <w:pPr>
              <w:spacing w:before="0"/>
              <w:jc w:val="center"/>
            </w:pPr>
          </w:p>
        </w:tc>
        <w:tc>
          <w:tcPr>
            <w:tcW w:w="1965" w:type="dxa"/>
            <w:noWrap/>
            <w:vAlign w:val="center"/>
            <w:hideMark/>
          </w:tcPr>
          <w:p w14:paraId="4EA01466" w14:textId="77777777" w:rsidR="00E96DA5" w:rsidRPr="00CF4A2C" w:rsidRDefault="00E96DA5" w:rsidP="00EC3510">
            <w:pPr>
              <w:spacing w:before="0"/>
              <w:jc w:val="center"/>
            </w:pPr>
          </w:p>
        </w:tc>
      </w:tr>
      <w:tr w:rsidR="00E96DA5" w:rsidRPr="00CF4A2C" w14:paraId="56F66A50" w14:textId="77777777" w:rsidTr="00E96DA5">
        <w:trPr>
          <w:trHeight w:val="288"/>
        </w:trPr>
        <w:tc>
          <w:tcPr>
            <w:tcW w:w="1359" w:type="dxa"/>
            <w:noWrap/>
            <w:vAlign w:val="center"/>
            <w:hideMark/>
          </w:tcPr>
          <w:p w14:paraId="78CD2684" w14:textId="77777777" w:rsidR="00E96DA5" w:rsidRPr="00CF4A2C" w:rsidRDefault="00E96DA5" w:rsidP="00EC3510">
            <w:pPr>
              <w:spacing w:before="0"/>
            </w:pPr>
            <w:r w:rsidRPr="00CF4A2C">
              <w:t>midnightblue</w:t>
            </w:r>
          </w:p>
        </w:tc>
        <w:tc>
          <w:tcPr>
            <w:tcW w:w="1269" w:type="dxa"/>
            <w:noWrap/>
            <w:vAlign w:val="center"/>
            <w:hideMark/>
          </w:tcPr>
          <w:p w14:paraId="714B7F13" w14:textId="77777777" w:rsidR="00E96DA5" w:rsidRPr="00E96DA5" w:rsidRDefault="00E96DA5" w:rsidP="00E96DA5">
            <w:pPr>
              <w:contextualSpacing/>
              <w:jc w:val="center"/>
              <w:rPr>
                <w:color w:val="000000"/>
              </w:rPr>
            </w:pPr>
            <w:r w:rsidRPr="00E96DA5">
              <w:rPr>
                <w:color w:val="000000"/>
              </w:rPr>
              <w:t>14</w:t>
            </w:r>
          </w:p>
        </w:tc>
        <w:tc>
          <w:tcPr>
            <w:tcW w:w="1080" w:type="dxa"/>
            <w:noWrap/>
            <w:vAlign w:val="center"/>
            <w:hideMark/>
          </w:tcPr>
          <w:p w14:paraId="7856F61B" w14:textId="77777777" w:rsidR="00E96DA5" w:rsidRPr="00E96DA5" w:rsidRDefault="00E96DA5" w:rsidP="00E96DA5">
            <w:pPr>
              <w:contextualSpacing/>
              <w:jc w:val="center"/>
              <w:rPr>
                <w:color w:val="000000"/>
              </w:rPr>
            </w:pPr>
            <w:r w:rsidRPr="00E96DA5">
              <w:rPr>
                <w:color w:val="000000"/>
              </w:rPr>
              <w:t>7</w:t>
            </w:r>
          </w:p>
        </w:tc>
        <w:tc>
          <w:tcPr>
            <w:tcW w:w="1890" w:type="dxa"/>
            <w:noWrap/>
            <w:vAlign w:val="center"/>
            <w:hideMark/>
          </w:tcPr>
          <w:p w14:paraId="3B2C73E7" w14:textId="77777777" w:rsidR="00E96DA5" w:rsidRPr="00E96DA5" w:rsidRDefault="00E96DA5" w:rsidP="00E96DA5">
            <w:pPr>
              <w:contextualSpacing/>
              <w:jc w:val="center"/>
              <w:rPr>
                <w:color w:val="000000"/>
              </w:rPr>
            </w:pPr>
            <w:r w:rsidRPr="00E96DA5">
              <w:rPr>
                <w:color w:val="000000"/>
              </w:rPr>
              <w:t>0.57 [0.51, 0.63]</w:t>
            </w:r>
          </w:p>
        </w:tc>
        <w:tc>
          <w:tcPr>
            <w:tcW w:w="1710" w:type="dxa"/>
            <w:noWrap/>
            <w:vAlign w:val="center"/>
            <w:hideMark/>
          </w:tcPr>
          <w:p w14:paraId="336735C4" w14:textId="77777777" w:rsidR="00E96DA5" w:rsidRPr="00CF4A2C" w:rsidRDefault="00E96DA5" w:rsidP="00EC3510">
            <w:pPr>
              <w:spacing w:before="0"/>
              <w:jc w:val="center"/>
            </w:pPr>
          </w:p>
        </w:tc>
        <w:tc>
          <w:tcPr>
            <w:tcW w:w="1965" w:type="dxa"/>
            <w:noWrap/>
            <w:vAlign w:val="center"/>
            <w:hideMark/>
          </w:tcPr>
          <w:p w14:paraId="198679AC" w14:textId="77777777" w:rsidR="00E96DA5" w:rsidRPr="00CF4A2C" w:rsidRDefault="00E96DA5" w:rsidP="00EC3510">
            <w:pPr>
              <w:spacing w:before="0"/>
              <w:jc w:val="center"/>
            </w:pPr>
          </w:p>
        </w:tc>
      </w:tr>
      <w:tr w:rsidR="00E96DA5" w:rsidRPr="00CF4A2C" w14:paraId="4231F0C2" w14:textId="77777777" w:rsidTr="00E96DA5">
        <w:trPr>
          <w:trHeight w:val="288"/>
        </w:trPr>
        <w:tc>
          <w:tcPr>
            <w:tcW w:w="1359" w:type="dxa"/>
            <w:noWrap/>
            <w:vAlign w:val="center"/>
            <w:hideMark/>
          </w:tcPr>
          <w:p w14:paraId="46596D0F" w14:textId="77777777" w:rsidR="00E96DA5" w:rsidRPr="00CF4A2C" w:rsidRDefault="00E96DA5" w:rsidP="00EC3510">
            <w:pPr>
              <w:spacing w:before="0"/>
            </w:pPr>
            <w:r w:rsidRPr="00CF4A2C">
              <w:t>pink</w:t>
            </w:r>
          </w:p>
        </w:tc>
        <w:tc>
          <w:tcPr>
            <w:tcW w:w="1269" w:type="dxa"/>
            <w:noWrap/>
            <w:vAlign w:val="center"/>
            <w:hideMark/>
          </w:tcPr>
          <w:p w14:paraId="6FB9A4CC" w14:textId="77777777" w:rsidR="00E96DA5" w:rsidRPr="00E96DA5" w:rsidRDefault="00E96DA5" w:rsidP="00E96DA5">
            <w:pPr>
              <w:contextualSpacing/>
              <w:jc w:val="center"/>
              <w:rPr>
                <w:color w:val="000000"/>
              </w:rPr>
            </w:pPr>
            <w:r w:rsidRPr="00E96DA5">
              <w:rPr>
                <w:color w:val="000000"/>
              </w:rPr>
              <w:t>49</w:t>
            </w:r>
          </w:p>
        </w:tc>
        <w:tc>
          <w:tcPr>
            <w:tcW w:w="1080" w:type="dxa"/>
            <w:noWrap/>
            <w:vAlign w:val="center"/>
            <w:hideMark/>
          </w:tcPr>
          <w:p w14:paraId="3FF429D5" w14:textId="77777777" w:rsidR="00E96DA5" w:rsidRPr="00E96DA5" w:rsidRDefault="00E96DA5" w:rsidP="00E96DA5">
            <w:pPr>
              <w:contextualSpacing/>
              <w:jc w:val="center"/>
              <w:rPr>
                <w:color w:val="000000"/>
              </w:rPr>
            </w:pPr>
            <w:r w:rsidRPr="00E96DA5">
              <w:rPr>
                <w:color w:val="000000"/>
              </w:rPr>
              <w:t>28</w:t>
            </w:r>
          </w:p>
        </w:tc>
        <w:tc>
          <w:tcPr>
            <w:tcW w:w="1890" w:type="dxa"/>
            <w:noWrap/>
            <w:vAlign w:val="center"/>
            <w:hideMark/>
          </w:tcPr>
          <w:p w14:paraId="14F5B6CF" w14:textId="77777777" w:rsidR="00E96DA5" w:rsidRPr="00E96DA5" w:rsidRDefault="00E96DA5" w:rsidP="00E96DA5">
            <w:pPr>
              <w:contextualSpacing/>
              <w:jc w:val="center"/>
              <w:rPr>
                <w:color w:val="000000"/>
              </w:rPr>
            </w:pPr>
            <w:r w:rsidRPr="00E96DA5">
              <w:rPr>
                <w:color w:val="000000"/>
              </w:rPr>
              <w:t>0.67 [0.61, 0.73]</w:t>
            </w:r>
          </w:p>
        </w:tc>
        <w:tc>
          <w:tcPr>
            <w:tcW w:w="1710" w:type="dxa"/>
            <w:noWrap/>
            <w:vAlign w:val="center"/>
            <w:hideMark/>
          </w:tcPr>
          <w:p w14:paraId="3172E24A" w14:textId="77777777" w:rsidR="00E96DA5" w:rsidRPr="00CF4A2C" w:rsidRDefault="00E96DA5" w:rsidP="00EC3510">
            <w:pPr>
              <w:spacing w:before="0"/>
              <w:jc w:val="center"/>
            </w:pPr>
            <w:r w:rsidRPr="00CF4A2C">
              <w:t>0.39</w:t>
            </w:r>
            <w:r>
              <w:t xml:space="preserve"> </w:t>
            </w:r>
            <w:r w:rsidRPr="00CF4A2C">
              <w:t>[0.27, 0.51]</w:t>
            </w:r>
          </w:p>
        </w:tc>
        <w:tc>
          <w:tcPr>
            <w:tcW w:w="1965" w:type="dxa"/>
            <w:noWrap/>
            <w:vAlign w:val="center"/>
            <w:hideMark/>
          </w:tcPr>
          <w:p w14:paraId="1F60087A" w14:textId="77777777" w:rsidR="00E96DA5" w:rsidRPr="00CF4A2C" w:rsidRDefault="00E96DA5" w:rsidP="00EC3510">
            <w:pPr>
              <w:spacing w:before="0"/>
              <w:jc w:val="center"/>
            </w:pPr>
          </w:p>
        </w:tc>
      </w:tr>
      <w:tr w:rsidR="00E96DA5" w:rsidRPr="00CF4A2C" w14:paraId="78EBACD5" w14:textId="77777777" w:rsidTr="00E96DA5">
        <w:trPr>
          <w:trHeight w:val="288"/>
        </w:trPr>
        <w:tc>
          <w:tcPr>
            <w:tcW w:w="1359" w:type="dxa"/>
            <w:noWrap/>
            <w:vAlign w:val="center"/>
            <w:hideMark/>
          </w:tcPr>
          <w:p w14:paraId="10EE2469" w14:textId="77777777" w:rsidR="00E96DA5" w:rsidRPr="00CF4A2C" w:rsidRDefault="00E96DA5" w:rsidP="00EC3510">
            <w:pPr>
              <w:spacing w:before="0"/>
            </w:pPr>
            <w:r w:rsidRPr="00CF4A2C">
              <w:lastRenderedPageBreak/>
              <w:t>purple</w:t>
            </w:r>
          </w:p>
        </w:tc>
        <w:tc>
          <w:tcPr>
            <w:tcW w:w="1269" w:type="dxa"/>
            <w:noWrap/>
            <w:vAlign w:val="center"/>
            <w:hideMark/>
          </w:tcPr>
          <w:p w14:paraId="1AF79322" w14:textId="77777777" w:rsidR="00E96DA5" w:rsidRPr="00E96DA5" w:rsidRDefault="00E96DA5" w:rsidP="00E96DA5">
            <w:pPr>
              <w:contextualSpacing/>
              <w:jc w:val="center"/>
              <w:rPr>
                <w:color w:val="000000"/>
              </w:rPr>
            </w:pPr>
            <w:r w:rsidRPr="00E96DA5">
              <w:rPr>
                <w:color w:val="000000"/>
              </w:rPr>
              <w:t>12</w:t>
            </w:r>
          </w:p>
        </w:tc>
        <w:tc>
          <w:tcPr>
            <w:tcW w:w="1080" w:type="dxa"/>
            <w:noWrap/>
            <w:vAlign w:val="center"/>
            <w:hideMark/>
          </w:tcPr>
          <w:p w14:paraId="26D441AA" w14:textId="77777777" w:rsidR="00E96DA5" w:rsidRPr="00E96DA5" w:rsidRDefault="00E96DA5" w:rsidP="00E96DA5">
            <w:pPr>
              <w:contextualSpacing/>
              <w:jc w:val="center"/>
              <w:rPr>
                <w:color w:val="000000"/>
              </w:rPr>
            </w:pPr>
            <w:r w:rsidRPr="00E96DA5">
              <w:rPr>
                <w:color w:val="000000"/>
              </w:rPr>
              <w:t>10</w:t>
            </w:r>
          </w:p>
        </w:tc>
        <w:tc>
          <w:tcPr>
            <w:tcW w:w="1890" w:type="dxa"/>
            <w:noWrap/>
            <w:vAlign w:val="center"/>
            <w:hideMark/>
          </w:tcPr>
          <w:p w14:paraId="37E7E715" w14:textId="77777777" w:rsidR="00E96DA5" w:rsidRPr="00E96DA5" w:rsidRDefault="00E96DA5" w:rsidP="00E96DA5">
            <w:pPr>
              <w:contextualSpacing/>
              <w:jc w:val="center"/>
              <w:rPr>
                <w:color w:val="000000"/>
              </w:rPr>
            </w:pPr>
            <w:r w:rsidRPr="00E96DA5">
              <w:rPr>
                <w:color w:val="000000"/>
              </w:rPr>
              <w:t>0.72 [0.63, 0.79]</w:t>
            </w:r>
          </w:p>
        </w:tc>
        <w:tc>
          <w:tcPr>
            <w:tcW w:w="1710" w:type="dxa"/>
            <w:noWrap/>
            <w:vAlign w:val="center"/>
            <w:hideMark/>
          </w:tcPr>
          <w:p w14:paraId="5698DFAD" w14:textId="77777777" w:rsidR="00E96DA5" w:rsidRPr="00CF4A2C" w:rsidRDefault="00E96DA5" w:rsidP="00EC3510">
            <w:pPr>
              <w:spacing w:before="0"/>
              <w:jc w:val="center"/>
            </w:pPr>
            <w:r w:rsidRPr="00CF4A2C">
              <w:t>0.74</w:t>
            </w:r>
            <w:r>
              <w:t xml:space="preserve"> </w:t>
            </w:r>
            <w:r w:rsidRPr="00CF4A2C">
              <w:t>[0.63, 0.83]</w:t>
            </w:r>
          </w:p>
        </w:tc>
        <w:tc>
          <w:tcPr>
            <w:tcW w:w="1965" w:type="dxa"/>
            <w:noWrap/>
            <w:vAlign w:val="center"/>
            <w:hideMark/>
          </w:tcPr>
          <w:p w14:paraId="41C9E1E4" w14:textId="77777777" w:rsidR="00E96DA5" w:rsidRPr="00CF4A2C" w:rsidRDefault="00E96DA5" w:rsidP="00EC3510">
            <w:pPr>
              <w:spacing w:before="0"/>
              <w:jc w:val="center"/>
            </w:pPr>
          </w:p>
        </w:tc>
      </w:tr>
      <w:tr w:rsidR="00E96DA5" w:rsidRPr="00CF4A2C" w14:paraId="29CB76B4" w14:textId="77777777" w:rsidTr="00E96DA5">
        <w:trPr>
          <w:trHeight w:val="288"/>
        </w:trPr>
        <w:tc>
          <w:tcPr>
            <w:tcW w:w="1359" w:type="dxa"/>
            <w:noWrap/>
            <w:vAlign w:val="center"/>
            <w:hideMark/>
          </w:tcPr>
          <w:p w14:paraId="045272C0" w14:textId="77777777" w:rsidR="00E96DA5" w:rsidRPr="00CF4A2C" w:rsidRDefault="00E96DA5" w:rsidP="00EC3510">
            <w:pPr>
              <w:spacing w:before="0"/>
            </w:pPr>
            <w:r w:rsidRPr="00CF4A2C">
              <w:t>red</w:t>
            </w:r>
          </w:p>
        </w:tc>
        <w:tc>
          <w:tcPr>
            <w:tcW w:w="1269" w:type="dxa"/>
            <w:noWrap/>
            <w:vAlign w:val="center"/>
            <w:hideMark/>
          </w:tcPr>
          <w:p w14:paraId="6A08DD87" w14:textId="77777777" w:rsidR="00E96DA5" w:rsidRPr="00E96DA5" w:rsidRDefault="00E96DA5" w:rsidP="00E96DA5">
            <w:pPr>
              <w:contextualSpacing/>
              <w:jc w:val="center"/>
              <w:rPr>
                <w:color w:val="000000"/>
              </w:rPr>
            </w:pPr>
            <w:r w:rsidRPr="00E96DA5">
              <w:rPr>
                <w:color w:val="000000"/>
              </w:rPr>
              <w:t>2</w:t>
            </w:r>
          </w:p>
        </w:tc>
        <w:tc>
          <w:tcPr>
            <w:tcW w:w="1080" w:type="dxa"/>
            <w:noWrap/>
            <w:vAlign w:val="center"/>
            <w:hideMark/>
          </w:tcPr>
          <w:p w14:paraId="71278391" w14:textId="77777777" w:rsidR="00E96DA5" w:rsidRPr="00E96DA5" w:rsidRDefault="00E96DA5" w:rsidP="00E96DA5">
            <w:pPr>
              <w:contextualSpacing/>
              <w:jc w:val="center"/>
              <w:rPr>
                <w:color w:val="000000"/>
              </w:rPr>
            </w:pPr>
            <w:r w:rsidRPr="00E96DA5">
              <w:rPr>
                <w:color w:val="000000"/>
              </w:rPr>
              <w:t>2</w:t>
            </w:r>
          </w:p>
        </w:tc>
        <w:tc>
          <w:tcPr>
            <w:tcW w:w="1890" w:type="dxa"/>
            <w:noWrap/>
            <w:vAlign w:val="center"/>
            <w:hideMark/>
          </w:tcPr>
          <w:p w14:paraId="13EF57BA" w14:textId="77777777" w:rsidR="00E96DA5" w:rsidRPr="00E96DA5" w:rsidRDefault="00E96DA5" w:rsidP="00E96DA5">
            <w:pPr>
              <w:contextualSpacing/>
              <w:jc w:val="center"/>
              <w:rPr>
                <w:color w:val="000000"/>
              </w:rPr>
            </w:pPr>
            <w:r w:rsidRPr="00E96DA5">
              <w:rPr>
                <w:color w:val="000000"/>
              </w:rPr>
              <w:t>0.44 [0.33, 0.56]</w:t>
            </w:r>
          </w:p>
        </w:tc>
        <w:tc>
          <w:tcPr>
            <w:tcW w:w="1710" w:type="dxa"/>
            <w:noWrap/>
            <w:vAlign w:val="center"/>
            <w:hideMark/>
          </w:tcPr>
          <w:p w14:paraId="60052C65" w14:textId="77777777" w:rsidR="00E96DA5" w:rsidRPr="00CF4A2C" w:rsidRDefault="00E96DA5" w:rsidP="00EC3510">
            <w:pPr>
              <w:spacing w:before="0"/>
              <w:jc w:val="center"/>
            </w:pPr>
          </w:p>
        </w:tc>
        <w:tc>
          <w:tcPr>
            <w:tcW w:w="1965" w:type="dxa"/>
            <w:noWrap/>
            <w:vAlign w:val="center"/>
            <w:hideMark/>
          </w:tcPr>
          <w:p w14:paraId="418516E0" w14:textId="77777777" w:rsidR="00E96DA5" w:rsidRPr="00CF4A2C" w:rsidRDefault="00E96DA5" w:rsidP="00EC3510">
            <w:pPr>
              <w:spacing w:before="0"/>
              <w:jc w:val="center"/>
            </w:pPr>
          </w:p>
        </w:tc>
      </w:tr>
      <w:tr w:rsidR="00E96DA5" w:rsidRPr="00CF4A2C" w14:paraId="488A85A6" w14:textId="77777777" w:rsidTr="00E96DA5">
        <w:trPr>
          <w:trHeight w:val="288"/>
        </w:trPr>
        <w:tc>
          <w:tcPr>
            <w:tcW w:w="1359" w:type="dxa"/>
            <w:noWrap/>
            <w:vAlign w:val="center"/>
            <w:hideMark/>
          </w:tcPr>
          <w:p w14:paraId="7D959D5F" w14:textId="77777777" w:rsidR="00E96DA5" w:rsidRPr="00CF4A2C" w:rsidRDefault="00E96DA5" w:rsidP="00EC3510">
            <w:pPr>
              <w:spacing w:before="0"/>
            </w:pPr>
            <w:r w:rsidRPr="00CF4A2C">
              <w:t>royalblue</w:t>
            </w:r>
          </w:p>
        </w:tc>
        <w:tc>
          <w:tcPr>
            <w:tcW w:w="1269" w:type="dxa"/>
            <w:noWrap/>
            <w:vAlign w:val="center"/>
            <w:hideMark/>
          </w:tcPr>
          <w:p w14:paraId="6FC33860" w14:textId="77777777" w:rsidR="00E96DA5" w:rsidRPr="00E96DA5" w:rsidRDefault="00E96DA5" w:rsidP="00E96DA5">
            <w:pPr>
              <w:contextualSpacing/>
              <w:jc w:val="center"/>
              <w:rPr>
                <w:color w:val="000000"/>
              </w:rPr>
            </w:pPr>
            <w:r w:rsidRPr="00E96DA5">
              <w:rPr>
                <w:color w:val="000000"/>
              </w:rPr>
              <w:t>11</w:t>
            </w:r>
          </w:p>
        </w:tc>
        <w:tc>
          <w:tcPr>
            <w:tcW w:w="1080" w:type="dxa"/>
            <w:noWrap/>
            <w:vAlign w:val="center"/>
            <w:hideMark/>
          </w:tcPr>
          <w:p w14:paraId="2F56A640" w14:textId="77777777" w:rsidR="00E96DA5" w:rsidRPr="00E96DA5" w:rsidRDefault="00E96DA5" w:rsidP="00E96DA5">
            <w:pPr>
              <w:contextualSpacing/>
              <w:jc w:val="center"/>
              <w:rPr>
                <w:color w:val="000000"/>
              </w:rPr>
            </w:pPr>
            <w:r w:rsidRPr="00E96DA5">
              <w:rPr>
                <w:color w:val="000000"/>
              </w:rPr>
              <w:t>5</w:t>
            </w:r>
          </w:p>
        </w:tc>
        <w:tc>
          <w:tcPr>
            <w:tcW w:w="1890" w:type="dxa"/>
            <w:noWrap/>
            <w:vAlign w:val="center"/>
            <w:hideMark/>
          </w:tcPr>
          <w:p w14:paraId="2A34A3F7" w14:textId="77777777" w:rsidR="00E96DA5" w:rsidRPr="00E96DA5" w:rsidRDefault="00E96DA5" w:rsidP="00E96DA5">
            <w:pPr>
              <w:contextualSpacing/>
              <w:jc w:val="center"/>
              <w:rPr>
                <w:color w:val="000000"/>
              </w:rPr>
            </w:pPr>
            <w:r w:rsidRPr="00E96DA5">
              <w:rPr>
                <w:color w:val="000000"/>
              </w:rPr>
              <w:t>0.52 [0.43, 0.59]</w:t>
            </w:r>
          </w:p>
        </w:tc>
        <w:tc>
          <w:tcPr>
            <w:tcW w:w="1710" w:type="dxa"/>
            <w:noWrap/>
            <w:vAlign w:val="center"/>
            <w:hideMark/>
          </w:tcPr>
          <w:p w14:paraId="408315D8" w14:textId="77777777" w:rsidR="00E96DA5" w:rsidRPr="00CF4A2C" w:rsidRDefault="00E96DA5" w:rsidP="00EC3510">
            <w:pPr>
              <w:spacing w:before="0"/>
              <w:jc w:val="center"/>
            </w:pPr>
          </w:p>
        </w:tc>
        <w:tc>
          <w:tcPr>
            <w:tcW w:w="1965" w:type="dxa"/>
            <w:noWrap/>
            <w:vAlign w:val="center"/>
            <w:hideMark/>
          </w:tcPr>
          <w:p w14:paraId="7FE9D482" w14:textId="77777777" w:rsidR="00E96DA5" w:rsidRPr="00CF4A2C" w:rsidRDefault="00E96DA5" w:rsidP="00EC3510">
            <w:pPr>
              <w:spacing w:before="0"/>
              <w:jc w:val="center"/>
            </w:pPr>
          </w:p>
        </w:tc>
      </w:tr>
      <w:tr w:rsidR="00E96DA5" w:rsidRPr="00CF4A2C" w14:paraId="2BDE245B" w14:textId="77777777" w:rsidTr="00E96DA5">
        <w:trPr>
          <w:trHeight w:val="288"/>
        </w:trPr>
        <w:tc>
          <w:tcPr>
            <w:tcW w:w="1359" w:type="dxa"/>
            <w:noWrap/>
            <w:vAlign w:val="center"/>
            <w:hideMark/>
          </w:tcPr>
          <w:p w14:paraId="0536060D" w14:textId="77777777" w:rsidR="00E96DA5" w:rsidRPr="007B13D7" w:rsidRDefault="00E96DA5" w:rsidP="00EC3510">
            <w:pPr>
              <w:spacing w:before="0"/>
              <w:rPr>
                <w:b/>
              </w:rPr>
            </w:pPr>
            <w:r w:rsidRPr="007B13D7">
              <w:rPr>
                <w:b/>
              </w:rPr>
              <w:t>salmon</w:t>
            </w:r>
          </w:p>
        </w:tc>
        <w:tc>
          <w:tcPr>
            <w:tcW w:w="1269" w:type="dxa"/>
            <w:noWrap/>
            <w:vAlign w:val="center"/>
            <w:hideMark/>
          </w:tcPr>
          <w:p w14:paraId="0492E4E9" w14:textId="77777777" w:rsidR="00E96DA5" w:rsidRPr="00AE7F4C" w:rsidRDefault="00E96DA5" w:rsidP="00E96DA5">
            <w:pPr>
              <w:contextualSpacing/>
              <w:jc w:val="center"/>
              <w:rPr>
                <w:b/>
                <w:color w:val="000000"/>
              </w:rPr>
            </w:pPr>
            <w:r w:rsidRPr="00AE7F4C">
              <w:rPr>
                <w:b/>
                <w:color w:val="000000"/>
              </w:rPr>
              <w:t>53</w:t>
            </w:r>
          </w:p>
        </w:tc>
        <w:tc>
          <w:tcPr>
            <w:tcW w:w="1080" w:type="dxa"/>
            <w:noWrap/>
            <w:vAlign w:val="center"/>
            <w:hideMark/>
          </w:tcPr>
          <w:p w14:paraId="12647D5D" w14:textId="77777777" w:rsidR="00E96DA5" w:rsidRPr="00AE7F4C" w:rsidRDefault="00E96DA5" w:rsidP="00E96DA5">
            <w:pPr>
              <w:contextualSpacing/>
              <w:jc w:val="center"/>
              <w:rPr>
                <w:b/>
                <w:color w:val="000000"/>
              </w:rPr>
            </w:pPr>
            <w:r w:rsidRPr="00AE7F4C">
              <w:rPr>
                <w:b/>
                <w:color w:val="000000"/>
              </w:rPr>
              <w:t>35</w:t>
            </w:r>
          </w:p>
        </w:tc>
        <w:tc>
          <w:tcPr>
            <w:tcW w:w="1890" w:type="dxa"/>
            <w:noWrap/>
            <w:vAlign w:val="center"/>
            <w:hideMark/>
          </w:tcPr>
          <w:p w14:paraId="342A0D89" w14:textId="77777777" w:rsidR="00E96DA5" w:rsidRPr="00AE7F4C" w:rsidRDefault="00E96DA5" w:rsidP="00E96DA5">
            <w:pPr>
              <w:contextualSpacing/>
              <w:jc w:val="center"/>
              <w:rPr>
                <w:b/>
                <w:color w:val="000000"/>
              </w:rPr>
            </w:pPr>
            <w:r w:rsidRPr="00AE7F4C">
              <w:rPr>
                <w:b/>
                <w:color w:val="000000"/>
              </w:rPr>
              <w:t>0.71 [0.65, 0.76]</w:t>
            </w:r>
          </w:p>
        </w:tc>
        <w:tc>
          <w:tcPr>
            <w:tcW w:w="1710" w:type="dxa"/>
            <w:noWrap/>
            <w:vAlign w:val="center"/>
            <w:hideMark/>
          </w:tcPr>
          <w:p w14:paraId="4C5615D0" w14:textId="77777777" w:rsidR="00E96DA5" w:rsidRPr="007B13D7" w:rsidRDefault="00E96DA5" w:rsidP="00EC3510">
            <w:pPr>
              <w:spacing w:before="0"/>
              <w:jc w:val="center"/>
              <w:rPr>
                <w:b/>
              </w:rPr>
            </w:pPr>
            <w:r w:rsidRPr="007B13D7">
              <w:rPr>
                <w:b/>
              </w:rPr>
              <w:t>0.82 [0.73, 0.90]</w:t>
            </w:r>
          </w:p>
        </w:tc>
        <w:tc>
          <w:tcPr>
            <w:tcW w:w="1965" w:type="dxa"/>
            <w:noWrap/>
            <w:vAlign w:val="center"/>
            <w:hideMark/>
          </w:tcPr>
          <w:p w14:paraId="1D8FAC9F" w14:textId="77777777" w:rsidR="00E96DA5" w:rsidRPr="007B13D7" w:rsidRDefault="00E96DA5" w:rsidP="00EC3510">
            <w:pPr>
              <w:spacing w:before="0"/>
              <w:jc w:val="center"/>
              <w:rPr>
                <w:b/>
              </w:rPr>
            </w:pPr>
            <w:r w:rsidRPr="007B13D7">
              <w:rPr>
                <w:b/>
              </w:rPr>
              <w:t>0.84 [0.78, 0.90]</w:t>
            </w:r>
          </w:p>
        </w:tc>
      </w:tr>
      <w:tr w:rsidR="00E96DA5" w:rsidRPr="00CF4A2C" w14:paraId="72B6D46B" w14:textId="77777777" w:rsidTr="00E96DA5">
        <w:trPr>
          <w:trHeight w:val="288"/>
        </w:trPr>
        <w:tc>
          <w:tcPr>
            <w:tcW w:w="1359" w:type="dxa"/>
            <w:noWrap/>
            <w:vAlign w:val="center"/>
            <w:hideMark/>
          </w:tcPr>
          <w:p w14:paraId="042593AD" w14:textId="77777777" w:rsidR="00E96DA5" w:rsidRPr="00CF4A2C" w:rsidRDefault="00E96DA5" w:rsidP="00EC3510">
            <w:pPr>
              <w:spacing w:before="0"/>
            </w:pPr>
            <w:r w:rsidRPr="00CF4A2C">
              <w:t>tan</w:t>
            </w:r>
          </w:p>
        </w:tc>
        <w:tc>
          <w:tcPr>
            <w:tcW w:w="1269" w:type="dxa"/>
            <w:noWrap/>
            <w:vAlign w:val="center"/>
            <w:hideMark/>
          </w:tcPr>
          <w:p w14:paraId="309EF471" w14:textId="77777777" w:rsidR="00E96DA5" w:rsidRPr="00E96DA5" w:rsidRDefault="00E96DA5" w:rsidP="00E96DA5">
            <w:pPr>
              <w:contextualSpacing/>
              <w:jc w:val="center"/>
              <w:rPr>
                <w:color w:val="000000"/>
              </w:rPr>
            </w:pPr>
            <w:r w:rsidRPr="00E96DA5">
              <w:rPr>
                <w:color w:val="000000"/>
              </w:rPr>
              <w:t>32</w:t>
            </w:r>
          </w:p>
        </w:tc>
        <w:tc>
          <w:tcPr>
            <w:tcW w:w="1080" w:type="dxa"/>
            <w:noWrap/>
            <w:vAlign w:val="center"/>
            <w:hideMark/>
          </w:tcPr>
          <w:p w14:paraId="5D146D6A" w14:textId="77777777" w:rsidR="00E96DA5" w:rsidRPr="00E96DA5" w:rsidRDefault="00E96DA5" w:rsidP="00E96DA5">
            <w:pPr>
              <w:contextualSpacing/>
              <w:jc w:val="center"/>
              <w:rPr>
                <w:color w:val="000000"/>
              </w:rPr>
            </w:pPr>
            <w:r w:rsidRPr="00E96DA5">
              <w:rPr>
                <w:color w:val="000000"/>
              </w:rPr>
              <w:t>24</w:t>
            </w:r>
          </w:p>
        </w:tc>
        <w:tc>
          <w:tcPr>
            <w:tcW w:w="1890" w:type="dxa"/>
            <w:noWrap/>
            <w:vAlign w:val="center"/>
            <w:hideMark/>
          </w:tcPr>
          <w:p w14:paraId="73B65798" w14:textId="77777777" w:rsidR="00E96DA5" w:rsidRPr="00E96DA5" w:rsidRDefault="00E96DA5" w:rsidP="00E96DA5">
            <w:pPr>
              <w:contextualSpacing/>
              <w:jc w:val="center"/>
              <w:rPr>
                <w:color w:val="000000"/>
              </w:rPr>
            </w:pPr>
            <w:r w:rsidRPr="00E96DA5">
              <w:rPr>
                <w:color w:val="000000"/>
              </w:rPr>
              <w:t>0.58 [0.53, 0.65]</w:t>
            </w:r>
          </w:p>
        </w:tc>
        <w:tc>
          <w:tcPr>
            <w:tcW w:w="1710" w:type="dxa"/>
            <w:noWrap/>
            <w:vAlign w:val="center"/>
            <w:hideMark/>
          </w:tcPr>
          <w:p w14:paraId="354B4520" w14:textId="77777777" w:rsidR="00E96DA5" w:rsidRPr="00CF4A2C" w:rsidRDefault="00E96DA5" w:rsidP="00EC3510">
            <w:pPr>
              <w:spacing w:before="0"/>
              <w:jc w:val="center"/>
            </w:pPr>
          </w:p>
        </w:tc>
        <w:tc>
          <w:tcPr>
            <w:tcW w:w="1965" w:type="dxa"/>
            <w:noWrap/>
            <w:vAlign w:val="center"/>
            <w:hideMark/>
          </w:tcPr>
          <w:p w14:paraId="23A7AD7A" w14:textId="77777777" w:rsidR="00E96DA5" w:rsidRPr="00CF4A2C" w:rsidRDefault="00E96DA5" w:rsidP="00EC3510">
            <w:pPr>
              <w:spacing w:before="0"/>
              <w:jc w:val="center"/>
            </w:pPr>
          </w:p>
        </w:tc>
      </w:tr>
      <w:tr w:rsidR="00E96DA5" w:rsidRPr="00CF4A2C" w14:paraId="1B9FA001" w14:textId="77777777" w:rsidTr="00E96DA5">
        <w:trPr>
          <w:trHeight w:val="288"/>
        </w:trPr>
        <w:tc>
          <w:tcPr>
            <w:tcW w:w="1359" w:type="dxa"/>
            <w:noWrap/>
            <w:vAlign w:val="center"/>
            <w:hideMark/>
          </w:tcPr>
          <w:p w14:paraId="6B00086D" w14:textId="77777777" w:rsidR="00E96DA5" w:rsidRPr="00CF4A2C" w:rsidRDefault="00E96DA5" w:rsidP="00EC3510">
            <w:pPr>
              <w:spacing w:before="0"/>
            </w:pPr>
            <w:r w:rsidRPr="00CF4A2C">
              <w:t>turquoise</w:t>
            </w:r>
          </w:p>
        </w:tc>
        <w:tc>
          <w:tcPr>
            <w:tcW w:w="1269" w:type="dxa"/>
            <w:noWrap/>
            <w:vAlign w:val="center"/>
            <w:hideMark/>
          </w:tcPr>
          <w:p w14:paraId="7B502BAA" w14:textId="77777777" w:rsidR="00E96DA5" w:rsidRPr="00E96DA5" w:rsidRDefault="00E96DA5" w:rsidP="00E96DA5">
            <w:pPr>
              <w:contextualSpacing/>
              <w:jc w:val="center"/>
              <w:rPr>
                <w:color w:val="000000"/>
              </w:rPr>
            </w:pPr>
            <w:r w:rsidRPr="00E96DA5">
              <w:rPr>
                <w:color w:val="000000"/>
              </w:rPr>
              <w:t>526</w:t>
            </w:r>
          </w:p>
        </w:tc>
        <w:tc>
          <w:tcPr>
            <w:tcW w:w="1080" w:type="dxa"/>
            <w:noWrap/>
            <w:vAlign w:val="center"/>
            <w:hideMark/>
          </w:tcPr>
          <w:p w14:paraId="4DA81284" w14:textId="77777777" w:rsidR="00E96DA5" w:rsidRPr="00E96DA5" w:rsidRDefault="00E96DA5" w:rsidP="00E96DA5">
            <w:pPr>
              <w:contextualSpacing/>
              <w:jc w:val="center"/>
              <w:rPr>
                <w:color w:val="000000"/>
              </w:rPr>
            </w:pPr>
            <w:r w:rsidRPr="00E96DA5">
              <w:rPr>
                <w:color w:val="000000"/>
              </w:rPr>
              <w:t>99</w:t>
            </w:r>
          </w:p>
        </w:tc>
        <w:tc>
          <w:tcPr>
            <w:tcW w:w="1890" w:type="dxa"/>
            <w:noWrap/>
            <w:vAlign w:val="center"/>
            <w:hideMark/>
          </w:tcPr>
          <w:p w14:paraId="43DB323C" w14:textId="77777777" w:rsidR="00E96DA5" w:rsidRPr="00E96DA5" w:rsidRDefault="00E96DA5" w:rsidP="00E96DA5">
            <w:pPr>
              <w:contextualSpacing/>
              <w:jc w:val="center"/>
              <w:rPr>
                <w:color w:val="000000"/>
              </w:rPr>
            </w:pPr>
            <w:r w:rsidRPr="00E96DA5">
              <w:rPr>
                <w:color w:val="000000"/>
              </w:rPr>
              <w:t>0.71 [0.66, 0.76]</w:t>
            </w:r>
          </w:p>
        </w:tc>
        <w:tc>
          <w:tcPr>
            <w:tcW w:w="1710" w:type="dxa"/>
            <w:noWrap/>
            <w:vAlign w:val="center"/>
            <w:hideMark/>
          </w:tcPr>
          <w:p w14:paraId="4B23114C" w14:textId="77777777" w:rsidR="00E96DA5" w:rsidRPr="00CF4A2C" w:rsidRDefault="00E96DA5" w:rsidP="00EC3510">
            <w:pPr>
              <w:spacing w:before="0"/>
              <w:jc w:val="center"/>
            </w:pPr>
          </w:p>
        </w:tc>
        <w:tc>
          <w:tcPr>
            <w:tcW w:w="1965" w:type="dxa"/>
            <w:noWrap/>
            <w:vAlign w:val="center"/>
            <w:hideMark/>
          </w:tcPr>
          <w:p w14:paraId="1B5B60DC" w14:textId="77777777" w:rsidR="00E96DA5" w:rsidRPr="00CF4A2C" w:rsidRDefault="00E96DA5" w:rsidP="00EC3510">
            <w:pPr>
              <w:spacing w:before="0"/>
              <w:jc w:val="center"/>
            </w:pPr>
          </w:p>
        </w:tc>
      </w:tr>
      <w:tr w:rsidR="00E96DA5" w:rsidRPr="00CF4A2C" w14:paraId="04E1D8A1" w14:textId="77777777" w:rsidTr="00E96DA5">
        <w:trPr>
          <w:trHeight w:val="288"/>
        </w:trPr>
        <w:tc>
          <w:tcPr>
            <w:tcW w:w="1359" w:type="dxa"/>
            <w:noWrap/>
            <w:vAlign w:val="center"/>
            <w:hideMark/>
          </w:tcPr>
          <w:p w14:paraId="55CA1629" w14:textId="77777777" w:rsidR="00E96DA5" w:rsidRPr="00CF4A2C" w:rsidRDefault="00E96DA5" w:rsidP="00EC3510">
            <w:pPr>
              <w:spacing w:before="0"/>
            </w:pPr>
            <w:r w:rsidRPr="00CF4A2C">
              <w:t>yellow</w:t>
            </w:r>
          </w:p>
        </w:tc>
        <w:tc>
          <w:tcPr>
            <w:tcW w:w="1269" w:type="dxa"/>
            <w:noWrap/>
            <w:vAlign w:val="center"/>
            <w:hideMark/>
          </w:tcPr>
          <w:p w14:paraId="44C10DE4" w14:textId="77777777" w:rsidR="00E96DA5" w:rsidRPr="00E96DA5" w:rsidRDefault="00E96DA5" w:rsidP="00E96DA5">
            <w:pPr>
              <w:contextualSpacing/>
              <w:jc w:val="center"/>
              <w:rPr>
                <w:color w:val="000000"/>
              </w:rPr>
            </w:pPr>
            <w:r w:rsidRPr="00E96DA5">
              <w:rPr>
                <w:color w:val="000000"/>
              </w:rPr>
              <w:t>155</w:t>
            </w:r>
          </w:p>
        </w:tc>
        <w:tc>
          <w:tcPr>
            <w:tcW w:w="1080" w:type="dxa"/>
            <w:noWrap/>
            <w:vAlign w:val="center"/>
            <w:hideMark/>
          </w:tcPr>
          <w:p w14:paraId="3D3ECC5B" w14:textId="77777777" w:rsidR="00E96DA5" w:rsidRPr="00E96DA5" w:rsidRDefault="00E96DA5" w:rsidP="00E96DA5">
            <w:pPr>
              <w:contextualSpacing/>
              <w:jc w:val="center"/>
              <w:rPr>
                <w:color w:val="000000"/>
              </w:rPr>
            </w:pPr>
            <w:r w:rsidRPr="00E96DA5">
              <w:rPr>
                <w:color w:val="000000"/>
              </w:rPr>
              <w:t>70</w:t>
            </w:r>
          </w:p>
        </w:tc>
        <w:tc>
          <w:tcPr>
            <w:tcW w:w="1890" w:type="dxa"/>
            <w:noWrap/>
            <w:vAlign w:val="center"/>
            <w:hideMark/>
          </w:tcPr>
          <w:p w14:paraId="2D328172" w14:textId="77777777" w:rsidR="00E96DA5" w:rsidRPr="00E96DA5" w:rsidRDefault="00E96DA5" w:rsidP="00E96DA5">
            <w:pPr>
              <w:contextualSpacing/>
              <w:jc w:val="center"/>
              <w:rPr>
                <w:color w:val="000000"/>
              </w:rPr>
            </w:pPr>
            <w:r w:rsidRPr="00E96DA5">
              <w:rPr>
                <w:color w:val="000000"/>
              </w:rPr>
              <w:t>0.59 [0.53, 0.67]</w:t>
            </w:r>
          </w:p>
        </w:tc>
        <w:tc>
          <w:tcPr>
            <w:tcW w:w="1710" w:type="dxa"/>
            <w:noWrap/>
            <w:vAlign w:val="center"/>
            <w:hideMark/>
          </w:tcPr>
          <w:p w14:paraId="059CC9B6" w14:textId="77777777" w:rsidR="00E96DA5" w:rsidRPr="00CF4A2C" w:rsidRDefault="00E96DA5" w:rsidP="00EC3510">
            <w:pPr>
              <w:spacing w:before="0"/>
              <w:jc w:val="center"/>
            </w:pPr>
          </w:p>
        </w:tc>
        <w:tc>
          <w:tcPr>
            <w:tcW w:w="1965" w:type="dxa"/>
            <w:noWrap/>
            <w:vAlign w:val="center"/>
            <w:hideMark/>
          </w:tcPr>
          <w:p w14:paraId="6AF2EFAE" w14:textId="77777777" w:rsidR="00E96DA5" w:rsidRPr="00CF4A2C" w:rsidRDefault="00E96DA5" w:rsidP="00EC3510">
            <w:pPr>
              <w:spacing w:before="0"/>
              <w:jc w:val="center"/>
            </w:pPr>
          </w:p>
        </w:tc>
      </w:tr>
    </w:tbl>
    <w:p w14:paraId="67405A0C" w14:textId="77777777" w:rsidR="00376DBF" w:rsidRPr="00376DBF" w:rsidRDefault="00376DBF" w:rsidP="00376DBF">
      <w:pPr>
        <w:spacing w:before="0"/>
      </w:pPr>
      <w:r>
        <w:t>*The 95% confidence interval for the AUC was calculated empirically for the biomarker discovery, using cross-validation performance. The 95% confidence intervals for biomarker selection and replication were calculated by bootstrapping the out-of-sample probabilities with 1000 iterations per panel.</w:t>
      </w:r>
    </w:p>
    <w:p w14:paraId="2ACB7C17" w14:textId="77777777" w:rsidR="00A935F4" w:rsidRDefault="00A935F4">
      <w:pPr>
        <w:rPr>
          <w:b/>
        </w:rPr>
      </w:pPr>
    </w:p>
    <w:p w14:paraId="5B645040" w14:textId="77777777" w:rsidR="00A935F4" w:rsidRDefault="00A935F4">
      <w:pPr>
        <w:rPr>
          <w:b/>
        </w:rPr>
        <w:sectPr w:rsidR="00A935F4" w:rsidSect="00CF4A2C">
          <w:pgSz w:w="12240" w:h="15840"/>
          <w:pgMar w:top="1440" w:right="1440" w:bottom="1440" w:left="1440" w:header="720" w:footer="720" w:gutter="0"/>
          <w:cols w:space="720"/>
          <w:docGrid w:linePitch="360"/>
        </w:sectPr>
      </w:pPr>
    </w:p>
    <w:p w14:paraId="3267958C" w14:textId="77777777" w:rsidR="000B070E" w:rsidRDefault="000B070E" w:rsidP="009F7CDB">
      <w:pPr>
        <w:pStyle w:val="Heading1"/>
      </w:pPr>
      <w:r>
        <w:lastRenderedPageBreak/>
        <w:t>Figures</w:t>
      </w:r>
    </w:p>
    <w:p w14:paraId="4AE0DDB9" w14:textId="77777777" w:rsidR="00AD4FBA" w:rsidRPr="00AD4FBA" w:rsidRDefault="00AD4FBA">
      <w:r w:rsidRPr="00AD4FBA">
        <w:rPr>
          <w:b/>
        </w:rPr>
        <w:t xml:space="preserve">Figure </w:t>
      </w:r>
      <w:r w:rsidR="00254D13">
        <w:rPr>
          <w:b/>
        </w:rPr>
        <w:t>1</w:t>
      </w:r>
      <w:r w:rsidR="00D01021">
        <w:rPr>
          <w:b/>
        </w:rPr>
        <w:t>A</w:t>
      </w:r>
      <w:r w:rsidRPr="00AD4FBA">
        <w:rPr>
          <w:b/>
        </w:rPr>
        <w:t xml:space="preserve">. </w:t>
      </w:r>
      <w:r>
        <w:t>Schematic representation of cohorts and subjects used for this study, in relation to COPD disease activity.</w:t>
      </w:r>
    </w:p>
    <w:p w14:paraId="2FA6CF16" w14:textId="77777777" w:rsidR="00A65F64" w:rsidRDefault="00760690">
      <w:r>
        <w:rPr>
          <w:noProof/>
          <w:lang w:bidi="ar-SA"/>
        </w:rPr>
        <w:drawing>
          <wp:inline distT="0" distB="0" distL="0" distR="0" wp14:anchorId="64621636" wp14:editId="21FB0C15">
            <wp:extent cx="5943600" cy="305864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cstate="print"/>
                    <a:srcRect/>
                    <a:stretch>
                      <a:fillRect/>
                    </a:stretch>
                  </pic:blipFill>
                  <pic:spPr bwMode="auto">
                    <a:xfrm>
                      <a:off x="0" y="0"/>
                      <a:ext cx="5943600" cy="3058645"/>
                    </a:xfrm>
                    <a:prstGeom prst="rect">
                      <a:avLst/>
                    </a:prstGeom>
                    <a:noFill/>
                  </pic:spPr>
                </pic:pic>
              </a:graphicData>
            </a:graphic>
          </wp:inline>
        </w:drawing>
      </w:r>
      <w:r w:rsidR="00195E4B">
        <w:br w:type="page"/>
      </w:r>
    </w:p>
    <w:p w14:paraId="2D634068" w14:textId="77777777" w:rsidR="00195E4B" w:rsidRDefault="00A65F64">
      <w:r w:rsidRPr="00A65F64">
        <w:rPr>
          <w:b/>
        </w:rPr>
        <w:lastRenderedPageBreak/>
        <w:t xml:space="preserve">Figure </w:t>
      </w:r>
      <w:r w:rsidR="00D01021">
        <w:rPr>
          <w:b/>
        </w:rPr>
        <w:t>1B</w:t>
      </w:r>
      <w:r w:rsidRPr="00A65F64">
        <w:rPr>
          <w:b/>
        </w:rPr>
        <w:t>.</w:t>
      </w:r>
      <w:r>
        <w:t xml:space="preserve"> Flowchart of analyses performed for this study.</w:t>
      </w:r>
    </w:p>
    <w:p w14:paraId="53AA9F36" w14:textId="77777777" w:rsidR="00A65F64" w:rsidRDefault="00254D13">
      <w:r>
        <w:rPr>
          <w:noProof/>
          <w:lang w:bidi="ar-SA"/>
        </w:rPr>
        <w:drawing>
          <wp:inline distT="0" distB="0" distL="0" distR="0" wp14:anchorId="370B3BC6" wp14:editId="4500F2F8">
            <wp:extent cx="5943600" cy="3887071"/>
            <wp:effectExtent l="19050" t="0" r="0" b="0"/>
            <wp:docPr id="1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cstate="print"/>
                    <a:srcRect/>
                    <a:stretch>
                      <a:fillRect/>
                    </a:stretch>
                  </pic:blipFill>
                  <pic:spPr bwMode="auto">
                    <a:xfrm>
                      <a:off x="0" y="0"/>
                      <a:ext cx="5943600" cy="3887071"/>
                    </a:xfrm>
                    <a:prstGeom prst="rect">
                      <a:avLst/>
                    </a:prstGeom>
                    <a:noFill/>
                  </pic:spPr>
                </pic:pic>
              </a:graphicData>
            </a:graphic>
          </wp:inline>
        </w:drawing>
      </w:r>
    </w:p>
    <w:p w14:paraId="53AAB4C1" w14:textId="77777777" w:rsidR="00A65F64" w:rsidRDefault="00A65F64"/>
    <w:p w14:paraId="56E53DA8" w14:textId="77777777" w:rsidR="00A65F64" w:rsidRDefault="00A65F64">
      <w:pPr>
        <w:rPr>
          <w:b/>
        </w:rPr>
      </w:pPr>
      <w:r>
        <w:rPr>
          <w:b/>
        </w:rPr>
        <w:br w:type="page"/>
      </w:r>
    </w:p>
    <w:p w14:paraId="337B454D" w14:textId="77777777" w:rsidR="00637D03" w:rsidRDefault="00195E4B" w:rsidP="00597A48">
      <w:commentRangeStart w:id="38"/>
      <w:r w:rsidRPr="00195E4B">
        <w:rPr>
          <w:b/>
        </w:rPr>
        <w:lastRenderedPageBreak/>
        <w:t xml:space="preserve">Figure </w:t>
      </w:r>
      <w:r w:rsidR="00D01021">
        <w:rPr>
          <w:b/>
        </w:rPr>
        <w:t>2</w:t>
      </w:r>
      <w:r w:rsidRPr="00195E4B">
        <w:rPr>
          <w:b/>
        </w:rPr>
        <w:t>.</w:t>
      </w:r>
      <w:commentRangeEnd w:id="38"/>
      <w:r w:rsidR="00333E7A">
        <w:rPr>
          <w:rStyle w:val="CommentReference"/>
          <w:rFonts w:ascii="Calibri" w:eastAsia="Calibri" w:hAnsi="Calibri" w:cs="Times New Roman"/>
        </w:rPr>
        <w:commentReference w:id="38"/>
      </w:r>
      <w:r w:rsidR="00AB76E7">
        <w:t xml:space="preserve"> </w:t>
      </w:r>
      <w:r w:rsidR="00C07F1C">
        <w:t>Performance of the top</w:t>
      </w:r>
      <w:r w:rsidR="00AB76E7">
        <w:t xml:space="preserve"> </w:t>
      </w:r>
      <w:r w:rsidR="009933D9">
        <w:t>6 prognostic biomarker signatures,</w:t>
      </w:r>
      <w:r w:rsidR="00C07F1C">
        <w:t xml:space="preserve"> when applied to independent samples from </w:t>
      </w:r>
      <w:r>
        <w:t>AECOPD, convalescing, and stable COPD subjects.</w:t>
      </w:r>
    </w:p>
    <w:p w14:paraId="1B1E6AB3" w14:textId="77777777" w:rsidR="0036477B" w:rsidRDefault="00E849DD" w:rsidP="00597A48">
      <w:commentRangeStart w:id="39"/>
      <w:r>
        <w:rPr>
          <w:noProof/>
          <w:lang w:bidi="ar-SA"/>
        </w:rPr>
        <w:drawing>
          <wp:inline distT="0" distB="0" distL="0" distR="0" wp14:anchorId="5075FE57" wp14:editId="59AB3F2C">
            <wp:extent cx="4994275" cy="62344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994275" cy="6234430"/>
                    </a:xfrm>
                    <a:prstGeom prst="rect">
                      <a:avLst/>
                    </a:prstGeom>
                    <a:noFill/>
                    <a:ln w="9525">
                      <a:noFill/>
                      <a:miter lim="800000"/>
                      <a:headEnd/>
                      <a:tailEnd/>
                    </a:ln>
                  </pic:spPr>
                </pic:pic>
              </a:graphicData>
            </a:graphic>
          </wp:inline>
        </w:drawing>
      </w:r>
      <w:commentRangeEnd w:id="39"/>
      <w:r w:rsidR="00EF6DDB">
        <w:rPr>
          <w:rStyle w:val="CommentReference"/>
          <w:rFonts w:ascii="Calibri" w:eastAsia="Calibri" w:hAnsi="Calibri" w:cs="Times New Roman"/>
        </w:rPr>
        <w:commentReference w:id="39"/>
      </w:r>
    </w:p>
    <w:p w14:paraId="78F012B1" w14:textId="77777777" w:rsidR="0036477B" w:rsidRDefault="0036477B">
      <w:r>
        <w:br w:type="page"/>
      </w:r>
    </w:p>
    <w:p w14:paraId="2D09FCF3" w14:textId="77777777" w:rsidR="00637D03" w:rsidRPr="0036477B" w:rsidRDefault="0036477B" w:rsidP="00597A48">
      <w:pPr>
        <w:rPr>
          <w:b/>
        </w:rPr>
      </w:pPr>
      <w:r w:rsidRPr="0036477B">
        <w:rPr>
          <w:b/>
        </w:rPr>
        <w:lastRenderedPageBreak/>
        <w:t xml:space="preserve">Figure </w:t>
      </w:r>
      <w:r w:rsidR="00D01021">
        <w:rPr>
          <w:b/>
        </w:rPr>
        <w:t>3</w:t>
      </w:r>
      <w:r w:rsidRPr="0036477B">
        <w:rPr>
          <w:b/>
        </w:rPr>
        <w:t xml:space="preserve">. </w:t>
      </w:r>
      <w:r>
        <w:t xml:space="preserve">Replication </w:t>
      </w:r>
      <w:r w:rsidR="00136A28">
        <w:t xml:space="preserve">performance </w:t>
      </w:r>
      <w:r>
        <w:t xml:space="preserve">of the top </w:t>
      </w:r>
      <w:r w:rsidR="00CD23D9">
        <w:t xml:space="preserve">3 </w:t>
      </w:r>
      <w:r>
        <w:t xml:space="preserve">signatures of AECOPD </w:t>
      </w:r>
      <w:r w:rsidR="00A35850">
        <w:t xml:space="preserve">activity </w:t>
      </w:r>
      <w:r>
        <w:t>when applied to independent samples from AECOPD, convalescing, and stable COPD subjects.</w:t>
      </w:r>
    </w:p>
    <w:p w14:paraId="7339B870" w14:textId="77777777" w:rsidR="00D2020B" w:rsidRDefault="00E07C78" w:rsidP="00D2020B">
      <w:r>
        <w:rPr>
          <w:noProof/>
          <w:lang w:bidi="ar-SA"/>
        </w:rPr>
        <w:drawing>
          <wp:inline distT="0" distB="0" distL="0" distR="0" wp14:anchorId="19A36696" wp14:editId="2CA335AD">
            <wp:extent cx="5943600" cy="296675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943600" cy="2966755"/>
                    </a:xfrm>
                    <a:prstGeom prst="rect">
                      <a:avLst/>
                    </a:prstGeom>
                    <a:noFill/>
                    <a:ln w="9525">
                      <a:noFill/>
                      <a:miter lim="800000"/>
                      <a:headEnd/>
                      <a:tailEnd/>
                    </a:ln>
                  </pic:spPr>
                </pic:pic>
              </a:graphicData>
            </a:graphic>
          </wp:inline>
        </w:drawing>
      </w:r>
      <w:r w:rsidR="00637D03">
        <w:br w:type="page"/>
      </w:r>
      <w:r w:rsidR="00D2020B">
        <w:rPr>
          <w:b/>
        </w:rPr>
        <w:lastRenderedPageBreak/>
        <w:t xml:space="preserve">Figure </w:t>
      </w:r>
      <w:r w:rsidR="00D01021">
        <w:rPr>
          <w:b/>
        </w:rPr>
        <w:t>4</w:t>
      </w:r>
      <w:r w:rsidR="00D2020B">
        <w:rPr>
          <w:b/>
        </w:rPr>
        <w:t>A</w:t>
      </w:r>
      <w:r w:rsidR="00D2020B" w:rsidRPr="00170B63">
        <w:rPr>
          <w:b/>
        </w:rPr>
        <w:t>.</w:t>
      </w:r>
      <w:r w:rsidR="00D2020B">
        <w:t xml:space="preserve"> </w:t>
      </w:r>
      <w:r w:rsidR="00D2020B" w:rsidRPr="002128A1">
        <w:rPr>
          <w:b/>
        </w:rPr>
        <w:t xml:space="preserve">Pathway over-representation of BTM gene sets in the </w:t>
      </w:r>
      <w:r w:rsidR="00D2020B">
        <w:rPr>
          <w:b/>
        </w:rPr>
        <w:t xml:space="preserve">selected </w:t>
      </w:r>
      <w:r w:rsidR="00D2020B" w:rsidRPr="002128A1">
        <w:rPr>
          <w:b/>
        </w:rPr>
        <w:t>COPD modules</w:t>
      </w:r>
      <w:r w:rsidR="00D2020B" w:rsidRPr="001E6AE3">
        <w:rPr>
          <w:b/>
        </w:rPr>
        <w:t>.</w:t>
      </w:r>
      <w:r w:rsidR="00D2020B">
        <w:t xml:space="preserve"> We compared the module membership of selected WGCNA modules to t</w:t>
      </w:r>
      <w:r w:rsidR="00D2020B" w:rsidRPr="00011663">
        <w:t>he Blood Tran</w:t>
      </w:r>
      <w:r w:rsidR="00D2020B">
        <w:t xml:space="preserve">scriptome Modules (BTM), a </w:t>
      </w:r>
      <w:r w:rsidR="00D2020B" w:rsidRPr="00011663">
        <w:t>co</w:t>
      </w:r>
      <w:r w:rsidR="00D2020B">
        <w:t xml:space="preserve">llection of annotated gene sets </w:t>
      </w:r>
      <w:r w:rsidR="00D2020B" w:rsidRPr="00011663">
        <w:t>derived from a large-scale co-expression clustering analysis of &gt;50,000 publicly available blood t</w:t>
      </w:r>
      <w:r w:rsidR="00D2020B">
        <w:t xml:space="preserve">ranscriptome profiling datasets, to better understand their biological function. Our COPD modules are completely distinct at the gene level (by design), but there is significant overlap in function between the </w:t>
      </w:r>
      <w:r w:rsidR="00A305FF">
        <w:t>light-cyan</w:t>
      </w:r>
      <w:r w:rsidR="00D2020B">
        <w:t xml:space="preserve"> and salmon modules.</w:t>
      </w:r>
    </w:p>
    <w:p w14:paraId="08658971" w14:textId="77777777" w:rsidR="00D2020B" w:rsidRDefault="00B114D6" w:rsidP="00D2020B">
      <w:r>
        <w:rPr>
          <w:noProof/>
          <w:lang w:bidi="ar-SA"/>
        </w:rPr>
        <w:drawing>
          <wp:inline distT="0" distB="0" distL="0" distR="0" wp14:anchorId="0C4EF5A2" wp14:editId="4C31FBC7">
            <wp:extent cx="5486411"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6a - biological characteriz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3A566521" w14:textId="77777777" w:rsidR="00C6326A" w:rsidRDefault="00C6326A">
      <w:pPr>
        <w:rPr>
          <w:b/>
        </w:rPr>
      </w:pPr>
      <w:r>
        <w:rPr>
          <w:b/>
        </w:rPr>
        <w:br w:type="page"/>
      </w:r>
    </w:p>
    <w:p w14:paraId="1F727BDB" w14:textId="77777777" w:rsidR="00D2020B" w:rsidRDefault="00D2020B" w:rsidP="00D2020B">
      <w:r>
        <w:rPr>
          <w:b/>
        </w:rPr>
        <w:lastRenderedPageBreak/>
        <w:t xml:space="preserve">Figure </w:t>
      </w:r>
      <w:r w:rsidR="00D01021">
        <w:rPr>
          <w:b/>
        </w:rPr>
        <w:t>4</w:t>
      </w:r>
      <w:r>
        <w:rPr>
          <w:b/>
        </w:rPr>
        <w:t>B</w:t>
      </w:r>
      <w:r w:rsidRPr="00170B63">
        <w:rPr>
          <w:b/>
        </w:rPr>
        <w:t>.</w:t>
      </w:r>
      <w:r>
        <w:t xml:space="preserve"> </w:t>
      </w:r>
      <w:r>
        <w:rPr>
          <w:b/>
        </w:rPr>
        <w:t>Cell-specificity of the selected</w:t>
      </w:r>
      <w:r w:rsidRPr="001E6AE3">
        <w:rPr>
          <w:b/>
        </w:rPr>
        <w:t xml:space="preserve"> </w:t>
      </w:r>
      <w:r>
        <w:rPr>
          <w:b/>
        </w:rPr>
        <w:t xml:space="preserve">WGCNA </w:t>
      </w:r>
      <w:r w:rsidRPr="001E6AE3">
        <w:rPr>
          <w:b/>
        </w:rPr>
        <w:t>modules.</w:t>
      </w:r>
      <w:r>
        <w:t xml:space="preserve"> We compared the module membership of selected WGCNA modules to cell-specific gene signatures derived from peripheral whole blood</w:t>
      </w:r>
      <w:r w:rsidR="0086508A">
        <w:fldChar w:fldCharType="begin"/>
      </w:r>
      <w:r w:rsidR="00BC03E4">
        <w:instrText xml:space="preserve"> ADDIN ZOTERO_ITEM CSL_CITATION {"citationID":"1oejgoodhr","properties":{"formattedCitation":"(26)","plainCitation":"(26)"},"citationItems":[{"id":108,"uris":["http://zotero.org/users/local/QWbLI5ai/items/TW3IGWZ3"],"uri":["http://zotero.org/users/local/QWbLI5ai/items/TW3IGWZ3"],"itemData":{"id":108,"type":"webpage","title":"Gene enrichment profiles reveal T-cell development, differentiation, and lineage-specific transcription factors including ZBTB25 as a novel NF-AT r... - PubMed - NCBI","URL":"https://www.ncbi.nlm.nih.gov/pubmed/20410506","accessed":{"date-parts":[["2018",1,8]]}}}],"schema":"https://github.com/citation-style-language/schema/raw/master/csl-citation.json"} </w:instrText>
      </w:r>
      <w:r w:rsidR="0086508A">
        <w:fldChar w:fldCharType="separate"/>
      </w:r>
      <w:r w:rsidR="00BC03E4" w:rsidRPr="00BC03E4">
        <w:rPr>
          <w:rFonts w:ascii="Calibri" w:hAnsi="Calibri"/>
        </w:rPr>
        <w:t>(26)</w:t>
      </w:r>
      <w:r w:rsidR="0086508A">
        <w:fldChar w:fldCharType="end"/>
      </w:r>
      <w:r>
        <w:t xml:space="preserve">. Their relative enrichment across these cell-specific gene signatures is visualized in a radar plot. The salmon and </w:t>
      </w:r>
      <w:r w:rsidR="00A305FF">
        <w:t>light-cyan</w:t>
      </w:r>
      <w:r>
        <w:t xml:space="preserve"> modules have very similar profiles, being significantly enriched for genes characteristic of CD4+ and CD8+ T-cells, as well as Treg cells. The salmon module was significantly enriched in NK cell-specific genes, while the </w:t>
      </w:r>
      <w:r w:rsidR="00A305FF">
        <w:t>light-cyan</w:t>
      </w:r>
      <w:r>
        <w:t xml:space="preserve"> module was not. The green module did not exhibit any cell-specificity.</w:t>
      </w:r>
    </w:p>
    <w:p w14:paraId="0606445F" w14:textId="77777777" w:rsidR="00D2020B" w:rsidRPr="00597A48" w:rsidRDefault="00B114D6" w:rsidP="00D2020B">
      <w:r>
        <w:rPr>
          <w:b/>
          <w:noProof/>
          <w:lang w:bidi="ar-SA"/>
        </w:rPr>
        <w:drawing>
          <wp:inline distT="0" distB="0" distL="0" distR="0" wp14:anchorId="3494D66A" wp14:editId="4CF2612C">
            <wp:extent cx="5943536" cy="5403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S2 - cell-specificity.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536" cy="5403215"/>
                    </a:xfrm>
                    <a:prstGeom prst="rect">
                      <a:avLst/>
                    </a:prstGeom>
                  </pic:spPr>
                </pic:pic>
              </a:graphicData>
            </a:graphic>
          </wp:inline>
        </w:drawing>
      </w:r>
    </w:p>
    <w:p w14:paraId="3979B2C0" w14:textId="77777777" w:rsidR="00D2020B" w:rsidRPr="00637D03" w:rsidRDefault="00B5280E">
      <w:r>
        <w:br w:type="page"/>
      </w:r>
    </w:p>
    <w:p w14:paraId="0CCB391C" w14:textId="77777777" w:rsidR="00BE465B" w:rsidRDefault="00BE465B" w:rsidP="00534815">
      <w:pPr>
        <w:pStyle w:val="Heading1"/>
      </w:pPr>
      <w:r>
        <w:lastRenderedPageBreak/>
        <w:t>Supplementary Figures</w:t>
      </w:r>
    </w:p>
    <w:p w14:paraId="6B5A93FA" w14:textId="77777777" w:rsidR="00254D13" w:rsidRDefault="00254D13" w:rsidP="00254D13">
      <w:r w:rsidRPr="00597A48">
        <w:rPr>
          <w:b/>
        </w:rPr>
        <w:t xml:space="preserve">Figure </w:t>
      </w:r>
      <w:r>
        <w:rPr>
          <w:b/>
        </w:rPr>
        <w:t>S</w:t>
      </w:r>
      <w:r w:rsidRPr="00597A48">
        <w:rPr>
          <w:b/>
        </w:rPr>
        <w:t>1.</w:t>
      </w:r>
      <w:r>
        <w:t xml:space="preserve"> Disease activity model of COPD exacerbation.</w:t>
      </w:r>
    </w:p>
    <w:p w14:paraId="0CEBCF7D" w14:textId="77777777" w:rsidR="00254D13" w:rsidRDefault="00254D13" w:rsidP="00254D13">
      <w:r>
        <w:rPr>
          <w:noProof/>
          <w:lang w:bidi="ar-SA"/>
        </w:rPr>
        <w:drawing>
          <wp:inline distT="0" distB="0" distL="0" distR="0" wp14:anchorId="0986A576" wp14:editId="0D86567E">
            <wp:extent cx="5943600" cy="3786153"/>
            <wp:effectExtent l="0" t="0" r="0" b="0"/>
            <wp:docPr id="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cstate="print"/>
                    <a:srcRect/>
                    <a:stretch>
                      <a:fillRect/>
                    </a:stretch>
                  </pic:blipFill>
                  <pic:spPr bwMode="auto">
                    <a:xfrm>
                      <a:off x="0" y="0"/>
                      <a:ext cx="5943600" cy="3786153"/>
                    </a:xfrm>
                    <a:prstGeom prst="rect">
                      <a:avLst/>
                    </a:prstGeom>
                    <a:noFill/>
                  </pic:spPr>
                </pic:pic>
              </a:graphicData>
            </a:graphic>
          </wp:inline>
        </w:drawing>
      </w:r>
    </w:p>
    <w:p w14:paraId="4D83B704" w14:textId="77777777" w:rsidR="00254D13" w:rsidRDefault="00254D13">
      <w:pPr>
        <w:rPr>
          <w:b/>
        </w:rPr>
      </w:pPr>
      <w:r>
        <w:rPr>
          <w:b/>
        </w:rPr>
        <w:br w:type="page"/>
      </w:r>
    </w:p>
    <w:p w14:paraId="5110EEAB" w14:textId="77777777" w:rsidR="00FA4F6F" w:rsidRDefault="00392CEC" w:rsidP="00597A48">
      <w:r>
        <w:rPr>
          <w:b/>
        </w:rPr>
        <w:lastRenderedPageBreak/>
        <w:t xml:space="preserve">Figure </w:t>
      </w:r>
      <w:r w:rsidR="00254D13">
        <w:rPr>
          <w:b/>
        </w:rPr>
        <w:t>S</w:t>
      </w:r>
      <w:r w:rsidR="006E4370">
        <w:rPr>
          <w:b/>
        </w:rPr>
        <w:t>2</w:t>
      </w:r>
      <w:r w:rsidR="00FA4F6F" w:rsidRPr="00170B63">
        <w:rPr>
          <w:b/>
        </w:rPr>
        <w:t>.</w:t>
      </w:r>
      <w:r w:rsidR="00FA4F6F">
        <w:t xml:space="preserve"> </w:t>
      </w:r>
      <w:r w:rsidR="001625F4" w:rsidRPr="001625F4">
        <w:rPr>
          <w:b/>
        </w:rPr>
        <w:t>Pathway over-representation of BTM gene sets in the COPD modules.</w:t>
      </w:r>
      <w:r w:rsidR="003E7563">
        <w:t xml:space="preserve"> </w:t>
      </w:r>
      <w:r w:rsidR="008305D3">
        <w:t xml:space="preserve">We compared our COPD-specific modules to </w:t>
      </w:r>
      <w:r w:rsidR="00011663">
        <w:t>t</w:t>
      </w:r>
      <w:r w:rsidR="00011663" w:rsidRPr="00011663">
        <w:t>he Blood Tran</w:t>
      </w:r>
      <w:r w:rsidR="00011663">
        <w:t xml:space="preserve">scriptome Modules (BTM), a </w:t>
      </w:r>
      <w:r w:rsidR="00011663" w:rsidRPr="00011663">
        <w:t>co</w:t>
      </w:r>
      <w:r w:rsidR="00011663">
        <w:t xml:space="preserve">llection of annotated gene sets </w:t>
      </w:r>
      <w:r w:rsidR="00011663" w:rsidRPr="00011663">
        <w:t>derived from a large-scale co-expression clustering analysis of &gt;50,000 publicly available blood t</w:t>
      </w:r>
      <w:r w:rsidR="00687DA9">
        <w:t xml:space="preserve">ranscriptome profiling datasets, </w:t>
      </w:r>
      <w:r w:rsidR="008305D3">
        <w:t>to better understand their biological function</w:t>
      </w:r>
      <w:r w:rsidR="00E47294">
        <w:t xml:space="preserve">. </w:t>
      </w:r>
      <w:r w:rsidR="006D5B2D">
        <w:t xml:space="preserve">Our </w:t>
      </w:r>
      <w:r w:rsidR="00E47294">
        <w:t>COPD m</w:t>
      </w:r>
      <w:r w:rsidR="00FE6574">
        <w:t>odules are completely distinct at the</w:t>
      </w:r>
      <w:r w:rsidR="00F70407">
        <w:t xml:space="preserve"> gene level (by design), and t</w:t>
      </w:r>
      <w:r w:rsidR="00FE6574">
        <w:t xml:space="preserve">here is generally little overlap in significantly over-represented BTMs across modules, suggesting that they are </w:t>
      </w:r>
      <w:r w:rsidR="001208E9">
        <w:t xml:space="preserve">also </w:t>
      </w:r>
      <w:r w:rsidR="00FE6574">
        <w:t>largely distinct at a functional level.</w:t>
      </w:r>
      <w:r w:rsidR="00374383">
        <w:t xml:space="preserve"> Notable exceptions include the black and brown (</w:t>
      </w:r>
      <w:r w:rsidR="003905FD">
        <w:t xml:space="preserve">shown in </w:t>
      </w:r>
      <w:r w:rsidR="005217C4">
        <w:t>blue</w:t>
      </w:r>
      <w:r w:rsidR="00F6566A">
        <w:t xml:space="preserve">), </w:t>
      </w:r>
      <w:r w:rsidR="00374383">
        <w:t xml:space="preserve">and </w:t>
      </w:r>
      <w:r w:rsidR="00A305FF">
        <w:t>light-cyan</w:t>
      </w:r>
      <w:r w:rsidR="00374383">
        <w:t xml:space="preserve"> and salmon modules (</w:t>
      </w:r>
      <w:r w:rsidR="007B413A">
        <w:t xml:space="preserve">shown in </w:t>
      </w:r>
      <w:r w:rsidR="005217C4">
        <w:t>red</w:t>
      </w:r>
      <w:r w:rsidR="00374383">
        <w:t>).</w:t>
      </w:r>
    </w:p>
    <w:p w14:paraId="11A0E446" w14:textId="77777777" w:rsidR="00195E4B" w:rsidRPr="00597A48" w:rsidRDefault="00AF41F0" w:rsidP="00EB7075">
      <w:r>
        <w:rPr>
          <w:noProof/>
          <w:lang w:bidi="ar-SA"/>
        </w:rPr>
        <w:lastRenderedPageBreak/>
        <w:drawing>
          <wp:inline distT="0" distB="0" distL="0" distR="0" wp14:anchorId="75B0E335" wp14:editId="1E095461">
            <wp:extent cx="5486411" cy="5943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 enrichment BTM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86411" cy="5943612"/>
                    </a:xfrm>
                    <a:prstGeom prst="rect">
                      <a:avLst/>
                    </a:prstGeom>
                  </pic:spPr>
                </pic:pic>
              </a:graphicData>
            </a:graphic>
          </wp:inline>
        </w:drawing>
      </w:r>
    </w:p>
    <w:sectPr w:rsidR="00195E4B" w:rsidRPr="00597A48" w:rsidSect="00BE46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sey P. Shannon" w:date="2018-01-30T13:50:00Z" w:initials="CPS">
    <w:p w14:paraId="7C1354C7" w14:textId="24E823CA" w:rsidR="00B27D03" w:rsidRDefault="00B27D03">
      <w:pPr>
        <w:pStyle w:val="CommentText"/>
      </w:pPr>
      <w:r>
        <w:rPr>
          <w:rStyle w:val="CommentReference"/>
        </w:rPr>
        <w:annotationRef/>
      </w:r>
      <w:r>
        <w:t xml:space="preserve">Don is corresponding author? </w:t>
      </w:r>
    </w:p>
  </w:comment>
  <w:comment w:id="1" w:author="Casey P. Shannon" w:date="2018-01-30T14:10:00Z" w:initials="CPS">
    <w:p w14:paraId="4559DB34" w14:textId="7805A058" w:rsidR="00B27D03" w:rsidRDefault="00B27D03">
      <w:pPr>
        <w:pStyle w:val="CommentText"/>
      </w:pPr>
      <w:r>
        <w:rPr>
          <w:rStyle w:val="CommentReference"/>
        </w:rPr>
        <w:annotationRef/>
      </w:r>
      <w:r>
        <w:t>Renamed sections per AJRCCM guidelines for structured abstracts.</w:t>
      </w:r>
    </w:p>
    <w:p w14:paraId="543B6A99" w14:textId="77777777" w:rsidR="00B27D03" w:rsidRDefault="00B27D03">
      <w:pPr>
        <w:pStyle w:val="CommentText"/>
      </w:pPr>
    </w:p>
    <w:p w14:paraId="06755DCE" w14:textId="5F9C62BA" w:rsidR="00B27D03" w:rsidRDefault="00B27D03">
      <w:pPr>
        <w:pStyle w:val="CommentText"/>
      </w:pPr>
      <w:r>
        <w:t>No abbreviations allowed (really?!)</w:t>
      </w:r>
    </w:p>
  </w:comment>
  <w:comment w:id="2" w:author="Casey P. Shannon" w:date="2018-01-30T14:11:00Z" w:initials="CPS">
    <w:p w14:paraId="3EF39561" w14:textId="261FFA0A" w:rsidR="00B27D03" w:rsidRDefault="00B27D03">
      <w:pPr>
        <w:pStyle w:val="CommentText"/>
      </w:pPr>
      <w:r>
        <w:rPr>
          <w:rStyle w:val="CommentReference"/>
        </w:rPr>
        <w:annotationRef/>
      </w:r>
      <w:r>
        <w:t>Need better objective statement...</w:t>
      </w:r>
    </w:p>
  </w:comment>
  <w:comment w:id="3" w:author="vchen" w:date="2018-01-24T14:38:00Z" w:initials="v">
    <w:p w14:paraId="23ECF6E9" w14:textId="77777777" w:rsidR="00B27D03" w:rsidRDefault="00B27D03">
      <w:pPr>
        <w:pStyle w:val="CommentText"/>
      </w:pPr>
      <w:r>
        <w:rPr>
          <w:rStyle w:val="CommentReference"/>
        </w:rPr>
        <w:annotationRef/>
      </w:r>
      <w:r>
        <w:t>Citation needed</w:t>
      </w:r>
    </w:p>
  </w:comment>
  <w:comment w:id="4" w:author="vchen" w:date="2018-01-24T14:38:00Z" w:initials="v">
    <w:p w14:paraId="54C9216F" w14:textId="77777777" w:rsidR="00B27D03" w:rsidRDefault="00B27D03">
      <w:pPr>
        <w:pStyle w:val="CommentText"/>
      </w:pPr>
      <w:r>
        <w:rPr>
          <w:rStyle w:val="CommentReference"/>
        </w:rPr>
        <w:annotationRef/>
      </w:r>
      <w:r>
        <w:t>Citation needed</w:t>
      </w:r>
    </w:p>
  </w:comment>
  <w:comment w:id="5" w:author="vchen" w:date="2018-01-24T14:38:00Z" w:initials="v">
    <w:p w14:paraId="43148288" w14:textId="77777777" w:rsidR="00B27D03" w:rsidRDefault="00B27D03">
      <w:pPr>
        <w:pStyle w:val="CommentText"/>
      </w:pPr>
      <w:r>
        <w:rPr>
          <w:rStyle w:val="CommentReference"/>
        </w:rPr>
        <w:annotationRef/>
      </w:r>
      <w:r>
        <w:t>Citation needed</w:t>
      </w:r>
    </w:p>
  </w:comment>
  <w:comment w:id="6" w:author="vchen" w:date="2016-08-30T17:42:00Z" w:initials="v">
    <w:p w14:paraId="04E061C5" w14:textId="77777777" w:rsidR="00B27D03" w:rsidRDefault="00B27D03">
      <w:pPr>
        <w:pStyle w:val="CommentText"/>
      </w:pPr>
      <w:r>
        <w:rPr>
          <w:rStyle w:val="CommentReference"/>
        </w:rPr>
        <w:annotationRef/>
      </w:r>
      <w:r>
        <w:t>Need to verify this statement.</w:t>
      </w:r>
    </w:p>
  </w:comment>
  <w:comment w:id="7" w:author="Casey P. Shannon" w:date="2018-01-30T14:14:00Z" w:initials="CPS">
    <w:p w14:paraId="20B351D2" w14:textId="3A792F29" w:rsidR="00B27D03" w:rsidRDefault="00B27D03">
      <w:pPr>
        <w:pStyle w:val="CommentText"/>
      </w:pPr>
      <w:r>
        <w:rPr>
          <w:rStyle w:val="CommentReference"/>
        </w:rPr>
        <w:annotationRef/>
      </w:r>
      <w:r>
        <w:t>May need to remove sub-headings within this section – ARJCCM limits to 2 levels of subheading (unclear whether this includes the top level (intro, methods, results, discussion).</w:t>
      </w:r>
    </w:p>
  </w:comment>
  <w:comment w:id="8" w:author="Casey P. Shannon" w:date="2018-03-13T12:05:00Z" w:initials="CPS">
    <w:p w14:paraId="34306700" w14:textId="441B5714" w:rsidR="00B27D03" w:rsidRDefault="00B27D03">
      <w:pPr>
        <w:pStyle w:val="CommentText"/>
      </w:pPr>
      <w:r>
        <w:rPr>
          <w:rStyle w:val="CommentReference"/>
        </w:rPr>
        <w:annotationRef/>
      </w:r>
      <w:r>
        <w:t>Add subsections if possible</w:t>
      </w:r>
    </w:p>
  </w:comment>
  <w:comment w:id="9" w:author="vchen" w:date="2018-01-09T16:22:00Z" w:initials="v">
    <w:p w14:paraId="2F13652F" w14:textId="77777777" w:rsidR="00B27D03" w:rsidRDefault="00B27D03">
      <w:pPr>
        <w:pStyle w:val="CommentText"/>
      </w:pPr>
      <w:r>
        <w:rPr>
          <w:rStyle w:val="CommentReference"/>
        </w:rPr>
        <w:annotationRef/>
      </w:r>
      <w:r>
        <w:t>Seems like a lot, I need to check these numbers.</w:t>
      </w:r>
    </w:p>
  </w:comment>
  <w:comment w:id="10" w:author="Casey P. Shannon" w:date="2018-03-13T17:02:00Z" w:initials="CPS">
    <w:p w14:paraId="7D036455" w14:textId="1F498A01" w:rsidR="00944A3B" w:rsidRDefault="00944A3B">
      <w:pPr>
        <w:pStyle w:val="CommentText"/>
      </w:pPr>
      <w:r>
        <w:rPr>
          <w:rStyle w:val="CommentReference"/>
        </w:rPr>
        <w:annotationRef/>
      </w:r>
      <w:r>
        <w:t xml:space="preserve">Since this is just describing the information in Table 1, can we remove it? We need to cut </w:t>
      </w:r>
      <w:r w:rsidR="006E67B7">
        <w:t>~600 words</w:t>
      </w:r>
      <w:r>
        <w:t xml:space="preserve">! </w:t>
      </w:r>
    </w:p>
  </w:comment>
  <w:comment w:id="11" w:author="vchen" w:date="2018-01-24T14:38:00Z" w:initials="v">
    <w:p w14:paraId="732E5397" w14:textId="77777777" w:rsidR="00B01EA6" w:rsidRDefault="00B01EA6" w:rsidP="00B01EA6">
      <w:pPr>
        <w:pStyle w:val="CommentText"/>
      </w:pPr>
      <w:r>
        <w:rPr>
          <w:rStyle w:val="CommentReference"/>
        </w:rPr>
        <w:annotationRef/>
      </w:r>
      <w:r>
        <w:t>Citation needed</w:t>
      </w:r>
    </w:p>
  </w:comment>
  <w:comment w:id="12" w:author="Casey P. Shannon" w:date="2018-03-09T14:01:00Z" w:initials="CPS">
    <w:p w14:paraId="660B55BA" w14:textId="77777777" w:rsidR="009379E9" w:rsidRDefault="009379E9" w:rsidP="009379E9">
      <w:pPr>
        <w:pStyle w:val="CommentText"/>
      </w:pPr>
      <w:r>
        <w:rPr>
          <w:rStyle w:val="CommentReference"/>
        </w:rPr>
        <w:annotationRef/>
      </w:r>
      <w:hyperlink r:id="rId1" w:history="1">
        <w:r w:rsidRPr="00DA3E62">
          <w:rPr>
            <w:rStyle w:val="Hyperlink"/>
          </w:rPr>
          <w:t>https://www.ncbi.nlm.nih.gov/pubmed/25670896</w:t>
        </w:r>
      </w:hyperlink>
      <w:r>
        <w:t xml:space="preserve"> </w:t>
      </w:r>
    </w:p>
  </w:comment>
  <w:comment w:id="13" w:author="Casey P. Shannon" w:date="2017-12-14T10:49:00Z" w:initials="CPS">
    <w:p w14:paraId="161D92C5" w14:textId="7519D8AB" w:rsidR="00B27D03" w:rsidRDefault="00B27D03">
      <w:pPr>
        <w:pStyle w:val="CommentText"/>
      </w:pPr>
      <w:r>
        <w:rPr>
          <w:rStyle w:val="CommentReference"/>
        </w:rPr>
        <w:annotationRef/>
      </w:r>
      <w:r>
        <w:t>Citation needed:</w:t>
      </w:r>
    </w:p>
    <w:p w14:paraId="1D30D2F6" w14:textId="77777777" w:rsidR="00B27D03" w:rsidRDefault="00B27D03">
      <w:pPr>
        <w:pStyle w:val="CommentText"/>
      </w:pPr>
    </w:p>
    <w:p w14:paraId="708DB5F8" w14:textId="4C989E4A" w:rsidR="00B27D03" w:rsidRDefault="00B27D03">
      <w:pPr>
        <w:pStyle w:val="CommentText"/>
      </w:pPr>
      <w:r>
        <w:t>2001 – Chest</w:t>
      </w:r>
    </w:p>
    <w:p w14:paraId="7BB17801" w14:textId="4E841761" w:rsidR="00B27D03" w:rsidRDefault="00A0372A">
      <w:pPr>
        <w:pStyle w:val="CommentText"/>
      </w:pPr>
      <w:hyperlink r:id="rId2" w:history="1">
        <w:r w:rsidR="00B27D03" w:rsidRPr="00B60B8D">
          <w:rPr>
            <w:rStyle w:val="Hyperlink"/>
          </w:rPr>
          <w:t>https://www.ncbi.nlm.nih.gov/pubmed/11171708</w:t>
        </w:r>
      </w:hyperlink>
    </w:p>
    <w:p w14:paraId="188E6527" w14:textId="77777777" w:rsidR="00B27D03" w:rsidRDefault="00B27D03">
      <w:pPr>
        <w:pStyle w:val="CommentText"/>
      </w:pPr>
    </w:p>
    <w:p w14:paraId="72147101" w14:textId="2BAA0601" w:rsidR="00B27D03" w:rsidRDefault="00B27D03">
      <w:pPr>
        <w:pStyle w:val="CommentText"/>
      </w:pPr>
      <w:r>
        <w:t>2002 – Respir Med</w:t>
      </w:r>
    </w:p>
    <w:p w14:paraId="6F1DC1FF" w14:textId="55F931D6" w:rsidR="00B27D03" w:rsidRDefault="00A0372A">
      <w:pPr>
        <w:pStyle w:val="CommentText"/>
      </w:pPr>
      <w:hyperlink r:id="rId3" w:history="1">
        <w:r w:rsidR="00B27D03" w:rsidRPr="00B60B8D">
          <w:rPr>
            <w:rStyle w:val="Hyperlink"/>
          </w:rPr>
          <w:t>https://www.ncbi.nlm.nih.gov/pubmed/12243316</w:t>
        </w:r>
      </w:hyperlink>
      <w:r w:rsidR="00B27D03">
        <w:t xml:space="preserve"> </w:t>
      </w:r>
    </w:p>
    <w:p w14:paraId="0273AA6D" w14:textId="77777777" w:rsidR="00B27D03" w:rsidRDefault="00B27D03">
      <w:pPr>
        <w:pStyle w:val="CommentText"/>
      </w:pPr>
    </w:p>
    <w:p w14:paraId="55E5C651" w14:textId="2941E710" w:rsidR="00B27D03" w:rsidRDefault="00B27D03">
      <w:pPr>
        <w:pStyle w:val="CommentText"/>
      </w:pPr>
      <w:r>
        <w:t>2010 – COPD</w:t>
      </w:r>
    </w:p>
    <w:p w14:paraId="74ABC041" w14:textId="162F1AF4" w:rsidR="00B27D03" w:rsidRDefault="00A0372A">
      <w:pPr>
        <w:pStyle w:val="CommentText"/>
      </w:pPr>
      <w:hyperlink r:id="rId4" w:history="1">
        <w:r w:rsidR="00B27D03" w:rsidRPr="00B60B8D">
          <w:rPr>
            <w:rStyle w:val="Hyperlink"/>
          </w:rPr>
          <w:t>https://www.ncbi.nlm.nih.gov/pubmed/20486821</w:t>
        </w:r>
      </w:hyperlink>
    </w:p>
    <w:p w14:paraId="2FAB4F1C" w14:textId="77777777" w:rsidR="00B27D03" w:rsidRDefault="00B27D03">
      <w:pPr>
        <w:pStyle w:val="CommentText"/>
      </w:pPr>
    </w:p>
    <w:p w14:paraId="535D3B7F" w14:textId="33629239" w:rsidR="00B27D03" w:rsidRDefault="00B27D03">
      <w:pPr>
        <w:pStyle w:val="CommentText"/>
      </w:pPr>
      <w:r>
        <w:t>2017 – Int J Chron Obstruct Pulmon Dis</w:t>
      </w:r>
    </w:p>
    <w:p w14:paraId="306BD1F6" w14:textId="2F6C1129" w:rsidR="00B27D03" w:rsidRDefault="00A0372A">
      <w:pPr>
        <w:pStyle w:val="CommentText"/>
      </w:pPr>
      <w:hyperlink r:id="rId5" w:history="1">
        <w:r w:rsidR="00B27D03" w:rsidRPr="00B60B8D">
          <w:rPr>
            <w:rStyle w:val="Hyperlink"/>
          </w:rPr>
          <w:t>https://www.ncbi.nlm.nih.gov/pubmed/28392683</w:t>
        </w:r>
      </w:hyperlink>
      <w:r w:rsidR="00B27D03">
        <w:t xml:space="preserve"> </w:t>
      </w:r>
    </w:p>
    <w:p w14:paraId="4CE82968" w14:textId="77777777" w:rsidR="00B27D03" w:rsidRDefault="00B27D03">
      <w:pPr>
        <w:pStyle w:val="CommentText"/>
      </w:pPr>
    </w:p>
  </w:comment>
  <w:comment w:id="14" w:author="Casey P. Shannon" w:date="2018-02-09T14:13:00Z" w:initials="CPS">
    <w:p w14:paraId="44C8BEC0" w14:textId="0079B5CA" w:rsidR="00B27D03" w:rsidRDefault="00B27D03">
      <w:pPr>
        <w:pStyle w:val="CommentText"/>
      </w:pPr>
      <w:r>
        <w:rPr>
          <w:rStyle w:val="CommentReference"/>
        </w:rPr>
        <w:annotationRef/>
      </w:r>
      <w:r>
        <w:t>Should we used predictive instead?</w:t>
      </w:r>
    </w:p>
    <w:p w14:paraId="3B993B03" w14:textId="77777777" w:rsidR="00B27D03" w:rsidRDefault="00B27D03">
      <w:pPr>
        <w:pStyle w:val="CommentText"/>
      </w:pPr>
    </w:p>
    <w:p w14:paraId="7AFBC070" w14:textId="5B8F6424" w:rsidR="00B27D03" w:rsidRDefault="00B27D03">
      <w:pPr>
        <w:pStyle w:val="CommentText"/>
      </w:pPr>
      <w:r>
        <w:t>Prognostics seems to imply that we are interested in outcomes of AECOPD rather than the event itself?</w:t>
      </w:r>
    </w:p>
  </w:comment>
  <w:comment w:id="15" w:author="Casey P. Shannon" w:date="2018-03-08T16:29:00Z" w:initials="CPS">
    <w:p w14:paraId="306D34AD" w14:textId="77777777" w:rsidR="00B27D03" w:rsidRDefault="00B27D03" w:rsidP="006525CF">
      <w:pPr>
        <w:pStyle w:val="CommentText"/>
      </w:pPr>
      <w:r>
        <w:rPr>
          <w:rStyle w:val="CommentReference"/>
        </w:rPr>
        <w:annotationRef/>
      </w:r>
      <w:hyperlink r:id="rId6" w:history="1">
        <w:r w:rsidRPr="00DA3E62">
          <w:rPr>
            <w:rStyle w:val="Hyperlink"/>
          </w:rPr>
          <w:t>https://www.ncbi.nlm.nih.gov/pubmed/11587986</w:t>
        </w:r>
      </w:hyperlink>
      <w:r>
        <w:t xml:space="preserve"> </w:t>
      </w:r>
    </w:p>
    <w:p w14:paraId="688AA883" w14:textId="77777777" w:rsidR="00B27D03" w:rsidRDefault="00A0372A" w:rsidP="006525CF">
      <w:pPr>
        <w:pStyle w:val="CommentText"/>
      </w:pPr>
      <w:hyperlink r:id="rId7" w:history="1">
        <w:r w:rsidR="00B27D03" w:rsidRPr="00DA3E62">
          <w:rPr>
            <w:rStyle w:val="Hyperlink"/>
          </w:rPr>
          <w:t>https://www.ncbi.nlm.nih.gov/pubmed/16135721</w:t>
        </w:r>
      </w:hyperlink>
      <w:r w:rsidR="00B27D03">
        <w:t xml:space="preserve"> </w:t>
      </w:r>
    </w:p>
  </w:comment>
  <w:comment w:id="17" w:author="Casey P. Shannon" w:date="2018-03-09T16:23:00Z" w:initials="CPS">
    <w:p w14:paraId="0555EADE" w14:textId="66CBFC3B" w:rsidR="00B27D03" w:rsidRDefault="00B27D03">
      <w:pPr>
        <w:pStyle w:val="CommentText"/>
      </w:pPr>
      <w:r>
        <w:rPr>
          <w:rStyle w:val="CommentReference"/>
        </w:rPr>
        <w:annotationRef/>
      </w:r>
      <w:hyperlink r:id="rId8" w:history="1">
        <w:r w:rsidRPr="00DA3E62">
          <w:rPr>
            <w:rStyle w:val="Hyperlink"/>
          </w:rPr>
          <w:t>https://www.ncbi.nlm.nih.gov/pubmed/12773199</w:t>
        </w:r>
      </w:hyperlink>
      <w:r>
        <w:t xml:space="preserve"> </w:t>
      </w:r>
    </w:p>
  </w:comment>
  <w:comment w:id="16" w:author="Casey P. Shannon" w:date="2018-03-08T16:31:00Z" w:initials="CPS">
    <w:p w14:paraId="2A6F975D" w14:textId="77777777" w:rsidR="00B27D03" w:rsidRDefault="00B27D03" w:rsidP="006525CF">
      <w:pPr>
        <w:pStyle w:val="CommentText"/>
      </w:pPr>
      <w:r>
        <w:rPr>
          <w:rStyle w:val="CommentReference"/>
        </w:rPr>
        <w:annotationRef/>
      </w:r>
      <w:hyperlink r:id="rId9" w:history="1">
        <w:r w:rsidRPr="00DA3E62">
          <w:rPr>
            <w:rStyle w:val="Hyperlink"/>
          </w:rPr>
          <w:t>https://www.ncbi.nlm.nih.gov/pubmed/10673192</w:t>
        </w:r>
      </w:hyperlink>
      <w:r>
        <w:t xml:space="preserve"> </w:t>
      </w:r>
    </w:p>
  </w:comment>
  <w:comment w:id="18" w:author="Casey P. Shannon" w:date="2018-03-09T16:01:00Z" w:initials="CPS">
    <w:p w14:paraId="436D3D73" w14:textId="39A6C513" w:rsidR="00B27D03" w:rsidRDefault="00B27D03">
      <w:pPr>
        <w:pStyle w:val="CommentText"/>
      </w:pPr>
      <w:r>
        <w:rPr>
          <w:rStyle w:val="CommentReference"/>
        </w:rPr>
        <w:annotationRef/>
      </w:r>
      <w:r>
        <w:rPr>
          <w:rStyle w:val="CommentReference"/>
        </w:rPr>
        <w:annotationRef/>
      </w:r>
      <w:hyperlink r:id="rId10" w:history="1">
        <w:r w:rsidRPr="00DA3E62">
          <w:rPr>
            <w:rStyle w:val="Hyperlink"/>
          </w:rPr>
          <w:t>https://www.ncbi.nlm.nih.gov/pubmed/14999112</w:t>
        </w:r>
      </w:hyperlink>
      <w:r>
        <w:t xml:space="preserve"> </w:t>
      </w:r>
    </w:p>
  </w:comment>
  <w:comment w:id="19" w:author="Casey P. Shannon" w:date="2018-03-09T16:01:00Z" w:initials="CPS">
    <w:p w14:paraId="206B6D1D" w14:textId="6C3DFAD5" w:rsidR="00B27D03" w:rsidRDefault="00B27D03">
      <w:pPr>
        <w:pStyle w:val="CommentText"/>
      </w:pPr>
      <w:r>
        <w:rPr>
          <w:rStyle w:val="CommentReference"/>
        </w:rPr>
        <w:annotationRef/>
      </w:r>
      <w:r>
        <w:rPr>
          <w:rStyle w:val="CommentReference"/>
        </w:rPr>
        <w:annotationRef/>
      </w:r>
      <w:hyperlink r:id="rId11" w:history="1">
        <w:r w:rsidRPr="00DA3E62">
          <w:rPr>
            <w:rStyle w:val="Hyperlink"/>
          </w:rPr>
          <w:t>https://www.ncbi.nlm.nih.gov/pubmed/19131231</w:t>
        </w:r>
      </w:hyperlink>
      <w:r>
        <w:t xml:space="preserve"> </w:t>
      </w:r>
    </w:p>
  </w:comment>
  <w:comment w:id="20" w:author="Casey P. Shannon" w:date="2018-03-09T16:01:00Z" w:initials="CPS">
    <w:p w14:paraId="478C93E4" w14:textId="579C36D3" w:rsidR="00B27D03" w:rsidRDefault="00B27D03">
      <w:pPr>
        <w:pStyle w:val="CommentText"/>
      </w:pPr>
      <w:r>
        <w:rPr>
          <w:rStyle w:val="CommentReference"/>
        </w:rPr>
        <w:annotationRef/>
      </w:r>
      <w:r>
        <w:rPr>
          <w:rStyle w:val="CommentReference"/>
        </w:rPr>
        <w:annotationRef/>
      </w:r>
      <w:hyperlink r:id="rId12" w:history="1">
        <w:r w:rsidRPr="00DA3E62">
          <w:rPr>
            <w:rStyle w:val="Hyperlink"/>
          </w:rPr>
          <w:t>https://www.ncbi.nlm.nih.gov/pubmed/19716962</w:t>
        </w:r>
      </w:hyperlink>
      <w:r>
        <w:t xml:space="preserve"> </w:t>
      </w:r>
    </w:p>
  </w:comment>
  <w:comment w:id="21" w:author="Casey P. Shannon" w:date="2018-03-09T16:01:00Z" w:initials="CPS">
    <w:p w14:paraId="0540BE1F" w14:textId="5E84F2C9" w:rsidR="00B27D03" w:rsidRDefault="00B27D03">
      <w:pPr>
        <w:pStyle w:val="CommentText"/>
      </w:pPr>
      <w:r>
        <w:rPr>
          <w:rStyle w:val="CommentReference"/>
        </w:rPr>
        <w:annotationRef/>
      </w:r>
      <w:r>
        <w:rPr>
          <w:rStyle w:val="CommentReference"/>
        </w:rPr>
        <w:annotationRef/>
      </w:r>
      <w:hyperlink r:id="rId13" w:history="1">
        <w:r w:rsidRPr="00DA3E62">
          <w:rPr>
            <w:rStyle w:val="Hyperlink"/>
          </w:rPr>
          <w:t>https://www.ncbi.nlm.nih.gov/pubmed/19797160</w:t>
        </w:r>
      </w:hyperlink>
      <w:r>
        <w:t xml:space="preserve"> </w:t>
      </w:r>
    </w:p>
  </w:comment>
  <w:comment w:id="22" w:author="Casey P. Shannon" w:date="2018-03-09T16:08:00Z" w:initials="CPS">
    <w:p w14:paraId="41913D4A" w14:textId="0663C6BA" w:rsidR="00B27D03" w:rsidRDefault="00B27D03">
      <w:pPr>
        <w:pStyle w:val="CommentText"/>
      </w:pPr>
      <w:r>
        <w:rPr>
          <w:rStyle w:val="CommentReference"/>
        </w:rPr>
        <w:annotationRef/>
      </w:r>
      <w:hyperlink r:id="rId14" w:history="1">
        <w:r w:rsidRPr="00DA3E62">
          <w:rPr>
            <w:rStyle w:val="Hyperlink"/>
          </w:rPr>
          <w:t>https://www.ncbi.nlm.nih.gov/pubmed/24077342</w:t>
        </w:r>
      </w:hyperlink>
      <w:r>
        <w:t xml:space="preserve"> </w:t>
      </w:r>
    </w:p>
  </w:comment>
  <w:comment w:id="23" w:author="Casey P. Shannon" w:date="2018-03-09T16:10:00Z" w:initials="CPS">
    <w:p w14:paraId="63A77CE7" w14:textId="5BAC18E5" w:rsidR="00B27D03" w:rsidRDefault="00B27D03">
      <w:pPr>
        <w:pStyle w:val="CommentText"/>
      </w:pPr>
      <w:r>
        <w:rPr>
          <w:rStyle w:val="CommentReference"/>
        </w:rPr>
        <w:annotationRef/>
      </w:r>
      <w:hyperlink r:id="rId15" w:history="1">
        <w:r w:rsidRPr="00DA3E62">
          <w:rPr>
            <w:rStyle w:val="Hyperlink"/>
          </w:rPr>
          <w:t>https://www.ncbi.nlm.nih.gov/pubmed/25670896</w:t>
        </w:r>
      </w:hyperlink>
      <w:r>
        <w:t xml:space="preserve"> </w:t>
      </w:r>
    </w:p>
  </w:comment>
  <w:comment w:id="24" w:author="Casey P. Shannon" w:date="2018-03-13T13:16:00Z" w:initials="CPS">
    <w:p w14:paraId="3D146C36" w14:textId="4CDE89A6" w:rsidR="00B27D03" w:rsidRDefault="00A0372A">
      <w:pPr>
        <w:pStyle w:val="CommentText"/>
      </w:pPr>
      <w:hyperlink r:id="rId16" w:history="1">
        <w:r w:rsidR="00B27D03" w:rsidRPr="00FC70B2">
          <w:rPr>
            <w:rStyle w:val="Hyperlink"/>
          </w:rPr>
          <w:t>https://www.ncbi.nlm.nih.gov/pubmed/22983959</w:t>
        </w:r>
      </w:hyperlink>
      <w:r w:rsidR="00B27D03">
        <w:t xml:space="preserve"> </w:t>
      </w:r>
    </w:p>
    <w:p w14:paraId="77916E9C" w14:textId="047BD2EF" w:rsidR="00B27D03" w:rsidRDefault="00B27D03">
      <w:pPr>
        <w:pStyle w:val="CommentText"/>
      </w:pPr>
      <w:r>
        <w:rPr>
          <w:rStyle w:val="CommentReference"/>
        </w:rPr>
        <w:annotationRef/>
      </w:r>
      <w:hyperlink r:id="rId17" w:history="1">
        <w:r w:rsidRPr="00B60B8D">
          <w:rPr>
            <w:rStyle w:val="Hyperlink"/>
          </w:rPr>
          <w:t>https://www.ncbi.nlm.nih.gov/pubmed/23757083</w:t>
        </w:r>
      </w:hyperlink>
      <w:r>
        <w:t xml:space="preserve"> </w:t>
      </w:r>
    </w:p>
  </w:comment>
  <w:comment w:id="25" w:author="Casey P. Shannon" w:date="2018-03-13T13:04:00Z" w:initials="CPS">
    <w:p w14:paraId="3CFA0C98" w14:textId="77777777" w:rsidR="00457A25" w:rsidRDefault="00457A25" w:rsidP="00457A25">
      <w:pPr>
        <w:pStyle w:val="CommentText"/>
      </w:pPr>
      <w:r>
        <w:rPr>
          <w:rStyle w:val="CommentReference"/>
        </w:rPr>
        <w:annotationRef/>
      </w:r>
      <w:r>
        <w:rPr>
          <w:rStyle w:val="CommentReference"/>
        </w:rPr>
        <w:annotationRef/>
      </w:r>
      <w:hyperlink r:id="rId18" w:history="1">
        <w:r w:rsidRPr="00B60B8D">
          <w:rPr>
            <w:rStyle w:val="Hyperlink"/>
          </w:rPr>
          <w:t>https://www.ncbi.nlm.nih.gov/pubmed/26641631</w:t>
        </w:r>
      </w:hyperlink>
      <w:r>
        <w:t xml:space="preserve"> </w:t>
      </w:r>
    </w:p>
  </w:comment>
  <w:comment w:id="26" w:author="Casey P. Shannon" w:date="2018-03-13T13:42:00Z" w:initials="CPS">
    <w:p w14:paraId="3B9BDD59" w14:textId="63F3B8F5" w:rsidR="00457A25" w:rsidRDefault="00457A25">
      <w:pPr>
        <w:pStyle w:val="CommentText"/>
      </w:pPr>
      <w:r>
        <w:rPr>
          <w:rStyle w:val="CommentReference"/>
        </w:rPr>
        <w:annotationRef/>
      </w:r>
      <w:r>
        <w:rPr>
          <w:rStyle w:val="CommentReference"/>
        </w:rPr>
        <w:annotationRef/>
      </w:r>
      <w:hyperlink r:id="rId19" w:history="1">
        <w:r w:rsidRPr="00B60B8D">
          <w:rPr>
            <w:rStyle w:val="Hyperlink"/>
          </w:rPr>
          <w:t>https://www.ncbi.nlm.nih.gov/pubmed/25709430</w:t>
        </w:r>
      </w:hyperlink>
      <w:r>
        <w:t xml:space="preserve"> </w:t>
      </w:r>
    </w:p>
  </w:comment>
  <w:comment w:id="27" w:author="Casey P. Shannon" w:date="2018-03-13T14:05:00Z" w:initials="CPS">
    <w:p w14:paraId="1043CE95" w14:textId="72D08599" w:rsidR="005305A7" w:rsidRDefault="005305A7">
      <w:pPr>
        <w:pStyle w:val="CommentText"/>
      </w:pPr>
      <w:r>
        <w:rPr>
          <w:rStyle w:val="CommentReference"/>
        </w:rPr>
        <w:annotationRef/>
      </w:r>
      <w:r>
        <w:rPr>
          <w:rStyle w:val="CommentReference"/>
        </w:rPr>
        <w:annotationRef/>
      </w:r>
      <w:hyperlink r:id="rId20" w:history="1">
        <w:r w:rsidRPr="00FE63FA">
          <w:rPr>
            <w:rStyle w:val="Hyperlink"/>
          </w:rPr>
          <w:t>https://www.ncbi.nlm.nih.gov/pubmed/26170655</w:t>
        </w:r>
      </w:hyperlink>
      <w:r>
        <w:t xml:space="preserve">  </w:t>
      </w:r>
    </w:p>
  </w:comment>
  <w:comment w:id="28" w:author="Casey P. Shannon" w:date="2018-03-13T13:57:00Z" w:initials="CPS">
    <w:p w14:paraId="0511235D" w14:textId="77777777" w:rsidR="00501023" w:rsidRDefault="00501023" w:rsidP="00501023">
      <w:pPr>
        <w:pStyle w:val="CommentText"/>
      </w:pPr>
      <w:r>
        <w:rPr>
          <w:rStyle w:val="CommentReference"/>
        </w:rPr>
        <w:annotationRef/>
      </w:r>
      <w:hyperlink r:id="rId21" w:history="1">
        <w:r w:rsidRPr="00B60B8D">
          <w:rPr>
            <w:rStyle w:val="Hyperlink"/>
          </w:rPr>
          <w:t>https://www.ncbi.nlm.nih.gov/pubmed/22797131/</w:t>
        </w:r>
      </w:hyperlink>
      <w:r>
        <w:t xml:space="preserve"> </w:t>
      </w:r>
    </w:p>
    <w:p w14:paraId="27558199" w14:textId="77777777" w:rsidR="00501023" w:rsidRDefault="00A0372A" w:rsidP="00501023">
      <w:pPr>
        <w:pStyle w:val="CommentText"/>
      </w:pPr>
      <w:hyperlink r:id="rId22" w:history="1">
        <w:r w:rsidR="00501023" w:rsidRPr="00B60B8D">
          <w:rPr>
            <w:rStyle w:val="Hyperlink"/>
          </w:rPr>
          <w:t>https://www.ncbi.nlm.nih.gov/pubmed/23497109/</w:t>
        </w:r>
      </w:hyperlink>
      <w:r w:rsidR="00501023">
        <w:t xml:space="preserve"> </w:t>
      </w:r>
    </w:p>
    <w:p w14:paraId="16599823" w14:textId="77777777" w:rsidR="00501023" w:rsidRDefault="00A0372A" w:rsidP="00501023">
      <w:pPr>
        <w:pStyle w:val="CommentText"/>
      </w:pPr>
      <w:hyperlink r:id="rId23" w:history="1">
        <w:r w:rsidR="00501023" w:rsidRPr="00B60B8D">
          <w:rPr>
            <w:rStyle w:val="Hyperlink"/>
          </w:rPr>
          <w:t>https://www.ncbi.nlm.nih.gov/pubmed/23497109/</w:t>
        </w:r>
      </w:hyperlink>
      <w:r w:rsidR="00501023">
        <w:t xml:space="preserve"> </w:t>
      </w:r>
    </w:p>
    <w:p w14:paraId="062E2A1F" w14:textId="77777777" w:rsidR="00501023" w:rsidRDefault="00A0372A" w:rsidP="00501023">
      <w:pPr>
        <w:pStyle w:val="CommentText"/>
      </w:pPr>
      <w:hyperlink r:id="rId24" w:history="1">
        <w:r w:rsidR="00501023" w:rsidRPr="00B60B8D">
          <w:rPr>
            <w:rStyle w:val="Hyperlink"/>
          </w:rPr>
          <w:t>https://www.ncbi.nlm.nih.gov/pubmed/23497109/</w:t>
        </w:r>
      </w:hyperlink>
      <w:r w:rsidR="00501023">
        <w:t xml:space="preserve"> </w:t>
      </w:r>
    </w:p>
    <w:p w14:paraId="47777F68" w14:textId="2EFDA056" w:rsidR="00501023" w:rsidRDefault="00A0372A">
      <w:pPr>
        <w:pStyle w:val="CommentText"/>
      </w:pPr>
      <w:hyperlink r:id="rId25" w:history="1">
        <w:r w:rsidR="00501023" w:rsidRPr="00B60B8D">
          <w:rPr>
            <w:rStyle w:val="Hyperlink"/>
          </w:rPr>
          <w:t>https://www.ncbi.nlm.nih.gov/pubmed/25725628/</w:t>
        </w:r>
      </w:hyperlink>
      <w:r w:rsidR="00501023">
        <w:t xml:space="preserve"> </w:t>
      </w:r>
    </w:p>
  </w:comment>
  <w:comment w:id="29" w:author="Casey P. Shannon" w:date="2018-01-25T13:57:00Z" w:initials="CPS">
    <w:p w14:paraId="117CE28F" w14:textId="77777777" w:rsidR="00FC2AF8" w:rsidRDefault="00FC2AF8" w:rsidP="00FC2AF8">
      <w:pPr>
        <w:pStyle w:val="CommentText"/>
      </w:pPr>
      <w:r>
        <w:rPr>
          <w:rStyle w:val="CommentReference"/>
        </w:rPr>
        <w:annotationRef/>
      </w:r>
      <w:r>
        <w:t>Do we have any data we could show to speak to specificity – I know it wasn’t a major aim of this work, but could we maybe score these genes in e.g. heart failure like we did for the protein signature (? I think it was).</w:t>
      </w:r>
    </w:p>
  </w:comment>
  <w:comment w:id="30" w:author="Casey P. Shannon" w:date="2017-12-15T14:50:00Z" w:initials="CPS">
    <w:p w14:paraId="7F0C38B9" w14:textId="77777777" w:rsidR="00FC2AF8" w:rsidRDefault="00A0372A" w:rsidP="00FC2AF8">
      <w:pPr>
        <w:pStyle w:val="CommentText"/>
      </w:pPr>
      <w:hyperlink r:id="rId26" w:history="1">
        <w:r w:rsidR="00FC2AF8" w:rsidRPr="00FE63FA">
          <w:rPr>
            <w:rStyle w:val="Hyperlink"/>
          </w:rPr>
          <w:t>https://www.ncbi.nlm.nih.gov/pubmed/29100503</w:t>
        </w:r>
      </w:hyperlink>
      <w:r w:rsidR="00FC2AF8">
        <w:t xml:space="preserve"> </w:t>
      </w:r>
    </w:p>
    <w:p w14:paraId="12E91AEE" w14:textId="77777777" w:rsidR="00FC2AF8" w:rsidRDefault="00FC2AF8" w:rsidP="00FC2AF8">
      <w:pPr>
        <w:pStyle w:val="CommentText"/>
      </w:pPr>
      <w:r>
        <w:rPr>
          <w:rStyle w:val="CommentReference"/>
        </w:rPr>
        <w:annotationRef/>
      </w:r>
      <w:hyperlink r:id="rId27" w:history="1">
        <w:r w:rsidRPr="00FE63FA">
          <w:rPr>
            <w:rStyle w:val="Hyperlink"/>
          </w:rPr>
          <w:t>https://www.ncbi.nlm.nih.gov/pubmed/17426210</w:t>
        </w:r>
      </w:hyperlink>
      <w:r>
        <w:t xml:space="preserve">  </w:t>
      </w:r>
    </w:p>
  </w:comment>
  <w:comment w:id="31" w:author="vchen" w:date="2018-01-26T15:38:00Z" w:initials="v">
    <w:p w14:paraId="13BACA8B" w14:textId="77777777" w:rsidR="00FC2AF8" w:rsidRDefault="00FC2AF8" w:rsidP="00FC2AF8">
      <w:pPr>
        <w:pStyle w:val="CommentText"/>
      </w:pPr>
      <w:r>
        <w:rPr>
          <w:rStyle w:val="CommentReference"/>
        </w:rPr>
        <w:annotationRef/>
      </w:r>
      <w:r>
        <w:t>I think I deleted these comments:</w:t>
      </w:r>
    </w:p>
    <w:p w14:paraId="7FF9052B" w14:textId="77777777" w:rsidR="00FC2AF8" w:rsidRDefault="00A0372A" w:rsidP="00FC2AF8">
      <w:pPr>
        <w:pStyle w:val="CommentText"/>
      </w:pPr>
      <w:hyperlink r:id="rId28" w:history="1">
        <w:r w:rsidR="00FC2AF8" w:rsidRPr="00697762">
          <w:rPr>
            <w:rStyle w:val="Hyperlink"/>
          </w:rPr>
          <w:t>https://www.ncbi.nlm.nih.gov/pubmed/21468168</w:t>
        </w:r>
      </w:hyperlink>
    </w:p>
    <w:p w14:paraId="0F483830" w14:textId="77777777" w:rsidR="00FC2AF8" w:rsidRDefault="00A0372A" w:rsidP="00FC2AF8">
      <w:pPr>
        <w:pStyle w:val="CommentText"/>
      </w:pPr>
      <w:hyperlink r:id="rId29" w:history="1">
        <w:r w:rsidR="00FC2AF8" w:rsidRPr="00697762">
          <w:rPr>
            <w:rStyle w:val="Hyperlink"/>
          </w:rPr>
          <w:t>https://www.ncbi.nlm.nih.gov/pubmed/29100503</w:t>
        </w:r>
      </w:hyperlink>
    </w:p>
    <w:p w14:paraId="60A03CC3" w14:textId="77777777" w:rsidR="00FC2AF8" w:rsidRDefault="00A0372A" w:rsidP="00FC2AF8">
      <w:pPr>
        <w:pStyle w:val="CommentText"/>
      </w:pPr>
      <w:hyperlink r:id="rId30" w:history="1">
        <w:r w:rsidR="00FC2AF8" w:rsidRPr="00697762">
          <w:rPr>
            <w:rStyle w:val="Hyperlink"/>
          </w:rPr>
          <w:t>https://www.ncbi.nlm.nih.gov/pubmed/29100503</w:t>
        </w:r>
      </w:hyperlink>
    </w:p>
  </w:comment>
  <w:comment w:id="32" w:author="Casey P. Shannon" w:date="2017-12-15T15:15:00Z" w:initials="CPS">
    <w:p w14:paraId="27C95EDE" w14:textId="77777777" w:rsidR="00B27D03" w:rsidRDefault="00B27D03" w:rsidP="00071E5C">
      <w:pPr>
        <w:pStyle w:val="CommentText"/>
      </w:pPr>
      <w:r>
        <w:rPr>
          <w:rStyle w:val="CommentReference"/>
        </w:rPr>
        <w:annotationRef/>
      </w:r>
      <w:r>
        <w:t>Citation needed…</w:t>
      </w:r>
    </w:p>
  </w:comment>
  <w:comment w:id="34" w:author="Casey P. Shannon" w:date="2018-03-13T16:58:00Z" w:initials="CPS">
    <w:p w14:paraId="5105EE85" w14:textId="2B902282" w:rsidR="007F10D1" w:rsidRDefault="007F10D1">
      <w:pPr>
        <w:pStyle w:val="CommentText"/>
      </w:pPr>
      <w:r>
        <w:rPr>
          <w:rStyle w:val="CommentReference"/>
        </w:rPr>
        <w:annotationRef/>
      </w:r>
      <w:r>
        <w:t>Or have we? We looked at heart failure, no?</w:t>
      </w:r>
    </w:p>
  </w:comment>
  <w:comment w:id="35" w:author="Casey P. Shannon" w:date="2018-01-30T14:38:00Z" w:initials="CPS">
    <w:p w14:paraId="01CAAD70" w14:textId="7A1CFDF4" w:rsidR="00B27D03" w:rsidRDefault="00B27D03">
      <w:pPr>
        <w:pStyle w:val="CommentText"/>
      </w:pPr>
      <w:r>
        <w:rPr>
          <w:rStyle w:val="CommentReference"/>
        </w:rPr>
        <w:annotationRef/>
      </w:r>
      <w:r>
        <w:t>Figure legends should include a descriptive title, clearly stating the conclusion of message of the figure.</w:t>
      </w:r>
    </w:p>
  </w:comment>
  <w:comment w:id="36" w:author="dsin" w:date="2018-01-16T11:10:00Z" w:initials="d">
    <w:p w14:paraId="73493426" w14:textId="77777777" w:rsidR="00B27D03" w:rsidRDefault="00B27D03">
      <w:pPr>
        <w:pStyle w:val="CommentText"/>
      </w:pPr>
      <w:r>
        <w:rPr>
          <w:rStyle w:val="CommentReference"/>
        </w:rPr>
        <w:annotationRef/>
      </w:r>
      <w:r>
        <w:t>May want to order based on AUC,</w:t>
      </w:r>
    </w:p>
  </w:comment>
  <w:comment w:id="37" w:author="vchen" w:date="2018-01-10T14:16:00Z" w:initials="v">
    <w:p w14:paraId="5A629D46" w14:textId="77777777" w:rsidR="00B27D03" w:rsidRDefault="00B27D03">
      <w:pPr>
        <w:pStyle w:val="CommentText"/>
      </w:pPr>
      <w:r>
        <w:rPr>
          <w:rStyle w:val="CommentReference"/>
        </w:rPr>
        <w:annotationRef/>
      </w:r>
      <w:r>
        <w:t>Should we have this for comparison? We could have the ensemble for comparison too, but it doesn’t look any worse or better performance-wise.</w:t>
      </w:r>
    </w:p>
  </w:comment>
  <w:comment w:id="38" w:author="Casey P. Shannon" w:date="2018-01-30T14:29:00Z" w:initials="CPS">
    <w:p w14:paraId="46DC49DE" w14:textId="6C5F6D48" w:rsidR="00B27D03" w:rsidRDefault="00B27D03">
      <w:pPr>
        <w:pStyle w:val="CommentText"/>
      </w:pPr>
      <w:r>
        <w:rPr>
          <w:rStyle w:val="CommentReference"/>
        </w:rPr>
        <w:annotationRef/>
      </w:r>
      <w:r>
        <w:t>Can we go for taller/thinner plots (maybe go 3 columns, 2 rows) to maximize the visual distance between the class boxplots?</w:t>
      </w:r>
    </w:p>
  </w:comment>
  <w:comment w:id="39" w:author="vchen" w:date="2018-01-16T11:36:00Z" w:initials="v">
    <w:p w14:paraId="14386FDB" w14:textId="77777777" w:rsidR="00B27D03" w:rsidRDefault="00B27D03">
      <w:pPr>
        <w:pStyle w:val="CommentText"/>
      </w:pPr>
      <w:r>
        <w:rPr>
          <w:rStyle w:val="CommentReference"/>
        </w:rPr>
        <w:annotationRef/>
      </w:r>
      <w:r>
        <w:t>Need to change “lightcyan” to “light-cyan”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1354C7" w15:done="0"/>
  <w15:commentEx w15:paraId="06755DCE" w15:done="0"/>
  <w15:commentEx w15:paraId="3EF39561" w15:done="0"/>
  <w15:commentEx w15:paraId="23ECF6E9" w15:done="0"/>
  <w15:commentEx w15:paraId="54C9216F" w15:done="0"/>
  <w15:commentEx w15:paraId="43148288" w15:done="0"/>
  <w15:commentEx w15:paraId="04E061C5" w15:done="0"/>
  <w15:commentEx w15:paraId="20B351D2" w15:done="0"/>
  <w15:commentEx w15:paraId="34306700" w15:done="0"/>
  <w15:commentEx w15:paraId="2F13652F" w15:done="0"/>
  <w15:commentEx w15:paraId="7D036455" w15:done="0"/>
  <w15:commentEx w15:paraId="732E5397" w15:done="0"/>
  <w15:commentEx w15:paraId="660B55BA" w15:done="0"/>
  <w15:commentEx w15:paraId="4CE82968" w15:done="0"/>
  <w15:commentEx w15:paraId="7AFBC070" w15:done="0"/>
  <w15:commentEx w15:paraId="688AA883" w15:done="0"/>
  <w15:commentEx w15:paraId="0555EADE" w15:done="0"/>
  <w15:commentEx w15:paraId="2A6F975D" w15:done="0"/>
  <w15:commentEx w15:paraId="436D3D73" w15:done="0"/>
  <w15:commentEx w15:paraId="206B6D1D" w15:done="0"/>
  <w15:commentEx w15:paraId="478C93E4" w15:done="0"/>
  <w15:commentEx w15:paraId="0540BE1F" w15:done="0"/>
  <w15:commentEx w15:paraId="41913D4A" w15:done="0"/>
  <w15:commentEx w15:paraId="63A77CE7" w15:done="0"/>
  <w15:commentEx w15:paraId="77916E9C" w15:done="0"/>
  <w15:commentEx w15:paraId="3CFA0C98" w15:done="0"/>
  <w15:commentEx w15:paraId="3B9BDD59" w15:done="0"/>
  <w15:commentEx w15:paraId="1043CE95" w15:done="0"/>
  <w15:commentEx w15:paraId="47777F68" w15:done="0"/>
  <w15:commentEx w15:paraId="117CE28F" w15:done="0"/>
  <w15:commentEx w15:paraId="12E91AEE" w15:done="0"/>
  <w15:commentEx w15:paraId="60A03CC3" w15:done="0"/>
  <w15:commentEx w15:paraId="27C95EDE" w15:done="0"/>
  <w15:commentEx w15:paraId="5105EE85" w15:done="0"/>
  <w15:commentEx w15:paraId="01CAAD70" w15:done="0"/>
  <w15:commentEx w15:paraId="73493426" w15:done="0"/>
  <w15:commentEx w15:paraId="5A629D46" w15:done="0"/>
  <w15:commentEx w15:paraId="46DC49DE" w15:done="0"/>
  <w15:commentEx w15:paraId="14386F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2EECC" w14:textId="77777777" w:rsidR="00A0372A" w:rsidRDefault="00A0372A" w:rsidP="005140F6">
      <w:pPr>
        <w:spacing w:after="0" w:line="240" w:lineRule="auto"/>
      </w:pPr>
      <w:r>
        <w:separator/>
      </w:r>
    </w:p>
  </w:endnote>
  <w:endnote w:type="continuationSeparator" w:id="0">
    <w:p w14:paraId="5F103D67" w14:textId="77777777" w:rsidR="00A0372A" w:rsidRDefault="00A0372A" w:rsidP="00514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C5EC8" w14:textId="77777777" w:rsidR="00B27D03" w:rsidRPr="00B75213" w:rsidRDefault="00B27D03" w:rsidP="00B752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847147"/>
      <w:docPartObj>
        <w:docPartGallery w:val="Page Numbers (Bottom of Page)"/>
        <w:docPartUnique/>
      </w:docPartObj>
    </w:sdtPr>
    <w:sdtEndPr>
      <w:rPr>
        <w:noProof/>
      </w:rPr>
    </w:sdtEndPr>
    <w:sdtContent>
      <w:p w14:paraId="6407B615" w14:textId="77777777" w:rsidR="00B27D03" w:rsidRDefault="00B27D03">
        <w:pPr>
          <w:pStyle w:val="Footer"/>
          <w:jc w:val="right"/>
        </w:pPr>
        <w:r>
          <w:t xml:space="preserve"> </w:t>
        </w:r>
        <w:r>
          <w:fldChar w:fldCharType="begin"/>
        </w:r>
        <w:r>
          <w:instrText xml:space="preserve"> PAGE   \* MERGEFORMAT </w:instrText>
        </w:r>
        <w:r>
          <w:fldChar w:fldCharType="separate"/>
        </w:r>
        <w:r w:rsidR="007743BD">
          <w:rPr>
            <w:noProof/>
          </w:rPr>
          <w:t>20</w:t>
        </w:r>
        <w:r>
          <w:rPr>
            <w:noProof/>
          </w:rPr>
          <w:fldChar w:fldCharType="end"/>
        </w:r>
      </w:p>
    </w:sdtContent>
  </w:sdt>
  <w:p w14:paraId="16E12B2F" w14:textId="77777777" w:rsidR="00B27D03" w:rsidRDefault="00B27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F30F6" w14:textId="77777777" w:rsidR="00A0372A" w:rsidRDefault="00A0372A" w:rsidP="005140F6">
      <w:pPr>
        <w:spacing w:after="0" w:line="240" w:lineRule="auto"/>
      </w:pPr>
      <w:r>
        <w:separator/>
      </w:r>
    </w:p>
  </w:footnote>
  <w:footnote w:type="continuationSeparator" w:id="0">
    <w:p w14:paraId="31153283" w14:textId="77777777" w:rsidR="00A0372A" w:rsidRDefault="00A0372A" w:rsidP="00514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720F"/>
    <w:multiLevelType w:val="hybridMultilevel"/>
    <w:tmpl w:val="F3581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25173"/>
    <w:multiLevelType w:val="hybridMultilevel"/>
    <w:tmpl w:val="DB8C0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929"/>
    <w:multiLevelType w:val="hybridMultilevel"/>
    <w:tmpl w:val="3EE8A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00E81"/>
    <w:multiLevelType w:val="hybridMultilevel"/>
    <w:tmpl w:val="82B033BC"/>
    <w:lvl w:ilvl="0" w:tplc="0B7C08A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0311B"/>
    <w:multiLevelType w:val="hybridMultilevel"/>
    <w:tmpl w:val="2D489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EE61B7"/>
    <w:multiLevelType w:val="hybridMultilevel"/>
    <w:tmpl w:val="E698E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93FCD"/>
    <w:multiLevelType w:val="hybridMultilevel"/>
    <w:tmpl w:val="3072D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709B6"/>
    <w:multiLevelType w:val="hybridMultilevel"/>
    <w:tmpl w:val="C8A64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A2B9C"/>
    <w:multiLevelType w:val="hybridMultilevel"/>
    <w:tmpl w:val="54D86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2258F"/>
    <w:multiLevelType w:val="hybridMultilevel"/>
    <w:tmpl w:val="287EBE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D648D"/>
    <w:multiLevelType w:val="hybridMultilevel"/>
    <w:tmpl w:val="808C0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13A8D"/>
    <w:multiLevelType w:val="hybridMultilevel"/>
    <w:tmpl w:val="D272FD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B467FA"/>
    <w:multiLevelType w:val="hybridMultilevel"/>
    <w:tmpl w:val="4A80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F71EB"/>
    <w:multiLevelType w:val="hybridMultilevel"/>
    <w:tmpl w:val="31088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8704C"/>
    <w:multiLevelType w:val="hybridMultilevel"/>
    <w:tmpl w:val="DD686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00A18"/>
    <w:multiLevelType w:val="hybridMultilevel"/>
    <w:tmpl w:val="D02A86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60641E8"/>
    <w:multiLevelType w:val="hybridMultilevel"/>
    <w:tmpl w:val="3C4EF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3D310A"/>
    <w:multiLevelType w:val="hybridMultilevel"/>
    <w:tmpl w:val="2CA28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52AE6"/>
    <w:multiLevelType w:val="hybridMultilevel"/>
    <w:tmpl w:val="CBE6B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0"/>
  </w:num>
  <w:num w:numId="4">
    <w:abstractNumId w:val="17"/>
  </w:num>
  <w:num w:numId="5">
    <w:abstractNumId w:val="8"/>
  </w:num>
  <w:num w:numId="6">
    <w:abstractNumId w:val="7"/>
  </w:num>
  <w:num w:numId="7">
    <w:abstractNumId w:val="15"/>
  </w:num>
  <w:num w:numId="8">
    <w:abstractNumId w:val="18"/>
  </w:num>
  <w:num w:numId="9">
    <w:abstractNumId w:val="11"/>
  </w:num>
  <w:num w:numId="10">
    <w:abstractNumId w:val="0"/>
  </w:num>
  <w:num w:numId="11">
    <w:abstractNumId w:val="9"/>
  </w:num>
  <w:num w:numId="12">
    <w:abstractNumId w:val="4"/>
  </w:num>
  <w:num w:numId="13">
    <w:abstractNumId w:val="1"/>
  </w:num>
  <w:num w:numId="14">
    <w:abstractNumId w:val="3"/>
  </w:num>
  <w:num w:numId="15">
    <w:abstractNumId w:val="6"/>
  </w:num>
  <w:num w:numId="16">
    <w:abstractNumId w:val="12"/>
  </w:num>
  <w:num w:numId="17">
    <w:abstractNumId w:val="5"/>
  </w:num>
  <w:num w:numId="18">
    <w:abstractNumId w:val="2"/>
  </w:num>
  <w:num w:numId="19">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sey P. Shannon">
    <w15:presenceInfo w15:providerId="None" w15:userId="Casey P. Shannon"/>
  </w15:person>
  <w15:person w15:author="dsin">
    <w15:presenceInfo w15:providerId="None" w15:userId="ds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88"/>
    <w:rsid w:val="00000983"/>
    <w:rsid w:val="00001A29"/>
    <w:rsid w:val="000028E6"/>
    <w:rsid w:val="00002951"/>
    <w:rsid w:val="000038EE"/>
    <w:rsid w:val="00003C0F"/>
    <w:rsid w:val="00004954"/>
    <w:rsid w:val="0000517A"/>
    <w:rsid w:val="0000593B"/>
    <w:rsid w:val="000072E4"/>
    <w:rsid w:val="00011663"/>
    <w:rsid w:val="000126ED"/>
    <w:rsid w:val="000129BA"/>
    <w:rsid w:val="000133B9"/>
    <w:rsid w:val="000137D2"/>
    <w:rsid w:val="00013B67"/>
    <w:rsid w:val="00015B83"/>
    <w:rsid w:val="0001695C"/>
    <w:rsid w:val="00017901"/>
    <w:rsid w:val="0002143A"/>
    <w:rsid w:val="000215C4"/>
    <w:rsid w:val="00021AC2"/>
    <w:rsid w:val="00023600"/>
    <w:rsid w:val="000247F9"/>
    <w:rsid w:val="00026307"/>
    <w:rsid w:val="00026810"/>
    <w:rsid w:val="0002756A"/>
    <w:rsid w:val="000276D6"/>
    <w:rsid w:val="00030F5F"/>
    <w:rsid w:val="0003221D"/>
    <w:rsid w:val="000322E1"/>
    <w:rsid w:val="000331DE"/>
    <w:rsid w:val="000340E0"/>
    <w:rsid w:val="000359C5"/>
    <w:rsid w:val="00035BF1"/>
    <w:rsid w:val="00035CA3"/>
    <w:rsid w:val="00035E0B"/>
    <w:rsid w:val="00037D8C"/>
    <w:rsid w:val="0004089C"/>
    <w:rsid w:val="00041429"/>
    <w:rsid w:val="00041BB7"/>
    <w:rsid w:val="00042426"/>
    <w:rsid w:val="000433CB"/>
    <w:rsid w:val="00043415"/>
    <w:rsid w:val="00044762"/>
    <w:rsid w:val="00045292"/>
    <w:rsid w:val="000471EA"/>
    <w:rsid w:val="00050282"/>
    <w:rsid w:val="00050402"/>
    <w:rsid w:val="000540DF"/>
    <w:rsid w:val="0005483E"/>
    <w:rsid w:val="000549C1"/>
    <w:rsid w:val="00055717"/>
    <w:rsid w:val="00055CA0"/>
    <w:rsid w:val="00056680"/>
    <w:rsid w:val="00057ACD"/>
    <w:rsid w:val="00060EDD"/>
    <w:rsid w:val="0006162F"/>
    <w:rsid w:val="00062805"/>
    <w:rsid w:val="000636C3"/>
    <w:rsid w:val="00063CA7"/>
    <w:rsid w:val="000641CA"/>
    <w:rsid w:val="00067598"/>
    <w:rsid w:val="00070A58"/>
    <w:rsid w:val="00070E70"/>
    <w:rsid w:val="00071992"/>
    <w:rsid w:val="00071E5C"/>
    <w:rsid w:val="00072114"/>
    <w:rsid w:val="000722E3"/>
    <w:rsid w:val="00073EE2"/>
    <w:rsid w:val="000743DC"/>
    <w:rsid w:val="00075D33"/>
    <w:rsid w:val="000807AD"/>
    <w:rsid w:val="00080CD2"/>
    <w:rsid w:val="000814C8"/>
    <w:rsid w:val="00081CF2"/>
    <w:rsid w:val="00081EC2"/>
    <w:rsid w:val="00083566"/>
    <w:rsid w:val="00083730"/>
    <w:rsid w:val="000841CC"/>
    <w:rsid w:val="00084304"/>
    <w:rsid w:val="000845BF"/>
    <w:rsid w:val="00092CE8"/>
    <w:rsid w:val="00093948"/>
    <w:rsid w:val="0009624F"/>
    <w:rsid w:val="00096C92"/>
    <w:rsid w:val="00097F5E"/>
    <w:rsid w:val="000A0274"/>
    <w:rsid w:val="000A1CC5"/>
    <w:rsid w:val="000A3EF6"/>
    <w:rsid w:val="000A40C8"/>
    <w:rsid w:val="000A546D"/>
    <w:rsid w:val="000B070E"/>
    <w:rsid w:val="000B1284"/>
    <w:rsid w:val="000B2FEF"/>
    <w:rsid w:val="000B389B"/>
    <w:rsid w:val="000B6995"/>
    <w:rsid w:val="000B7D50"/>
    <w:rsid w:val="000B7E03"/>
    <w:rsid w:val="000C12CE"/>
    <w:rsid w:val="000C25EF"/>
    <w:rsid w:val="000C276D"/>
    <w:rsid w:val="000C2F59"/>
    <w:rsid w:val="000C4655"/>
    <w:rsid w:val="000D12A7"/>
    <w:rsid w:val="000D1716"/>
    <w:rsid w:val="000D1E38"/>
    <w:rsid w:val="000D21DE"/>
    <w:rsid w:val="000D254C"/>
    <w:rsid w:val="000D508B"/>
    <w:rsid w:val="000D5717"/>
    <w:rsid w:val="000D6516"/>
    <w:rsid w:val="000D68C2"/>
    <w:rsid w:val="000D6998"/>
    <w:rsid w:val="000D799A"/>
    <w:rsid w:val="000D7ED4"/>
    <w:rsid w:val="000E0E17"/>
    <w:rsid w:val="000E1E03"/>
    <w:rsid w:val="000E3211"/>
    <w:rsid w:val="000E4294"/>
    <w:rsid w:val="000E4EED"/>
    <w:rsid w:val="000E53F5"/>
    <w:rsid w:val="000E5B4B"/>
    <w:rsid w:val="000E61C3"/>
    <w:rsid w:val="000E6342"/>
    <w:rsid w:val="000E63A9"/>
    <w:rsid w:val="000E7F9F"/>
    <w:rsid w:val="000F53C8"/>
    <w:rsid w:val="000F5953"/>
    <w:rsid w:val="000F5C4B"/>
    <w:rsid w:val="000F627D"/>
    <w:rsid w:val="000F6D19"/>
    <w:rsid w:val="000F7499"/>
    <w:rsid w:val="0010053B"/>
    <w:rsid w:val="00100669"/>
    <w:rsid w:val="0010296B"/>
    <w:rsid w:val="0010430E"/>
    <w:rsid w:val="00104B26"/>
    <w:rsid w:val="00107848"/>
    <w:rsid w:val="001104B8"/>
    <w:rsid w:val="00110759"/>
    <w:rsid w:val="00110C4A"/>
    <w:rsid w:val="00112058"/>
    <w:rsid w:val="00112713"/>
    <w:rsid w:val="00113CE9"/>
    <w:rsid w:val="00114C13"/>
    <w:rsid w:val="00116291"/>
    <w:rsid w:val="001177EF"/>
    <w:rsid w:val="00117DCC"/>
    <w:rsid w:val="00117E4C"/>
    <w:rsid w:val="001208E9"/>
    <w:rsid w:val="001252E1"/>
    <w:rsid w:val="0012586C"/>
    <w:rsid w:val="00126372"/>
    <w:rsid w:val="00126374"/>
    <w:rsid w:val="0012749B"/>
    <w:rsid w:val="00131AB4"/>
    <w:rsid w:val="00132708"/>
    <w:rsid w:val="00133B9D"/>
    <w:rsid w:val="00136A28"/>
    <w:rsid w:val="00137290"/>
    <w:rsid w:val="00137DC5"/>
    <w:rsid w:val="001409C4"/>
    <w:rsid w:val="00141B51"/>
    <w:rsid w:val="00141FD9"/>
    <w:rsid w:val="00143D57"/>
    <w:rsid w:val="001440FE"/>
    <w:rsid w:val="00144DCC"/>
    <w:rsid w:val="00145345"/>
    <w:rsid w:val="00147FED"/>
    <w:rsid w:val="00150F8D"/>
    <w:rsid w:val="00152704"/>
    <w:rsid w:val="001528E4"/>
    <w:rsid w:val="001530CC"/>
    <w:rsid w:val="00153658"/>
    <w:rsid w:val="001539A4"/>
    <w:rsid w:val="0015504C"/>
    <w:rsid w:val="00155235"/>
    <w:rsid w:val="00156243"/>
    <w:rsid w:val="00156856"/>
    <w:rsid w:val="00156E90"/>
    <w:rsid w:val="00157D4A"/>
    <w:rsid w:val="00160928"/>
    <w:rsid w:val="001610A5"/>
    <w:rsid w:val="00161E60"/>
    <w:rsid w:val="001625F4"/>
    <w:rsid w:val="00162BA0"/>
    <w:rsid w:val="00163F60"/>
    <w:rsid w:val="0016541A"/>
    <w:rsid w:val="001654D5"/>
    <w:rsid w:val="00165800"/>
    <w:rsid w:val="00165B77"/>
    <w:rsid w:val="00166D53"/>
    <w:rsid w:val="00170B63"/>
    <w:rsid w:val="00170C3B"/>
    <w:rsid w:val="00170C71"/>
    <w:rsid w:val="00172A2F"/>
    <w:rsid w:val="00173940"/>
    <w:rsid w:val="00173D70"/>
    <w:rsid w:val="00176191"/>
    <w:rsid w:val="00181925"/>
    <w:rsid w:val="00181B4A"/>
    <w:rsid w:val="00184205"/>
    <w:rsid w:val="00184593"/>
    <w:rsid w:val="00186784"/>
    <w:rsid w:val="00187812"/>
    <w:rsid w:val="001907B9"/>
    <w:rsid w:val="00190BEB"/>
    <w:rsid w:val="00192291"/>
    <w:rsid w:val="001928A6"/>
    <w:rsid w:val="00192DCE"/>
    <w:rsid w:val="00195050"/>
    <w:rsid w:val="00195CE0"/>
    <w:rsid w:val="00195E4B"/>
    <w:rsid w:val="00196679"/>
    <w:rsid w:val="00196BF7"/>
    <w:rsid w:val="0019717E"/>
    <w:rsid w:val="001A063A"/>
    <w:rsid w:val="001A09A4"/>
    <w:rsid w:val="001A0E14"/>
    <w:rsid w:val="001A0E81"/>
    <w:rsid w:val="001A1805"/>
    <w:rsid w:val="001A2323"/>
    <w:rsid w:val="001A2F76"/>
    <w:rsid w:val="001A33B7"/>
    <w:rsid w:val="001A3832"/>
    <w:rsid w:val="001A3E74"/>
    <w:rsid w:val="001A6217"/>
    <w:rsid w:val="001A6BD2"/>
    <w:rsid w:val="001A6CE4"/>
    <w:rsid w:val="001A6E01"/>
    <w:rsid w:val="001A7599"/>
    <w:rsid w:val="001A7DAE"/>
    <w:rsid w:val="001B0026"/>
    <w:rsid w:val="001B1DA3"/>
    <w:rsid w:val="001B211D"/>
    <w:rsid w:val="001B43B1"/>
    <w:rsid w:val="001B6B81"/>
    <w:rsid w:val="001B7586"/>
    <w:rsid w:val="001C01D8"/>
    <w:rsid w:val="001C0DE7"/>
    <w:rsid w:val="001C0EED"/>
    <w:rsid w:val="001C231D"/>
    <w:rsid w:val="001C4AB7"/>
    <w:rsid w:val="001C6906"/>
    <w:rsid w:val="001C6AC8"/>
    <w:rsid w:val="001D01CD"/>
    <w:rsid w:val="001D020E"/>
    <w:rsid w:val="001D1752"/>
    <w:rsid w:val="001D3147"/>
    <w:rsid w:val="001D4941"/>
    <w:rsid w:val="001D4E87"/>
    <w:rsid w:val="001D5406"/>
    <w:rsid w:val="001D600B"/>
    <w:rsid w:val="001D60BC"/>
    <w:rsid w:val="001D6AF6"/>
    <w:rsid w:val="001D739E"/>
    <w:rsid w:val="001E08A4"/>
    <w:rsid w:val="001E13D1"/>
    <w:rsid w:val="001E3A98"/>
    <w:rsid w:val="001E5AB4"/>
    <w:rsid w:val="001E688B"/>
    <w:rsid w:val="001E74A9"/>
    <w:rsid w:val="001E7B2E"/>
    <w:rsid w:val="001F0BC2"/>
    <w:rsid w:val="001F0EC9"/>
    <w:rsid w:val="001F1060"/>
    <w:rsid w:val="001F1A1E"/>
    <w:rsid w:val="001F1D2E"/>
    <w:rsid w:val="001F24BC"/>
    <w:rsid w:val="001F3206"/>
    <w:rsid w:val="001F5A5C"/>
    <w:rsid w:val="001F6242"/>
    <w:rsid w:val="001F645E"/>
    <w:rsid w:val="002005FE"/>
    <w:rsid w:val="00200D21"/>
    <w:rsid w:val="002015EE"/>
    <w:rsid w:val="0020179F"/>
    <w:rsid w:val="00202EB8"/>
    <w:rsid w:val="00204464"/>
    <w:rsid w:val="002048C5"/>
    <w:rsid w:val="0020521F"/>
    <w:rsid w:val="0020758C"/>
    <w:rsid w:val="00207861"/>
    <w:rsid w:val="002103B6"/>
    <w:rsid w:val="00210416"/>
    <w:rsid w:val="00210525"/>
    <w:rsid w:val="00210850"/>
    <w:rsid w:val="00211D7E"/>
    <w:rsid w:val="00213948"/>
    <w:rsid w:val="00215188"/>
    <w:rsid w:val="00215AF1"/>
    <w:rsid w:val="00215B4C"/>
    <w:rsid w:val="00220784"/>
    <w:rsid w:val="00223560"/>
    <w:rsid w:val="0022359D"/>
    <w:rsid w:val="00223726"/>
    <w:rsid w:val="00223C33"/>
    <w:rsid w:val="002244F3"/>
    <w:rsid w:val="00226C35"/>
    <w:rsid w:val="00227121"/>
    <w:rsid w:val="0023076B"/>
    <w:rsid w:val="00230CE6"/>
    <w:rsid w:val="00232BCF"/>
    <w:rsid w:val="00234B15"/>
    <w:rsid w:val="002407BB"/>
    <w:rsid w:val="00241DB7"/>
    <w:rsid w:val="00244146"/>
    <w:rsid w:val="00244B08"/>
    <w:rsid w:val="00245D1D"/>
    <w:rsid w:val="00245E06"/>
    <w:rsid w:val="002478B2"/>
    <w:rsid w:val="00251716"/>
    <w:rsid w:val="002522FA"/>
    <w:rsid w:val="002525A3"/>
    <w:rsid w:val="002525FA"/>
    <w:rsid w:val="002527C3"/>
    <w:rsid w:val="00252F92"/>
    <w:rsid w:val="00253090"/>
    <w:rsid w:val="002536A3"/>
    <w:rsid w:val="0025465C"/>
    <w:rsid w:val="00254D13"/>
    <w:rsid w:val="00255B9E"/>
    <w:rsid w:val="00260AC8"/>
    <w:rsid w:val="00260C7C"/>
    <w:rsid w:val="00261622"/>
    <w:rsid w:val="00261EB2"/>
    <w:rsid w:val="00262A8A"/>
    <w:rsid w:val="00265EB0"/>
    <w:rsid w:val="002678BF"/>
    <w:rsid w:val="00267E6D"/>
    <w:rsid w:val="00270197"/>
    <w:rsid w:val="002707EC"/>
    <w:rsid w:val="00270A22"/>
    <w:rsid w:val="00270DF3"/>
    <w:rsid w:val="002715FF"/>
    <w:rsid w:val="00271723"/>
    <w:rsid w:val="00272372"/>
    <w:rsid w:val="002728B6"/>
    <w:rsid w:val="00274D59"/>
    <w:rsid w:val="002754BC"/>
    <w:rsid w:val="00275D66"/>
    <w:rsid w:val="00277B7A"/>
    <w:rsid w:val="00277FF1"/>
    <w:rsid w:val="002825C6"/>
    <w:rsid w:val="00285ECF"/>
    <w:rsid w:val="002866D5"/>
    <w:rsid w:val="00286B84"/>
    <w:rsid w:val="002907C3"/>
    <w:rsid w:val="00290BE8"/>
    <w:rsid w:val="00290F67"/>
    <w:rsid w:val="00292C33"/>
    <w:rsid w:val="00294F07"/>
    <w:rsid w:val="002959A9"/>
    <w:rsid w:val="00296061"/>
    <w:rsid w:val="002960F8"/>
    <w:rsid w:val="00296F2D"/>
    <w:rsid w:val="00297E2C"/>
    <w:rsid w:val="002A0937"/>
    <w:rsid w:val="002A09D4"/>
    <w:rsid w:val="002A139E"/>
    <w:rsid w:val="002A2239"/>
    <w:rsid w:val="002A5BF8"/>
    <w:rsid w:val="002A6816"/>
    <w:rsid w:val="002B0D2B"/>
    <w:rsid w:val="002B37E9"/>
    <w:rsid w:val="002B70A9"/>
    <w:rsid w:val="002B7B64"/>
    <w:rsid w:val="002C059D"/>
    <w:rsid w:val="002C24B1"/>
    <w:rsid w:val="002C396B"/>
    <w:rsid w:val="002C45C8"/>
    <w:rsid w:val="002C7260"/>
    <w:rsid w:val="002C7527"/>
    <w:rsid w:val="002C7540"/>
    <w:rsid w:val="002D03BC"/>
    <w:rsid w:val="002D0E05"/>
    <w:rsid w:val="002D1C6F"/>
    <w:rsid w:val="002D1D08"/>
    <w:rsid w:val="002D2752"/>
    <w:rsid w:val="002D2E4A"/>
    <w:rsid w:val="002D353D"/>
    <w:rsid w:val="002D5205"/>
    <w:rsid w:val="002D6B3C"/>
    <w:rsid w:val="002E1269"/>
    <w:rsid w:val="002E1641"/>
    <w:rsid w:val="002E16B0"/>
    <w:rsid w:val="002E174A"/>
    <w:rsid w:val="002E1920"/>
    <w:rsid w:val="002E1E64"/>
    <w:rsid w:val="002E25D8"/>
    <w:rsid w:val="002E2FCC"/>
    <w:rsid w:val="002E33A8"/>
    <w:rsid w:val="002E6FB5"/>
    <w:rsid w:val="002F0A3B"/>
    <w:rsid w:val="002F269A"/>
    <w:rsid w:val="002F29DF"/>
    <w:rsid w:val="002F2EA2"/>
    <w:rsid w:val="002F4AE8"/>
    <w:rsid w:val="002F5278"/>
    <w:rsid w:val="002F537A"/>
    <w:rsid w:val="002F65A6"/>
    <w:rsid w:val="002F7460"/>
    <w:rsid w:val="0030076D"/>
    <w:rsid w:val="00306C46"/>
    <w:rsid w:val="003077FA"/>
    <w:rsid w:val="00312131"/>
    <w:rsid w:val="0031362D"/>
    <w:rsid w:val="00313A70"/>
    <w:rsid w:val="00313D2D"/>
    <w:rsid w:val="00317C3A"/>
    <w:rsid w:val="00317DC9"/>
    <w:rsid w:val="0032235C"/>
    <w:rsid w:val="0032256F"/>
    <w:rsid w:val="00322B7A"/>
    <w:rsid w:val="003235E5"/>
    <w:rsid w:val="00323A0E"/>
    <w:rsid w:val="0032728D"/>
    <w:rsid w:val="00327436"/>
    <w:rsid w:val="003276F2"/>
    <w:rsid w:val="003277A9"/>
    <w:rsid w:val="00327E00"/>
    <w:rsid w:val="003301DD"/>
    <w:rsid w:val="00330242"/>
    <w:rsid w:val="003305A2"/>
    <w:rsid w:val="00330645"/>
    <w:rsid w:val="003335B2"/>
    <w:rsid w:val="00333E7A"/>
    <w:rsid w:val="00337323"/>
    <w:rsid w:val="003374C1"/>
    <w:rsid w:val="003374DE"/>
    <w:rsid w:val="0033795E"/>
    <w:rsid w:val="00341B52"/>
    <w:rsid w:val="00342A80"/>
    <w:rsid w:val="003430AC"/>
    <w:rsid w:val="003442DC"/>
    <w:rsid w:val="00344B8F"/>
    <w:rsid w:val="00344BC2"/>
    <w:rsid w:val="00344EF7"/>
    <w:rsid w:val="00345A33"/>
    <w:rsid w:val="00350478"/>
    <w:rsid w:val="00351286"/>
    <w:rsid w:val="00351D45"/>
    <w:rsid w:val="003523EA"/>
    <w:rsid w:val="00352CC6"/>
    <w:rsid w:val="00354CC8"/>
    <w:rsid w:val="003552FC"/>
    <w:rsid w:val="003561D9"/>
    <w:rsid w:val="0035716A"/>
    <w:rsid w:val="00357931"/>
    <w:rsid w:val="00361288"/>
    <w:rsid w:val="00363178"/>
    <w:rsid w:val="003631D9"/>
    <w:rsid w:val="0036467B"/>
    <w:rsid w:val="0036477B"/>
    <w:rsid w:val="00364915"/>
    <w:rsid w:val="00364B9A"/>
    <w:rsid w:val="0036554E"/>
    <w:rsid w:val="00365DBB"/>
    <w:rsid w:val="00365EB9"/>
    <w:rsid w:val="00370448"/>
    <w:rsid w:val="003712F6"/>
    <w:rsid w:val="003717F6"/>
    <w:rsid w:val="00371B76"/>
    <w:rsid w:val="00371CEC"/>
    <w:rsid w:val="003725EC"/>
    <w:rsid w:val="00372D11"/>
    <w:rsid w:val="00373390"/>
    <w:rsid w:val="00374383"/>
    <w:rsid w:val="00374603"/>
    <w:rsid w:val="00376AE0"/>
    <w:rsid w:val="00376DBF"/>
    <w:rsid w:val="00380CFE"/>
    <w:rsid w:val="003814A1"/>
    <w:rsid w:val="0038236F"/>
    <w:rsid w:val="00382961"/>
    <w:rsid w:val="00384B1A"/>
    <w:rsid w:val="003878E2"/>
    <w:rsid w:val="00387C34"/>
    <w:rsid w:val="003905FD"/>
    <w:rsid w:val="003906F2"/>
    <w:rsid w:val="00392CEC"/>
    <w:rsid w:val="003932FF"/>
    <w:rsid w:val="00394002"/>
    <w:rsid w:val="0039506F"/>
    <w:rsid w:val="00396B6C"/>
    <w:rsid w:val="003A1705"/>
    <w:rsid w:val="003A1EBF"/>
    <w:rsid w:val="003A2816"/>
    <w:rsid w:val="003A2A85"/>
    <w:rsid w:val="003A2C8F"/>
    <w:rsid w:val="003A373E"/>
    <w:rsid w:val="003A390D"/>
    <w:rsid w:val="003A4DE3"/>
    <w:rsid w:val="003A53FB"/>
    <w:rsid w:val="003A6308"/>
    <w:rsid w:val="003B18D7"/>
    <w:rsid w:val="003B227C"/>
    <w:rsid w:val="003B2EF3"/>
    <w:rsid w:val="003B3048"/>
    <w:rsid w:val="003B316E"/>
    <w:rsid w:val="003B4A30"/>
    <w:rsid w:val="003B4EF5"/>
    <w:rsid w:val="003B62E4"/>
    <w:rsid w:val="003C0E24"/>
    <w:rsid w:val="003C3616"/>
    <w:rsid w:val="003C4625"/>
    <w:rsid w:val="003C5230"/>
    <w:rsid w:val="003C5D81"/>
    <w:rsid w:val="003C603E"/>
    <w:rsid w:val="003C6338"/>
    <w:rsid w:val="003C639E"/>
    <w:rsid w:val="003C6663"/>
    <w:rsid w:val="003D06DF"/>
    <w:rsid w:val="003D0B86"/>
    <w:rsid w:val="003D1CFE"/>
    <w:rsid w:val="003D3B81"/>
    <w:rsid w:val="003D4890"/>
    <w:rsid w:val="003D59DE"/>
    <w:rsid w:val="003E092E"/>
    <w:rsid w:val="003E13B3"/>
    <w:rsid w:val="003E2B6E"/>
    <w:rsid w:val="003E2F4B"/>
    <w:rsid w:val="003E3039"/>
    <w:rsid w:val="003E3296"/>
    <w:rsid w:val="003E454E"/>
    <w:rsid w:val="003E5860"/>
    <w:rsid w:val="003E63FF"/>
    <w:rsid w:val="003E7563"/>
    <w:rsid w:val="003F064B"/>
    <w:rsid w:val="003F1053"/>
    <w:rsid w:val="003F2B5C"/>
    <w:rsid w:val="003F48C9"/>
    <w:rsid w:val="003F4D90"/>
    <w:rsid w:val="003F6779"/>
    <w:rsid w:val="003F6E87"/>
    <w:rsid w:val="003F7D92"/>
    <w:rsid w:val="0040145F"/>
    <w:rsid w:val="00407A96"/>
    <w:rsid w:val="00407E76"/>
    <w:rsid w:val="00410BD3"/>
    <w:rsid w:val="00411124"/>
    <w:rsid w:val="0041483C"/>
    <w:rsid w:val="004151BD"/>
    <w:rsid w:val="00415707"/>
    <w:rsid w:val="00415D62"/>
    <w:rsid w:val="004167E7"/>
    <w:rsid w:val="004205DA"/>
    <w:rsid w:val="00420B54"/>
    <w:rsid w:val="00422AA0"/>
    <w:rsid w:val="00422C38"/>
    <w:rsid w:val="004232C6"/>
    <w:rsid w:val="00426508"/>
    <w:rsid w:val="00427216"/>
    <w:rsid w:val="004272BE"/>
    <w:rsid w:val="00427EB9"/>
    <w:rsid w:val="00427F46"/>
    <w:rsid w:val="0043165A"/>
    <w:rsid w:val="00432314"/>
    <w:rsid w:val="004330DB"/>
    <w:rsid w:val="00433B12"/>
    <w:rsid w:val="00433B4A"/>
    <w:rsid w:val="004345D0"/>
    <w:rsid w:val="00434F8C"/>
    <w:rsid w:val="0043516C"/>
    <w:rsid w:val="0043533C"/>
    <w:rsid w:val="004408AE"/>
    <w:rsid w:val="00440BAB"/>
    <w:rsid w:val="0044148A"/>
    <w:rsid w:val="004414E1"/>
    <w:rsid w:val="0044276C"/>
    <w:rsid w:val="00442DFC"/>
    <w:rsid w:val="00443576"/>
    <w:rsid w:val="00444E8A"/>
    <w:rsid w:val="0044527A"/>
    <w:rsid w:val="00445523"/>
    <w:rsid w:val="004467A3"/>
    <w:rsid w:val="00451293"/>
    <w:rsid w:val="00451AE4"/>
    <w:rsid w:val="0045200A"/>
    <w:rsid w:val="004528F2"/>
    <w:rsid w:val="00454FAC"/>
    <w:rsid w:val="00455211"/>
    <w:rsid w:val="00455323"/>
    <w:rsid w:val="00455F86"/>
    <w:rsid w:val="00456CFA"/>
    <w:rsid w:val="004572B6"/>
    <w:rsid w:val="0045780F"/>
    <w:rsid w:val="00457A25"/>
    <w:rsid w:val="00460828"/>
    <w:rsid w:val="004616EF"/>
    <w:rsid w:val="00461F7D"/>
    <w:rsid w:val="004622F7"/>
    <w:rsid w:val="00463B71"/>
    <w:rsid w:val="00464191"/>
    <w:rsid w:val="004655E5"/>
    <w:rsid w:val="00466187"/>
    <w:rsid w:val="004679D1"/>
    <w:rsid w:val="00467FCF"/>
    <w:rsid w:val="00475BB9"/>
    <w:rsid w:val="004768CE"/>
    <w:rsid w:val="004809BA"/>
    <w:rsid w:val="00481248"/>
    <w:rsid w:val="00481912"/>
    <w:rsid w:val="00483342"/>
    <w:rsid w:val="0048558B"/>
    <w:rsid w:val="004858C2"/>
    <w:rsid w:val="0048662B"/>
    <w:rsid w:val="00486F4E"/>
    <w:rsid w:val="004870CF"/>
    <w:rsid w:val="00487866"/>
    <w:rsid w:val="004901DF"/>
    <w:rsid w:val="004917CC"/>
    <w:rsid w:val="00491831"/>
    <w:rsid w:val="00491CFD"/>
    <w:rsid w:val="004927F7"/>
    <w:rsid w:val="0049397C"/>
    <w:rsid w:val="0049414A"/>
    <w:rsid w:val="004952B6"/>
    <w:rsid w:val="004968B6"/>
    <w:rsid w:val="0049728B"/>
    <w:rsid w:val="004973A2"/>
    <w:rsid w:val="00497609"/>
    <w:rsid w:val="004A27DC"/>
    <w:rsid w:val="004A2AB1"/>
    <w:rsid w:val="004A3496"/>
    <w:rsid w:val="004A3A71"/>
    <w:rsid w:val="004A578F"/>
    <w:rsid w:val="004A57FB"/>
    <w:rsid w:val="004A5B50"/>
    <w:rsid w:val="004A5DE5"/>
    <w:rsid w:val="004A63D1"/>
    <w:rsid w:val="004A67DF"/>
    <w:rsid w:val="004A7482"/>
    <w:rsid w:val="004A7AEC"/>
    <w:rsid w:val="004B0DC8"/>
    <w:rsid w:val="004B101A"/>
    <w:rsid w:val="004B1EF2"/>
    <w:rsid w:val="004B27F3"/>
    <w:rsid w:val="004B2F6B"/>
    <w:rsid w:val="004B31AB"/>
    <w:rsid w:val="004B522A"/>
    <w:rsid w:val="004B5449"/>
    <w:rsid w:val="004B5587"/>
    <w:rsid w:val="004B7C37"/>
    <w:rsid w:val="004C1282"/>
    <w:rsid w:val="004C142B"/>
    <w:rsid w:val="004C279E"/>
    <w:rsid w:val="004C2F83"/>
    <w:rsid w:val="004C30B3"/>
    <w:rsid w:val="004C407B"/>
    <w:rsid w:val="004C5324"/>
    <w:rsid w:val="004C6925"/>
    <w:rsid w:val="004C713D"/>
    <w:rsid w:val="004C7F34"/>
    <w:rsid w:val="004D0268"/>
    <w:rsid w:val="004D1137"/>
    <w:rsid w:val="004D2D32"/>
    <w:rsid w:val="004D4217"/>
    <w:rsid w:val="004D4EB0"/>
    <w:rsid w:val="004D58B1"/>
    <w:rsid w:val="004D5DCF"/>
    <w:rsid w:val="004E07EF"/>
    <w:rsid w:val="004E114B"/>
    <w:rsid w:val="004E23C2"/>
    <w:rsid w:val="004E3C9F"/>
    <w:rsid w:val="004E484F"/>
    <w:rsid w:val="004E57F4"/>
    <w:rsid w:val="004E6487"/>
    <w:rsid w:val="004E6D0E"/>
    <w:rsid w:val="004E7395"/>
    <w:rsid w:val="004F177B"/>
    <w:rsid w:val="004F1C31"/>
    <w:rsid w:val="004F212D"/>
    <w:rsid w:val="004F4078"/>
    <w:rsid w:val="004F417E"/>
    <w:rsid w:val="004F4E95"/>
    <w:rsid w:val="004F74A1"/>
    <w:rsid w:val="00500E9A"/>
    <w:rsid w:val="00501023"/>
    <w:rsid w:val="00501C26"/>
    <w:rsid w:val="005035A0"/>
    <w:rsid w:val="005045FE"/>
    <w:rsid w:val="0050494B"/>
    <w:rsid w:val="00505B5E"/>
    <w:rsid w:val="00505C73"/>
    <w:rsid w:val="00506997"/>
    <w:rsid w:val="00507833"/>
    <w:rsid w:val="00510CDC"/>
    <w:rsid w:val="00510EF7"/>
    <w:rsid w:val="00511543"/>
    <w:rsid w:val="00511B86"/>
    <w:rsid w:val="005127E2"/>
    <w:rsid w:val="00512D4B"/>
    <w:rsid w:val="0051324D"/>
    <w:rsid w:val="005136BD"/>
    <w:rsid w:val="005140F6"/>
    <w:rsid w:val="00514C1A"/>
    <w:rsid w:val="00514CD2"/>
    <w:rsid w:val="005174C3"/>
    <w:rsid w:val="005176F3"/>
    <w:rsid w:val="0052132C"/>
    <w:rsid w:val="0052166E"/>
    <w:rsid w:val="005217C4"/>
    <w:rsid w:val="00522812"/>
    <w:rsid w:val="00522B7B"/>
    <w:rsid w:val="00522DD2"/>
    <w:rsid w:val="00522F0E"/>
    <w:rsid w:val="0052318A"/>
    <w:rsid w:val="00524429"/>
    <w:rsid w:val="00524AA3"/>
    <w:rsid w:val="00527EDA"/>
    <w:rsid w:val="005301D4"/>
    <w:rsid w:val="005305A7"/>
    <w:rsid w:val="005311F5"/>
    <w:rsid w:val="00531F9B"/>
    <w:rsid w:val="00532577"/>
    <w:rsid w:val="00532BB5"/>
    <w:rsid w:val="00534815"/>
    <w:rsid w:val="0053500E"/>
    <w:rsid w:val="00537AD1"/>
    <w:rsid w:val="005402BB"/>
    <w:rsid w:val="00540B28"/>
    <w:rsid w:val="005430A8"/>
    <w:rsid w:val="00543300"/>
    <w:rsid w:val="00543A62"/>
    <w:rsid w:val="00544D29"/>
    <w:rsid w:val="005451FC"/>
    <w:rsid w:val="00545FAC"/>
    <w:rsid w:val="00546C6D"/>
    <w:rsid w:val="005474BD"/>
    <w:rsid w:val="00547C63"/>
    <w:rsid w:val="00547C72"/>
    <w:rsid w:val="0055019B"/>
    <w:rsid w:val="00550D1B"/>
    <w:rsid w:val="00551259"/>
    <w:rsid w:val="005513F7"/>
    <w:rsid w:val="00552211"/>
    <w:rsid w:val="00552F02"/>
    <w:rsid w:val="005530E7"/>
    <w:rsid w:val="00553397"/>
    <w:rsid w:val="00555FDD"/>
    <w:rsid w:val="0055646F"/>
    <w:rsid w:val="00556CD0"/>
    <w:rsid w:val="00560734"/>
    <w:rsid w:val="005618F9"/>
    <w:rsid w:val="00561B51"/>
    <w:rsid w:val="00562198"/>
    <w:rsid w:val="005628A9"/>
    <w:rsid w:val="00562EBE"/>
    <w:rsid w:val="0056310B"/>
    <w:rsid w:val="0056319B"/>
    <w:rsid w:val="005634F8"/>
    <w:rsid w:val="00567E12"/>
    <w:rsid w:val="00570B7D"/>
    <w:rsid w:val="00570CEE"/>
    <w:rsid w:val="00571687"/>
    <w:rsid w:val="00571A42"/>
    <w:rsid w:val="0057308B"/>
    <w:rsid w:val="00573105"/>
    <w:rsid w:val="00576B0A"/>
    <w:rsid w:val="005777D2"/>
    <w:rsid w:val="00577B79"/>
    <w:rsid w:val="005810E1"/>
    <w:rsid w:val="00581391"/>
    <w:rsid w:val="00581882"/>
    <w:rsid w:val="005847A5"/>
    <w:rsid w:val="00584B0B"/>
    <w:rsid w:val="00586290"/>
    <w:rsid w:val="0058687B"/>
    <w:rsid w:val="00587EE7"/>
    <w:rsid w:val="00590575"/>
    <w:rsid w:val="005910FE"/>
    <w:rsid w:val="00591FB3"/>
    <w:rsid w:val="00593049"/>
    <w:rsid w:val="0059334E"/>
    <w:rsid w:val="00593A40"/>
    <w:rsid w:val="0059507E"/>
    <w:rsid w:val="005955D6"/>
    <w:rsid w:val="0059599E"/>
    <w:rsid w:val="00596266"/>
    <w:rsid w:val="00596F2D"/>
    <w:rsid w:val="00597108"/>
    <w:rsid w:val="00597A48"/>
    <w:rsid w:val="00597E21"/>
    <w:rsid w:val="005A417B"/>
    <w:rsid w:val="005A4EEC"/>
    <w:rsid w:val="005A51A1"/>
    <w:rsid w:val="005A555C"/>
    <w:rsid w:val="005A578A"/>
    <w:rsid w:val="005A7126"/>
    <w:rsid w:val="005A7AE3"/>
    <w:rsid w:val="005B07D5"/>
    <w:rsid w:val="005B13C8"/>
    <w:rsid w:val="005B3C04"/>
    <w:rsid w:val="005B3C05"/>
    <w:rsid w:val="005C12CD"/>
    <w:rsid w:val="005C2795"/>
    <w:rsid w:val="005C2812"/>
    <w:rsid w:val="005C381A"/>
    <w:rsid w:val="005C3B78"/>
    <w:rsid w:val="005C59D7"/>
    <w:rsid w:val="005C5B80"/>
    <w:rsid w:val="005C5E63"/>
    <w:rsid w:val="005C5F4F"/>
    <w:rsid w:val="005C6186"/>
    <w:rsid w:val="005D010B"/>
    <w:rsid w:val="005D015B"/>
    <w:rsid w:val="005D142D"/>
    <w:rsid w:val="005D3246"/>
    <w:rsid w:val="005D4078"/>
    <w:rsid w:val="005D48D8"/>
    <w:rsid w:val="005D5E91"/>
    <w:rsid w:val="005D6537"/>
    <w:rsid w:val="005D65CA"/>
    <w:rsid w:val="005D6733"/>
    <w:rsid w:val="005D67AB"/>
    <w:rsid w:val="005D7697"/>
    <w:rsid w:val="005D76F2"/>
    <w:rsid w:val="005D7D61"/>
    <w:rsid w:val="005E193F"/>
    <w:rsid w:val="005E4AF5"/>
    <w:rsid w:val="005E5490"/>
    <w:rsid w:val="005E6288"/>
    <w:rsid w:val="005E64CB"/>
    <w:rsid w:val="005E7153"/>
    <w:rsid w:val="005E751A"/>
    <w:rsid w:val="005E796B"/>
    <w:rsid w:val="005E7C8A"/>
    <w:rsid w:val="005F01F9"/>
    <w:rsid w:val="005F05A4"/>
    <w:rsid w:val="005F1E76"/>
    <w:rsid w:val="005F2182"/>
    <w:rsid w:val="005F27A2"/>
    <w:rsid w:val="005F2E41"/>
    <w:rsid w:val="005F35EA"/>
    <w:rsid w:val="005F45FB"/>
    <w:rsid w:val="005F4C18"/>
    <w:rsid w:val="005F6199"/>
    <w:rsid w:val="005F705C"/>
    <w:rsid w:val="005F76B2"/>
    <w:rsid w:val="005F787A"/>
    <w:rsid w:val="00601A40"/>
    <w:rsid w:val="00601EB0"/>
    <w:rsid w:val="00601EB9"/>
    <w:rsid w:val="00606B6A"/>
    <w:rsid w:val="00610B0E"/>
    <w:rsid w:val="00611CC0"/>
    <w:rsid w:val="00613A94"/>
    <w:rsid w:val="0061443B"/>
    <w:rsid w:val="00616CC1"/>
    <w:rsid w:val="0062082C"/>
    <w:rsid w:val="00622D9B"/>
    <w:rsid w:val="00624657"/>
    <w:rsid w:val="006248DC"/>
    <w:rsid w:val="006248EF"/>
    <w:rsid w:val="006306BD"/>
    <w:rsid w:val="00630E50"/>
    <w:rsid w:val="00631529"/>
    <w:rsid w:val="00632CDA"/>
    <w:rsid w:val="0063503F"/>
    <w:rsid w:val="00635797"/>
    <w:rsid w:val="00636C20"/>
    <w:rsid w:val="006379D3"/>
    <w:rsid w:val="00637D03"/>
    <w:rsid w:val="00640328"/>
    <w:rsid w:val="00642FFF"/>
    <w:rsid w:val="006466AA"/>
    <w:rsid w:val="00646C84"/>
    <w:rsid w:val="00647BBA"/>
    <w:rsid w:val="006525CF"/>
    <w:rsid w:val="00652623"/>
    <w:rsid w:val="00652703"/>
    <w:rsid w:val="00653917"/>
    <w:rsid w:val="0065393C"/>
    <w:rsid w:val="00653CFA"/>
    <w:rsid w:val="006541CC"/>
    <w:rsid w:val="0065432D"/>
    <w:rsid w:val="006558B1"/>
    <w:rsid w:val="0065680D"/>
    <w:rsid w:val="00656AEC"/>
    <w:rsid w:val="00657820"/>
    <w:rsid w:val="006600E6"/>
    <w:rsid w:val="0066050D"/>
    <w:rsid w:val="00660F43"/>
    <w:rsid w:val="006621ED"/>
    <w:rsid w:val="00662575"/>
    <w:rsid w:val="00662940"/>
    <w:rsid w:val="00663C4E"/>
    <w:rsid w:val="00663DBD"/>
    <w:rsid w:val="00663DC6"/>
    <w:rsid w:val="0066443D"/>
    <w:rsid w:val="00670040"/>
    <w:rsid w:val="006708A2"/>
    <w:rsid w:val="00671DA1"/>
    <w:rsid w:val="00673CF1"/>
    <w:rsid w:val="00674771"/>
    <w:rsid w:val="006748A7"/>
    <w:rsid w:val="00675F6F"/>
    <w:rsid w:val="0067682E"/>
    <w:rsid w:val="0067717D"/>
    <w:rsid w:val="006778F5"/>
    <w:rsid w:val="0068110A"/>
    <w:rsid w:val="006817C3"/>
    <w:rsid w:val="00681ACD"/>
    <w:rsid w:val="00681E90"/>
    <w:rsid w:val="0068567E"/>
    <w:rsid w:val="00686231"/>
    <w:rsid w:val="00686E03"/>
    <w:rsid w:val="00687934"/>
    <w:rsid w:val="00687DA9"/>
    <w:rsid w:val="00687E57"/>
    <w:rsid w:val="00690086"/>
    <w:rsid w:val="00690E0A"/>
    <w:rsid w:val="00691070"/>
    <w:rsid w:val="006926BB"/>
    <w:rsid w:val="006945B4"/>
    <w:rsid w:val="00695E2A"/>
    <w:rsid w:val="00696499"/>
    <w:rsid w:val="006969A5"/>
    <w:rsid w:val="00696A62"/>
    <w:rsid w:val="006A15BF"/>
    <w:rsid w:val="006A167A"/>
    <w:rsid w:val="006A23E1"/>
    <w:rsid w:val="006A3252"/>
    <w:rsid w:val="006A46B7"/>
    <w:rsid w:val="006A5071"/>
    <w:rsid w:val="006A6807"/>
    <w:rsid w:val="006A6EB2"/>
    <w:rsid w:val="006B1887"/>
    <w:rsid w:val="006B3803"/>
    <w:rsid w:val="006B470F"/>
    <w:rsid w:val="006B59CD"/>
    <w:rsid w:val="006B6233"/>
    <w:rsid w:val="006C1434"/>
    <w:rsid w:val="006C15B1"/>
    <w:rsid w:val="006C1C2A"/>
    <w:rsid w:val="006C3153"/>
    <w:rsid w:val="006C383D"/>
    <w:rsid w:val="006C3F08"/>
    <w:rsid w:val="006C455E"/>
    <w:rsid w:val="006C5A4F"/>
    <w:rsid w:val="006D2EDE"/>
    <w:rsid w:val="006D33F6"/>
    <w:rsid w:val="006D36D1"/>
    <w:rsid w:val="006D5B2D"/>
    <w:rsid w:val="006D6752"/>
    <w:rsid w:val="006D7996"/>
    <w:rsid w:val="006E3310"/>
    <w:rsid w:val="006E3E5D"/>
    <w:rsid w:val="006E4370"/>
    <w:rsid w:val="006E4AA0"/>
    <w:rsid w:val="006E6793"/>
    <w:rsid w:val="006E67B7"/>
    <w:rsid w:val="006E69EC"/>
    <w:rsid w:val="006E7128"/>
    <w:rsid w:val="006E735E"/>
    <w:rsid w:val="006F2D3E"/>
    <w:rsid w:val="006F31EB"/>
    <w:rsid w:val="006F3A72"/>
    <w:rsid w:val="006F50D4"/>
    <w:rsid w:val="006F6969"/>
    <w:rsid w:val="006F6F2C"/>
    <w:rsid w:val="006F7136"/>
    <w:rsid w:val="006F71D2"/>
    <w:rsid w:val="006F72E8"/>
    <w:rsid w:val="006F7D3C"/>
    <w:rsid w:val="00700BDD"/>
    <w:rsid w:val="00701553"/>
    <w:rsid w:val="007020E9"/>
    <w:rsid w:val="0070236B"/>
    <w:rsid w:val="0070559B"/>
    <w:rsid w:val="00707161"/>
    <w:rsid w:val="00707560"/>
    <w:rsid w:val="00710AD4"/>
    <w:rsid w:val="00711011"/>
    <w:rsid w:val="00711269"/>
    <w:rsid w:val="00711484"/>
    <w:rsid w:val="007135A4"/>
    <w:rsid w:val="00713F21"/>
    <w:rsid w:val="007153F8"/>
    <w:rsid w:val="007155E4"/>
    <w:rsid w:val="0071731C"/>
    <w:rsid w:val="00717341"/>
    <w:rsid w:val="0071778A"/>
    <w:rsid w:val="00717FAE"/>
    <w:rsid w:val="00720C2A"/>
    <w:rsid w:val="00721379"/>
    <w:rsid w:val="00722365"/>
    <w:rsid w:val="007231B1"/>
    <w:rsid w:val="00724785"/>
    <w:rsid w:val="007247D6"/>
    <w:rsid w:val="00725406"/>
    <w:rsid w:val="00725442"/>
    <w:rsid w:val="00725464"/>
    <w:rsid w:val="00727084"/>
    <w:rsid w:val="007279F1"/>
    <w:rsid w:val="00730157"/>
    <w:rsid w:val="00730D1F"/>
    <w:rsid w:val="007312CF"/>
    <w:rsid w:val="00731852"/>
    <w:rsid w:val="007323A7"/>
    <w:rsid w:val="00732FCC"/>
    <w:rsid w:val="00733D09"/>
    <w:rsid w:val="007367D5"/>
    <w:rsid w:val="007369CF"/>
    <w:rsid w:val="007370FB"/>
    <w:rsid w:val="00740B4F"/>
    <w:rsid w:val="0074147A"/>
    <w:rsid w:val="00745ACC"/>
    <w:rsid w:val="00745C2F"/>
    <w:rsid w:val="00747821"/>
    <w:rsid w:val="00747848"/>
    <w:rsid w:val="007479A0"/>
    <w:rsid w:val="00747EBF"/>
    <w:rsid w:val="00751611"/>
    <w:rsid w:val="00751618"/>
    <w:rsid w:val="007516C7"/>
    <w:rsid w:val="00752489"/>
    <w:rsid w:val="007540B0"/>
    <w:rsid w:val="00756F68"/>
    <w:rsid w:val="007570DC"/>
    <w:rsid w:val="007571F2"/>
    <w:rsid w:val="0075728A"/>
    <w:rsid w:val="0075766A"/>
    <w:rsid w:val="0076055A"/>
    <w:rsid w:val="00760690"/>
    <w:rsid w:val="007611E0"/>
    <w:rsid w:val="007639D8"/>
    <w:rsid w:val="00764BD7"/>
    <w:rsid w:val="00765BC6"/>
    <w:rsid w:val="00765E2D"/>
    <w:rsid w:val="007660D3"/>
    <w:rsid w:val="007667BC"/>
    <w:rsid w:val="00770463"/>
    <w:rsid w:val="007710EA"/>
    <w:rsid w:val="007724BA"/>
    <w:rsid w:val="00773C43"/>
    <w:rsid w:val="00774203"/>
    <w:rsid w:val="007743BD"/>
    <w:rsid w:val="00776216"/>
    <w:rsid w:val="007821DE"/>
    <w:rsid w:val="007822D2"/>
    <w:rsid w:val="00782A8A"/>
    <w:rsid w:val="00782BB2"/>
    <w:rsid w:val="00784212"/>
    <w:rsid w:val="00784C23"/>
    <w:rsid w:val="007855DD"/>
    <w:rsid w:val="00785B78"/>
    <w:rsid w:val="00786992"/>
    <w:rsid w:val="007901D9"/>
    <w:rsid w:val="00790B25"/>
    <w:rsid w:val="00790F62"/>
    <w:rsid w:val="007916DA"/>
    <w:rsid w:val="00791B02"/>
    <w:rsid w:val="0079276B"/>
    <w:rsid w:val="0079795D"/>
    <w:rsid w:val="007A079C"/>
    <w:rsid w:val="007A3950"/>
    <w:rsid w:val="007A4164"/>
    <w:rsid w:val="007A4C37"/>
    <w:rsid w:val="007A4E24"/>
    <w:rsid w:val="007A4F3F"/>
    <w:rsid w:val="007A4FF1"/>
    <w:rsid w:val="007A51D3"/>
    <w:rsid w:val="007A5F67"/>
    <w:rsid w:val="007A60CB"/>
    <w:rsid w:val="007A6581"/>
    <w:rsid w:val="007A6730"/>
    <w:rsid w:val="007A7966"/>
    <w:rsid w:val="007B014A"/>
    <w:rsid w:val="007B13D7"/>
    <w:rsid w:val="007B3584"/>
    <w:rsid w:val="007B3F0B"/>
    <w:rsid w:val="007B413A"/>
    <w:rsid w:val="007B430E"/>
    <w:rsid w:val="007B46E8"/>
    <w:rsid w:val="007B542D"/>
    <w:rsid w:val="007B5B6B"/>
    <w:rsid w:val="007B6D97"/>
    <w:rsid w:val="007B7B89"/>
    <w:rsid w:val="007C08B4"/>
    <w:rsid w:val="007C12BD"/>
    <w:rsid w:val="007C29B4"/>
    <w:rsid w:val="007C2B78"/>
    <w:rsid w:val="007C5C93"/>
    <w:rsid w:val="007D14FD"/>
    <w:rsid w:val="007D3379"/>
    <w:rsid w:val="007D35F4"/>
    <w:rsid w:val="007D407B"/>
    <w:rsid w:val="007D4B39"/>
    <w:rsid w:val="007D4CD7"/>
    <w:rsid w:val="007D618E"/>
    <w:rsid w:val="007D6560"/>
    <w:rsid w:val="007D78B4"/>
    <w:rsid w:val="007D7E5A"/>
    <w:rsid w:val="007E061E"/>
    <w:rsid w:val="007E142C"/>
    <w:rsid w:val="007E14A3"/>
    <w:rsid w:val="007E21D1"/>
    <w:rsid w:val="007E2C88"/>
    <w:rsid w:val="007E3304"/>
    <w:rsid w:val="007E3440"/>
    <w:rsid w:val="007E4095"/>
    <w:rsid w:val="007E4645"/>
    <w:rsid w:val="007E5DFA"/>
    <w:rsid w:val="007E6928"/>
    <w:rsid w:val="007E6D74"/>
    <w:rsid w:val="007E7800"/>
    <w:rsid w:val="007F0820"/>
    <w:rsid w:val="007F0E2B"/>
    <w:rsid w:val="007F10D1"/>
    <w:rsid w:val="007F12A6"/>
    <w:rsid w:val="007F1D9A"/>
    <w:rsid w:val="007F1FE9"/>
    <w:rsid w:val="007F2B3F"/>
    <w:rsid w:val="007F4BFE"/>
    <w:rsid w:val="007F6DE8"/>
    <w:rsid w:val="007F79C0"/>
    <w:rsid w:val="00800ADC"/>
    <w:rsid w:val="008013C5"/>
    <w:rsid w:val="008019CA"/>
    <w:rsid w:val="00801A94"/>
    <w:rsid w:val="00802321"/>
    <w:rsid w:val="0080475B"/>
    <w:rsid w:val="00804EAC"/>
    <w:rsid w:val="0080676C"/>
    <w:rsid w:val="008069D7"/>
    <w:rsid w:val="00806E91"/>
    <w:rsid w:val="00810CCE"/>
    <w:rsid w:val="008110C2"/>
    <w:rsid w:val="00812862"/>
    <w:rsid w:val="008139DB"/>
    <w:rsid w:val="008165D4"/>
    <w:rsid w:val="008165FF"/>
    <w:rsid w:val="0081764B"/>
    <w:rsid w:val="00820113"/>
    <w:rsid w:val="00820B65"/>
    <w:rsid w:val="00820D14"/>
    <w:rsid w:val="0082208E"/>
    <w:rsid w:val="00822B92"/>
    <w:rsid w:val="00827B9C"/>
    <w:rsid w:val="008304D3"/>
    <w:rsid w:val="008304EF"/>
    <w:rsid w:val="0083056E"/>
    <w:rsid w:val="008305D3"/>
    <w:rsid w:val="00830E95"/>
    <w:rsid w:val="0083129B"/>
    <w:rsid w:val="00831BE6"/>
    <w:rsid w:val="00831BF5"/>
    <w:rsid w:val="00833B88"/>
    <w:rsid w:val="008349F6"/>
    <w:rsid w:val="0083533F"/>
    <w:rsid w:val="008355F9"/>
    <w:rsid w:val="00835FEA"/>
    <w:rsid w:val="008364AA"/>
    <w:rsid w:val="008366AE"/>
    <w:rsid w:val="00836982"/>
    <w:rsid w:val="00837AAE"/>
    <w:rsid w:val="00837C3E"/>
    <w:rsid w:val="00842006"/>
    <w:rsid w:val="00843F9A"/>
    <w:rsid w:val="00844A36"/>
    <w:rsid w:val="008450B9"/>
    <w:rsid w:val="00846FDE"/>
    <w:rsid w:val="008503B7"/>
    <w:rsid w:val="00851FE4"/>
    <w:rsid w:val="00852CD0"/>
    <w:rsid w:val="00853F4E"/>
    <w:rsid w:val="00856969"/>
    <w:rsid w:val="00856F83"/>
    <w:rsid w:val="008627B4"/>
    <w:rsid w:val="0086508A"/>
    <w:rsid w:val="00865750"/>
    <w:rsid w:val="00867B7C"/>
    <w:rsid w:val="00870FAA"/>
    <w:rsid w:val="00871F4C"/>
    <w:rsid w:val="008723E6"/>
    <w:rsid w:val="00872422"/>
    <w:rsid w:val="00873DB9"/>
    <w:rsid w:val="0087428A"/>
    <w:rsid w:val="00874E16"/>
    <w:rsid w:val="008755AA"/>
    <w:rsid w:val="00877636"/>
    <w:rsid w:val="00881504"/>
    <w:rsid w:val="00883718"/>
    <w:rsid w:val="00884BF5"/>
    <w:rsid w:val="00885BAD"/>
    <w:rsid w:val="008877A1"/>
    <w:rsid w:val="00890AD0"/>
    <w:rsid w:val="00891724"/>
    <w:rsid w:val="00893CF1"/>
    <w:rsid w:val="00894486"/>
    <w:rsid w:val="0089491E"/>
    <w:rsid w:val="00894F68"/>
    <w:rsid w:val="00895630"/>
    <w:rsid w:val="00896C85"/>
    <w:rsid w:val="00897E28"/>
    <w:rsid w:val="00897E35"/>
    <w:rsid w:val="008A0DA2"/>
    <w:rsid w:val="008A0E5A"/>
    <w:rsid w:val="008A352D"/>
    <w:rsid w:val="008A6B6B"/>
    <w:rsid w:val="008A7AFA"/>
    <w:rsid w:val="008B017D"/>
    <w:rsid w:val="008B01A7"/>
    <w:rsid w:val="008B05C8"/>
    <w:rsid w:val="008B0AA5"/>
    <w:rsid w:val="008B0B09"/>
    <w:rsid w:val="008B183B"/>
    <w:rsid w:val="008B1C31"/>
    <w:rsid w:val="008B1E8B"/>
    <w:rsid w:val="008B326A"/>
    <w:rsid w:val="008B4EA3"/>
    <w:rsid w:val="008B70BD"/>
    <w:rsid w:val="008B7998"/>
    <w:rsid w:val="008C133F"/>
    <w:rsid w:val="008C18D4"/>
    <w:rsid w:val="008C36D5"/>
    <w:rsid w:val="008C3F65"/>
    <w:rsid w:val="008C65C3"/>
    <w:rsid w:val="008C6AA8"/>
    <w:rsid w:val="008C6CB4"/>
    <w:rsid w:val="008D0614"/>
    <w:rsid w:val="008D148A"/>
    <w:rsid w:val="008D1AD7"/>
    <w:rsid w:val="008D1BA5"/>
    <w:rsid w:val="008D2186"/>
    <w:rsid w:val="008D2923"/>
    <w:rsid w:val="008D2BC6"/>
    <w:rsid w:val="008D2E68"/>
    <w:rsid w:val="008D4C8C"/>
    <w:rsid w:val="008D5488"/>
    <w:rsid w:val="008D6633"/>
    <w:rsid w:val="008D7594"/>
    <w:rsid w:val="008E0719"/>
    <w:rsid w:val="008E0786"/>
    <w:rsid w:val="008E117D"/>
    <w:rsid w:val="008E2184"/>
    <w:rsid w:val="008E40B2"/>
    <w:rsid w:val="008E5A38"/>
    <w:rsid w:val="008E5DFC"/>
    <w:rsid w:val="008E6E00"/>
    <w:rsid w:val="008E7B52"/>
    <w:rsid w:val="008F1195"/>
    <w:rsid w:val="008F11D5"/>
    <w:rsid w:val="008F1DEA"/>
    <w:rsid w:val="008F24CE"/>
    <w:rsid w:val="008F2C4E"/>
    <w:rsid w:val="008F2C5C"/>
    <w:rsid w:val="008F5E48"/>
    <w:rsid w:val="008F7A7E"/>
    <w:rsid w:val="0090050A"/>
    <w:rsid w:val="00901BBB"/>
    <w:rsid w:val="009027EC"/>
    <w:rsid w:val="0090327B"/>
    <w:rsid w:val="00903675"/>
    <w:rsid w:val="00905368"/>
    <w:rsid w:val="00906AEB"/>
    <w:rsid w:val="00906B8B"/>
    <w:rsid w:val="009073B1"/>
    <w:rsid w:val="009104D4"/>
    <w:rsid w:val="0091236A"/>
    <w:rsid w:val="00913B87"/>
    <w:rsid w:val="009147FC"/>
    <w:rsid w:val="00914F75"/>
    <w:rsid w:val="009202BA"/>
    <w:rsid w:val="009209A5"/>
    <w:rsid w:val="00920DA8"/>
    <w:rsid w:val="00921091"/>
    <w:rsid w:val="00921181"/>
    <w:rsid w:val="00922E94"/>
    <w:rsid w:val="00923D99"/>
    <w:rsid w:val="009249C1"/>
    <w:rsid w:val="0092563B"/>
    <w:rsid w:val="00925E01"/>
    <w:rsid w:val="0092611A"/>
    <w:rsid w:val="00927484"/>
    <w:rsid w:val="00927FE3"/>
    <w:rsid w:val="00930540"/>
    <w:rsid w:val="00931F28"/>
    <w:rsid w:val="00933828"/>
    <w:rsid w:val="00933A7E"/>
    <w:rsid w:val="00933EFB"/>
    <w:rsid w:val="009378E3"/>
    <w:rsid w:val="009379E9"/>
    <w:rsid w:val="00937D88"/>
    <w:rsid w:val="00940377"/>
    <w:rsid w:val="00944A3B"/>
    <w:rsid w:val="0094517E"/>
    <w:rsid w:val="00945F3A"/>
    <w:rsid w:val="00946A82"/>
    <w:rsid w:val="00947467"/>
    <w:rsid w:val="00950553"/>
    <w:rsid w:val="009507A0"/>
    <w:rsid w:val="0095126F"/>
    <w:rsid w:val="00951D9D"/>
    <w:rsid w:val="00954217"/>
    <w:rsid w:val="009542DF"/>
    <w:rsid w:val="00954F60"/>
    <w:rsid w:val="00963664"/>
    <w:rsid w:val="00964093"/>
    <w:rsid w:val="00964513"/>
    <w:rsid w:val="009655F3"/>
    <w:rsid w:val="00966264"/>
    <w:rsid w:val="009664CA"/>
    <w:rsid w:val="0097063C"/>
    <w:rsid w:val="00971060"/>
    <w:rsid w:val="00972854"/>
    <w:rsid w:val="00974628"/>
    <w:rsid w:val="00976A00"/>
    <w:rsid w:val="00977407"/>
    <w:rsid w:val="009800AB"/>
    <w:rsid w:val="009816B3"/>
    <w:rsid w:val="00982F84"/>
    <w:rsid w:val="009830A7"/>
    <w:rsid w:val="0098377D"/>
    <w:rsid w:val="00985EC5"/>
    <w:rsid w:val="00985F17"/>
    <w:rsid w:val="00985FD5"/>
    <w:rsid w:val="009877A2"/>
    <w:rsid w:val="009911ED"/>
    <w:rsid w:val="0099288A"/>
    <w:rsid w:val="00993213"/>
    <w:rsid w:val="009933D9"/>
    <w:rsid w:val="0099398D"/>
    <w:rsid w:val="00996150"/>
    <w:rsid w:val="009963FE"/>
    <w:rsid w:val="00996417"/>
    <w:rsid w:val="009A06CF"/>
    <w:rsid w:val="009A0E24"/>
    <w:rsid w:val="009A1AF4"/>
    <w:rsid w:val="009A1CC6"/>
    <w:rsid w:val="009A306F"/>
    <w:rsid w:val="009A3BA4"/>
    <w:rsid w:val="009A40F6"/>
    <w:rsid w:val="009A5CF7"/>
    <w:rsid w:val="009A6360"/>
    <w:rsid w:val="009A7EE7"/>
    <w:rsid w:val="009B05EB"/>
    <w:rsid w:val="009B145D"/>
    <w:rsid w:val="009B1FAF"/>
    <w:rsid w:val="009B2600"/>
    <w:rsid w:val="009B3E19"/>
    <w:rsid w:val="009B527B"/>
    <w:rsid w:val="009B5493"/>
    <w:rsid w:val="009B5F7D"/>
    <w:rsid w:val="009B639E"/>
    <w:rsid w:val="009B6D04"/>
    <w:rsid w:val="009B7E15"/>
    <w:rsid w:val="009C1AD4"/>
    <w:rsid w:val="009C1BA3"/>
    <w:rsid w:val="009C23B9"/>
    <w:rsid w:val="009C47E2"/>
    <w:rsid w:val="009C4CC8"/>
    <w:rsid w:val="009C78B2"/>
    <w:rsid w:val="009C78B7"/>
    <w:rsid w:val="009D036F"/>
    <w:rsid w:val="009D0376"/>
    <w:rsid w:val="009D0874"/>
    <w:rsid w:val="009D1AEE"/>
    <w:rsid w:val="009D2CFF"/>
    <w:rsid w:val="009D3F30"/>
    <w:rsid w:val="009D5579"/>
    <w:rsid w:val="009D6A96"/>
    <w:rsid w:val="009E0043"/>
    <w:rsid w:val="009E0273"/>
    <w:rsid w:val="009E08A4"/>
    <w:rsid w:val="009E1F57"/>
    <w:rsid w:val="009E1F85"/>
    <w:rsid w:val="009E2F82"/>
    <w:rsid w:val="009E31BA"/>
    <w:rsid w:val="009E42DA"/>
    <w:rsid w:val="009E6338"/>
    <w:rsid w:val="009E776E"/>
    <w:rsid w:val="009F104E"/>
    <w:rsid w:val="009F1C89"/>
    <w:rsid w:val="009F1CB3"/>
    <w:rsid w:val="009F30A8"/>
    <w:rsid w:val="009F3A04"/>
    <w:rsid w:val="009F3CFA"/>
    <w:rsid w:val="009F4629"/>
    <w:rsid w:val="009F46AB"/>
    <w:rsid w:val="009F6937"/>
    <w:rsid w:val="009F7CDB"/>
    <w:rsid w:val="009F7DF4"/>
    <w:rsid w:val="00A004FF"/>
    <w:rsid w:val="00A01F27"/>
    <w:rsid w:val="00A02ED9"/>
    <w:rsid w:val="00A0372A"/>
    <w:rsid w:val="00A061A0"/>
    <w:rsid w:val="00A0722B"/>
    <w:rsid w:val="00A07801"/>
    <w:rsid w:val="00A07B8F"/>
    <w:rsid w:val="00A11716"/>
    <w:rsid w:val="00A1182E"/>
    <w:rsid w:val="00A1189F"/>
    <w:rsid w:val="00A13D72"/>
    <w:rsid w:val="00A1413E"/>
    <w:rsid w:val="00A14287"/>
    <w:rsid w:val="00A14605"/>
    <w:rsid w:val="00A14F47"/>
    <w:rsid w:val="00A15F74"/>
    <w:rsid w:val="00A16F53"/>
    <w:rsid w:val="00A17D49"/>
    <w:rsid w:val="00A2071E"/>
    <w:rsid w:val="00A20E68"/>
    <w:rsid w:val="00A2136A"/>
    <w:rsid w:val="00A2189E"/>
    <w:rsid w:val="00A21C06"/>
    <w:rsid w:val="00A22855"/>
    <w:rsid w:val="00A23559"/>
    <w:rsid w:val="00A23FFB"/>
    <w:rsid w:val="00A2415C"/>
    <w:rsid w:val="00A247E0"/>
    <w:rsid w:val="00A24D10"/>
    <w:rsid w:val="00A25E4B"/>
    <w:rsid w:val="00A264C2"/>
    <w:rsid w:val="00A26AAB"/>
    <w:rsid w:val="00A27787"/>
    <w:rsid w:val="00A27F2A"/>
    <w:rsid w:val="00A305FF"/>
    <w:rsid w:val="00A30A03"/>
    <w:rsid w:val="00A316F5"/>
    <w:rsid w:val="00A31CDE"/>
    <w:rsid w:val="00A3233C"/>
    <w:rsid w:val="00A327DF"/>
    <w:rsid w:val="00A3335D"/>
    <w:rsid w:val="00A33730"/>
    <w:rsid w:val="00A3398D"/>
    <w:rsid w:val="00A341AB"/>
    <w:rsid w:val="00A34224"/>
    <w:rsid w:val="00A35476"/>
    <w:rsid w:val="00A35850"/>
    <w:rsid w:val="00A370CC"/>
    <w:rsid w:val="00A3721B"/>
    <w:rsid w:val="00A407DB"/>
    <w:rsid w:val="00A40B1C"/>
    <w:rsid w:val="00A44927"/>
    <w:rsid w:val="00A45840"/>
    <w:rsid w:val="00A46395"/>
    <w:rsid w:val="00A47119"/>
    <w:rsid w:val="00A47E85"/>
    <w:rsid w:val="00A51566"/>
    <w:rsid w:val="00A5276E"/>
    <w:rsid w:val="00A53169"/>
    <w:rsid w:val="00A549B4"/>
    <w:rsid w:val="00A54DC6"/>
    <w:rsid w:val="00A61D7B"/>
    <w:rsid w:val="00A62D10"/>
    <w:rsid w:val="00A6484C"/>
    <w:rsid w:val="00A65C2B"/>
    <w:rsid w:val="00A65F64"/>
    <w:rsid w:val="00A664BB"/>
    <w:rsid w:val="00A66C5E"/>
    <w:rsid w:val="00A6780D"/>
    <w:rsid w:val="00A721FB"/>
    <w:rsid w:val="00A72CB3"/>
    <w:rsid w:val="00A74FBA"/>
    <w:rsid w:val="00A77921"/>
    <w:rsid w:val="00A80EC2"/>
    <w:rsid w:val="00A80F31"/>
    <w:rsid w:val="00A81861"/>
    <w:rsid w:val="00A820B3"/>
    <w:rsid w:val="00A828E6"/>
    <w:rsid w:val="00A83824"/>
    <w:rsid w:val="00A84553"/>
    <w:rsid w:val="00A85CAC"/>
    <w:rsid w:val="00A86C5D"/>
    <w:rsid w:val="00A86D8E"/>
    <w:rsid w:val="00A935F4"/>
    <w:rsid w:val="00A93F7C"/>
    <w:rsid w:val="00A95906"/>
    <w:rsid w:val="00A96BB1"/>
    <w:rsid w:val="00A96F88"/>
    <w:rsid w:val="00A97494"/>
    <w:rsid w:val="00AA1A13"/>
    <w:rsid w:val="00AA296E"/>
    <w:rsid w:val="00AA3A9F"/>
    <w:rsid w:val="00AA441E"/>
    <w:rsid w:val="00AA7517"/>
    <w:rsid w:val="00AB0FFB"/>
    <w:rsid w:val="00AB1176"/>
    <w:rsid w:val="00AB2BB1"/>
    <w:rsid w:val="00AB4E1C"/>
    <w:rsid w:val="00AB56AA"/>
    <w:rsid w:val="00AB6D8A"/>
    <w:rsid w:val="00AB72B7"/>
    <w:rsid w:val="00AB76E7"/>
    <w:rsid w:val="00AC0D42"/>
    <w:rsid w:val="00AC1631"/>
    <w:rsid w:val="00AC2DB6"/>
    <w:rsid w:val="00AC3FDC"/>
    <w:rsid w:val="00AC44D5"/>
    <w:rsid w:val="00AC4648"/>
    <w:rsid w:val="00AC57F5"/>
    <w:rsid w:val="00AC6399"/>
    <w:rsid w:val="00AC7605"/>
    <w:rsid w:val="00AC7E30"/>
    <w:rsid w:val="00AD0CB6"/>
    <w:rsid w:val="00AD13B1"/>
    <w:rsid w:val="00AD27FA"/>
    <w:rsid w:val="00AD2AC5"/>
    <w:rsid w:val="00AD398E"/>
    <w:rsid w:val="00AD4A51"/>
    <w:rsid w:val="00AD4E71"/>
    <w:rsid w:val="00AD4FBA"/>
    <w:rsid w:val="00AD5E32"/>
    <w:rsid w:val="00AE016B"/>
    <w:rsid w:val="00AE0396"/>
    <w:rsid w:val="00AE0780"/>
    <w:rsid w:val="00AE10C7"/>
    <w:rsid w:val="00AE1B2E"/>
    <w:rsid w:val="00AE2353"/>
    <w:rsid w:val="00AE23FA"/>
    <w:rsid w:val="00AE39CC"/>
    <w:rsid w:val="00AE3D31"/>
    <w:rsid w:val="00AE44F2"/>
    <w:rsid w:val="00AE52A5"/>
    <w:rsid w:val="00AE52DF"/>
    <w:rsid w:val="00AE57B3"/>
    <w:rsid w:val="00AE7155"/>
    <w:rsid w:val="00AE7CB0"/>
    <w:rsid w:val="00AE7F4C"/>
    <w:rsid w:val="00AF032D"/>
    <w:rsid w:val="00AF1200"/>
    <w:rsid w:val="00AF3378"/>
    <w:rsid w:val="00AF41F0"/>
    <w:rsid w:val="00AF4969"/>
    <w:rsid w:val="00AF75FC"/>
    <w:rsid w:val="00B00C8A"/>
    <w:rsid w:val="00B01EA6"/>
    <w:rsid w:val="00B02919"/>
    <w:rsid w:val="00B03303"/>
    <w:rsid w:val="00B03AA7"/>
    <w:rsid w:val="00B046DE"/>
    <w:rsid w:val="00B0494A"/>
    <w:rsid w:val="00B06485"/>
    <w:rsid w:val="00B06948"/>
    <w:rsid w:val="00B07022"/>
    <w:rsid w:val="00B114D6"/>
    <w:rsid w:val="00B115E5"/>
    <w:rsid w:val="00B116A1"/>
    <w:rsid w:val="00B132F9"/>
    <w:rsid w:val="00B138DC"/>
    <w:rsid w:val="00B16F56"/>
    <w:rsid w:val="00B17A43"/>
    <w:rsid w:val="00B22513"/>
    <w:rsid w:val="00B250D9"/>
    <w:rsid w:val="00B25DA1"/>
    <w:rsid w:val="00B25DB8"/>
    <w:rsid w:val="00B27D03"/>
    <w:rsid w:val="00B27E4E"/>
    <w:rsid w:val="00B305E7"/>
    <w:rsid w:val="00B32019"/>
    <w:rsid w:val="00B321F6"/>
    <w:rsid w:val="00B343C3"/>
    <w:rsid w:val="00B348E9"/>
    <w:rsid w:val="00B36B58"/>
    <w:rsid w:val="00B372AE"/>
    <w:rsid w:val="00B3767F"/>
    <w:rsid w:val="00B4111E"/>
    <w:rsid w:val="00B41C9C"/>
    <w:rsid w:val="00B42A94"/>
    <w:rsid w:val="00B4372F"/>
    <w:rsid w:val="00B43D6F"/>
    <w:rsid w:val="00B44809"/>
    <w:rsid w:val="00B449C1"/>
    <w:rsid w:val="00B45A63"/>
    <w:rsid w:val="00B45DCB"/>
    <w:rsid w:val="00B47944"/>
    <w:rsid w:val="00B47A56"/>
    <w:rsid w:val="00B47F52"/>
    <w:rsid w:val="00B51218"/>
    <w:rsid w:val="00B5280E"/>
    <w:rsid w:val="00B5549F"/>
    <w:rsid w:val="00B5673A"/>
    <w:rsid w:val="00B57C2A"/>
    <w:rsid w:val="00B6050B"/>
    <w:rsid w:val="00B61002"/>
    <w:rsid w:val="00B614D0"/>
    <w:rsid w:val="00B61921"/>
    <w:rsid w:val="00B61B2C"/>
    <w:rsid w:val="00B626B4"/>
    <w:rsid w:val="00B62D85"/>
    <w:rsid w:val="00B6336D"/>
    <w:rsid w:val="00B658B0"/>
    <w:rsid w:val="00B65FB1"/>
    <w:rsid w:val="00B6655D"/>
    <w:rsid w:val="00B6685E"/>
    <w:rsid w:val="00B67312"/>
    <w:rsid w:val="00B673C2"/>
    <w:rsid w:val="00B701B9"/>
    <w:rsid w:val="00B708EE"/>
    <w:rsid w:val="00B7161D"/>
    <w:rsid w:val="00B71AC5"/>
    <w:rsid w:val="00B72CDF"/>
    <w:rsid w:val="00B73809"/>
    <w:rsid w:val="00B74642"/>
    <w:rsid w:val="00B746E3"/>
    <w:rsid w:val="00B7487D"/>
    <w:rsid w:val="00B74EC3"/>
    <w:rsid w:val="00B75213"/>
    <w:rsid w:val="00B75C55"/>
    <w:rsid w:val="00B774D8"/>
    <w:rsid w:val="00B77834"/>
    <w:rsid w:val="00B77F64"/>
    <w:rsid w:val="00B80095"/>
    <w:rsid w:val="00B80AA1"/>
    <w:rsid w:val="00B832CA"/>
    <w:rsid w:val="00B859E4"/>
    <w:rsid w:val="00B861E0"/>
    <w:rsid w:val="00B8795E"/>
    <w:rsid w:val="00B901F2"/>
    <w:rsid w:val="00B90619"/>
    <w:rsid w:val="00B90F1B"/>
    <w:rsid w:val="00B92B2E"/>
    <w:rsid w:val="00B93E87"/>
    <w:rsid w:val="00B94956"/>
    <w:rsid w:val="00BA09FC"/>
    <w:rsid w:val="00BA0D13"/>
    <w:rsid w:val="00BA233A"/>
    <w:rsid w:val="00BA3853"/>
    <w:rsid w:val="00BA45F3"/>
    <w:rsid w:val="00BA5F81"/>
    <w:rsid w:val="00BA678A"/>
    <w:rsid w:val="00BA7E7F"/>
    <w:rsid w:val="00BB02C5"/>
    <w:rsid w:val="00BB0D13"/>
    <w:rsid w:val="00BB1682"/>
    <w:rsid w:val="00BB2C05"/>
    <w:rsid w:val="00BB4163"/>
    <w:rsid w:val="00BB444E"/>
    <w:rsid w:val="00BB4E6F"/>
    <w:rsid w:val="00BB56FC"/>
    <w:rsid w:val="00BB766B"/>
    <w:rsid w:val="00BB7FFE"/>
    <w:rsid w:val="00BC03E4"/>
    <w:rsid w:val="00BC09ED"/>
    <w:rsid w:val="00BC1C2C"/>
    <w:rsid w:val="00BC2524"/>
    <w:rsid w:val="00BC32C8"/>
    <w:rsid w:val="00BC40ED"/>
    <w:rsid w:val="00BC498A"/>
    <w:rsid w:val="00BC5BB6"/>
    <w:rsid w:val="00BC5DA3"/>
    <w:rsid w:val="00BC6A66"/>
    <w:rsid w:val="00BD22E0"/>
    <w:rsid w:val="00BD35E7"/>
    <w:rsid w:val="00BD3A28"/>
    <w:rsid w:val="00BD4387"/>
    <w:rsid w:val="00BD5693"/>
    <w:rsid w:val="00BD6E97"/>
    <w:rsid w:val="00BE12C3"/>
    <w:rsid w:val="00BE1873"/>
    <w:rsid w:val="00BE222E"/>
    <w:rsid w:val="00BE2444"/>
    <w:rsid w:val="00BE29D6"/>
    <w:rsid w:val="00BE3888"/>
    <w:rsid w:val="00BE3D6B"/>
    <w:rsid w:val="00BE4618"/>
    <w:rsid w:val="00BE465B"/>
    <w:rsid w:val="00BE4987"/>
    <w:rsid w:val="00BE6F55"/>
    <w:rsid w:val="00BF77A4"/>
    <w:rsid w:val="00BF7857"/>
    <w:rsid w:val="00C0124A"/>
    <w:rsid w:val="00C01414"/>
    <w:rsid w:val="00C014EF"/>
    <w:rsid w:val="00C02DAF"/>
    <w:rsid w:val="00C04375"/>
    <w:rsid w:val="00C0534D"/>
    <w:rsid w:val="00C06505"/>
    <w:rsid w:val="00C07D4B"/>
    <w:rsid w:val="00C07F1C"/>
    <w:rsid w:val="00C119A1"/>
    <w:rsid w:val="00C13472"/>
    <w:rsid w:val="00C15F80"/>
    <w:rsid w:val="00C16716"/>
    <w:rsid w:val="00C16ED6"/>
    <w:rsid w:val="00C16FFD"/>
    <w:rsid w:val="00C20899"/>
    <w:rsid w:val="00C20FE1"/>
    <w:rsid w:val="00C21425"/>
    <w:rsid w:val="00C215AB"/>
    <w:rsid w:val="00C2297E"/>
    <w:rsid w:val="00C22F56"/>
    <w:rsid w:val="00C24775"/>
    <w:rsid w:val="00C254DC"/>
    <w:rsid w:val="00C25D2E"/>
    <w:rsid w:val="00C31871"/>
    <w:rsid w:val="00C31A17"/>
    <w:rsid w:val="00C31B27"/>
    <w:rsid w:val="00C31DB9"/>
    <w:rsid w:val="00C324EB"/>
    <w:rsid w:val="00C3284F"/>
    <w:rsid w:val="00C3417A"/>
    <w:rsid w:val="00C36465"/>
    <w:rsid w:val="00C403E5"/>
    <w:rsid w:val="00C41B8F"/>
    <w:rsid w:val="00C44AA5"/>
    <w:rsid w:val="00C44F61"/>
    <w:rsid w:val="00C4543F"/>
    <w:rsid w:val="00C45C14"/>
    <w:rsid w:val="00C4600C"/>
    <w:rsid w:val="00C46241"/>
    <w:rsid w:val="00C47E47"/>
    <w:rsid w:val="00C5005E"/>
    <w:rsid w:val="00C50491"/>
    <w:rsid w:val="00C51FBF"/>
    <w:rsid w:val="00C5270B"/>
    <w:rsid w:val="00C53A82"/>
    <w:rsid w:val="00C53D25"/>
    <w:rsid w:val="00C54B15"/>
    <w:rsid w:val="00C55F84"/>
    <w:rsid w:val="00C57911"/>
    <w:rsid w:val="00C61C12"/>
    <w:rsid w:val="00C61D42"/>
    <w:rsid w:val="00C6326A"/>
    <w:rsid w:val="00C63D68"/>
    <w:rsid w:val="00C640E2"/>
    <w:rsid w:val="00C6497D"/>
    <w:rsid w:val="00C666CF"/>
    <w:rsid w:val="00C66E56"/>
    <w:rsid w:val="00C66FCE"/>
    <w:rsid w:val="00C70F7D"/>
    <w:rsid w:val="00C73E01"/>
    <w:rsid w:val="00C74DAB"/>
    <w:rsid w:val="00C7569C"/>
    <w:rsid w:val="00C75E0A"/>
    <w:rsid w:val="00C81023"/>
    <w:rsid w:val="00C8176D"/>
    <w:rsid w:val="00C82DF8"/>
    <w:rsid w:val="00C87573"/>
    <w:rsid w:val="00C87AE9"/>
    <w:rsid w:val="00C90F32"/>
    <w:rsid w:val="00C9153C"/>
    <w:rsid w:val="00C924B5"/>
    <w:rsid w:val="00C94DA2"/>
    <w:rsid w:val="00C95A99"/>
    <w:rsid w:val="00C95CCE"/>
    <w:rsid w:val="00C97473"/>
    <w:rsid w:val="00C97DC0"/>
    <w:rsid w:val="00CA039C"/>
    <w:rsid w:val="00CA1996"/>
    <w:rsid w:val="00CA27E8"/>
    <w:rsid w:val="00CA52AA"/>
    <w:rsid w:val="00CA6299"/>
    <w:rsid w:val="00CA62A8"/>
    <w:rsid w:val="00CA64A4"/>
    <w:rsid w:val="00CA692F"/>
    <w:rsid w:val="00CA716A"/>
    <w:rsid w:val="00CA7BAB"/>
    <w:rsid w:val="00CA7F92"/>
    <w:rsid w:val="00CB06A1"/>
    <w:rsid w:val="00CB1053"/>
    <w:rsid w:val="00CB1E2C"/>
    <w:rsid w:val="00CB3493"/>
    <w:rsid w:val="00CB52E3"/>
    <w:rsid w:val="00CB54F0"/>
    <w:rsid w:val="00CB6269"/>
    <w:rsid w:val="00CB720E"/>
    <w:rsid w:val="00CB76F6"/>
    <w:rsid w:val="00CB7AA7"/>
    <w:rsid w:val="00CC0780"/>
    <w:rsid w:val="00CC127A"/>
    <w:rsid w:val="00CC23FF"/>
    <w:rsid w:val="00CC3A99"/>
    <w:rsid w:val="00CC432E"/>
    <w:rsid w:val="00CC5578"/>
    <w:rsid w:val="00CC5E9E"/>
    <w:rsid w:val="00CC76A6"/>
    <w:rsid w:val="00CC7B23"/>
    <w:rsid w:val="00CC7CE3"/>
    <w:rsid w:val="00CD072B"/>
    <w:rsid w:val="00CD078A"/>
    <w:rsid w:val="00CD2254"/>
    <w:rsid w:val="00CD23D9"/>
    <w:rsid w:val="00CD2959"/>
    <w:rsid w:val="00CD7DC6"/>
    <w:rsid w:val="00CE09AB"/>
    <w:rsid w:val="00CE1266"/>
    <w:rsid w:val="00CE205D"/>
    <w:rsid w:val="00CE23CA"/>
    <w:rsid w:val="00CE3502"/>
    <w:rsid w:val="00CE3928"/>
    <w:rsid w:val="00CE41A1"/>
    <w:rsid w:val="00CE527A"/>
    <w:rsid w:val="00CE6949"/>
    <w:rsid w:val="00CE6DC2"/>
    <w:rsid w:val="00CE7569"/>
    <w:rsid w:val="00CE76F8"/>
    <w:rsid w:val="00CF1722"/>
    <w:rsid w:val="00CF1AC0"/>
    <w:rsid w:val="00CF44B9"/>
    <w:rsid w:val="00CF4A2C"/>
    <w:rsid w:val="00CF4D72"/>
    <w:rsid w:val="00CF59A9"/>
    <w:rsid w:val="00CF59B9"/>
    <w:rsid w:val="00CF6B8A"/>
    <w:rsid w:val="00CF72D9"/>
    <w:rsid w:val="00D01021"/>
    <w:rsid w:val="00D0167B"/>
    <w:rsid w:val="00D01AAA"/>
    <w:rsid w:val="00D01AAE"/>
    <w:rsid w:val="00D02989"/>
    <w:rsid w:val="00D04F4D"/>
    <w:rsid w:val="00D074F7"/>
    <w:rsid w:val="00D07ACB"/>
    <w:rsid w:val="00D11DFC"/>
    <w:rsid w:val="00D1202F"/>
    <w:rsid w:val="00D120C2"/>
    <w:rsid w:val="00D12298"/>
    <w:rsid w:val="00D129B3"/>
    <w:rsid w:val="00D12D53"/>
    <w:rsid w:val="00D12D9A"/>
    <w:rsid w:val="00D13B28"/>
    <w:rsid w:val="00D15F68"/>
    <w:rsid w:val="00D16AE5"/>
    <w:rsid w:val="00D175F4"/>
    <w:rsid w:val="00D17698"/>
    <w:rsid w:val="00D179AA"/>
    <w:rsid w:val="00D17DAF"/>
    <w:rsid w:val="00D200D2"/>
    <w:rsid w:val="00D2020B"/>
    <w:rsid w:val="00D2050C"/>
    <w:rsid w:val="00D2114D"/>
    <w:rsid w:val="00D244AC"/>
    <w:rsid w:val="00D25609"/>
    <w:rsid w:val="00D27A0D"/>
    <w:rsid w:val="00D3032E"/>
    <w:rsid w:val="00D323F5"/>
    <w:rsid w:val="00D36331"/>
    <w:rsid w:val="00D369A5"/>
    <w:rsid w:val="00D42281"/>
    <w:rsid w:val="00D4271C"/>
    <w:rsid w:val="00D42AB2"/>
    <w:rsid w:val="00D44D87"/>
    <w:rsid w:val="00D50A71"/>
    <w:rsid w:val="00D51C07"/>
    <w:rsid w:val="00D52F7F"/>
    <w:rsid w:val="00D54503"/>
    <w:rsid w:val="00D545EF"/>
    <w:rsid w:val="00D54ABF"/>
    <w:rsid w:val="00D56013"/>
    <w:rsid w:val="00D57452"/>
    <w:rsid w:val="00D6276A"/>
    <w:rsid w:val="00D63B5F"/>
    <w:rsid w:val="00D64238"/>
    <w:rsid w:val="00D64354"/>
    <w:rsid w:val="00D663C3"/>
    <w:rsid w:val="00D67504"/>
    <w:rsid w:val="00D702D1"/>
    <w:rsid w:val="00D721BB"/>
    <w:rsid w:val="00D73879"/>
    <w:rsid w:val="00D76640"/>
    <w:rsid w:val="00D76A7F"/>
    <w:rsid w:val="00D803C6"/>
    <w:rsid w:val="00D825D2"/>
    <w:rsid w:val="00D83C5D"/>
    <w:rsid w:val="00D83E31"/>
    <w:rsid w:val="00D85E09"/>
    <w:rsid w:val="00D867F3"/>
    <w:rsid w:val="00D90021"/>
    <w:rsid w:val="00D932BA"/>
    <w:rsid w:val="00D94102"/>
    <w:rsid w:val="00D9563D"/>
    <w:rsid w:val="00D96C39"/>
    <w:rsid w:val="00D96D27"/>
    <w:rsid w:val="00DA0977"/>
    <w:rsid w:val="00DA207E"/>
    <w:rsid w:val="00DA3D26"/>
    <w:rsid w:val="00DA3EC1"/>
    <w:rsid w:val="00DA4CEF"/>
    <w:rsid w:val="00DA50D8"/>
    <w:rsid w:val="00DA5591"/>
    <w:rsid w:val="00DB04D2"/>
    <w:rsid w:val="00DB0D7D"/>
    <w:rsid w:val="00DB1148"/>
    <w:rsid w:val="00DB3318"/>
    <w:rsid w:val="00DB4993"/>
    <w:rsid w:val="00DB533A"/>
    <w:rsid w:val="00DB567D"/>
    <w:rsid w:val="00DB62EB"/>
    <w:rsid w:val="00DB7DC3"/>
    <w:rsid w:val="00DC048C"/>
    <w:rsid w:val="00DC1767"/>
    <w:rsid w:val="00DC6D24"/>
    <w:rsid w:val="00DC7AF2"/>
    <w:rsid w:val="00DD1C10"/>
    <w:rsid w:val="00DD3A46"/>
    <w:rsid w:val="00DD5755"/>
    <w:rsid w:val="00DD71D6"/>
    <w:rsid w:val="00DD73F3"/>
    <w:rsid w:val="00DD796F"/>
    <w:rsid w:val="00DE03EF"/>
    <w:rsid w:val="00DE07E4"/>
    <w:rsid w:val="00DE2587"/>
    <w:rsid w:val="00DE37D5"/>
    <w:rsid w:val="00DE3BB5"/>
    <w:rsid w:val="00DE47A9"/>
    <w:rsid w:val="00DE5D9F"/>
    <w:rsid w:val="00DE67EF"/>
    <w:rsid w:val="00DF14C2"/>
    <w:rsid w:val="00DF1AD7"/>
    <w:rsid w:val="00DF1DF2"/>
    <w:rsid w:val="00DF1FE6"/>
    <w:rsid w:val="00DF2F00"/>
    <w:rsid w:val="00DF6782"/>
    <w:rsid w:val="00E00228"/>
    <w:rsid w:val="00E00BDC"/>
    <w:rsid w:val="00E010B3"/>
    <w:rsid w:val="00E010BE"/>
    <w:rsid w:val="00E0246E"/>
    <w:rsid w:val="00E02BE1"/>
    <w:rsid w:val="00E031A9"/>
    <w:rsid w:val="00E03657"/>
    <w:rsid w:val="00E03A97"/>
    <w:rsid w:val="00E05051"/>
    <w:rsid w:val="00E05C9F"/>
    <w:rsid w:val="00E05E83"/>
    <w:rsid w:val="00E07BB0"/>
    <w:rsid w:val="00E07C78"/>
    <w:rsid w:val="00E1030B"/>
    <w:rsid w:val="00E11305"/>
    <w:rsid w:val="00E12FAE"/>
    <w:rsid w:val="00E16C05"/>
    <w:rsid w:val="00E17949"/>
    <w:rsid w:val="00E21F64"/>
    <w:rsid w:val="00E22F28"/>
    <w:rsid w:val="00E30185"/>
    <w:rsid w:val="00E32EDD"/>
    <w:rsid w:val="00E34AD1"/>
    <w:rsid w:val="00E36195"/>
    <w:rsid w:val="00E36354"/>
    <w:rsid w:val="00E368CE"/>
    <w:rsid w:val="00E36EEA"/>
    <w:rsid w:val="00E40891"/>
    <w:rsid w:val="00E4244A"/>
    <w:rsid w:val="00E434AE"/>
    <w:rsid w:val="00E4447D"/>
    <w:rsid w:val="00E4473B"/>
    <w:rsid w:val="00E447BF"/>
    <w:rsid w:val="00E44880"/>
    <w:rsid w:val="00E44C01"/>
    <w:rsid w:val="00E44E51"/>
    <w:rsid w:val="00E4580C"/>
    <w:rsid w:val="00E461FD"/>
    <w:rsid w:val="00E47294"/>
    <w:rsid w:val="00E47654"/>
    <w:rsid w:val="00E50C74"/>
    <w:rsid w:val="00E5173E"/>
    <w:rsid w:val="00E523AF"/>
    <w:rsid w:val="00E53D8B"/>
    <w:rsid w:val="00E5522C"/>
    <w:rsid w:val="00E553D7"/>
    <w:rsid w:val="00E56531"/>
    <w:rsid w:val="00E573B4"/>
    <w:rsid w:val="00E57950"/>
    <w:rsid w:val="00E57E29"/>
    <w:rsid w:val="00E60FD7"/>
    <w:rsid w:val="00E61F94"/>
    <w:rsid w:val="00E62499"/>
    <w:rsid w:val="00E625D5"/>
    <w:rsid w:val="00E6270B"/>
    <w:rsid w:val="00E65FB0"/>
    <w:rsid w:val="00E66AA3"/>
    <w:rsid w:val="00E678AF"/>
    <w:rsid w:val="00E70B81"/>
    <w:rsid w:val="00E72D69"/>
    <w:rsid w:val="00E74779"/>
    <w:rsid w:val="00E7636F"/>
    <w:rsid w:val="00E7680A"/>
    <w:rsid w:val="00E76AF7"/>
    <w:rsid w:val="00E77B11"/>
    <w:rsid w:val="00E80EB1"/>
    <w:rsid w:val="00E81DF2"/>
    <w:rsid w:val="00E82BDA"/>
    <w:rsid w:val="00E836BD"/>
    <w:rsid w:val="00E849DD"/>
    <w:rsid w:val="00E84AA0"/>
    <w:rsid w:val="00E84C15"/>
    <w:rsid w:val="00E9009D"/>
    <w:rsid w:val="00E90132"/>
    <w:rsid w:val="00E908E8"/>
    <w:rsid w:val="00E90C67"/>
    <w:rsid w:val="00E91685"/>
    <w:rsid w:val="00E92263"/>
    <w:rsid w:val="00E93171"/>
    <w:rsid w:val="00E93853"/>
    <w:rsid w:val="00E940DA"/>
    <w:rsid w:val="00E94CF1"/>
    <w:rsid w:val="00E96C10"/>
    <w:rsid w:val="00E96DA5"/>
    <w:rsid w:val="00E974F5"/>
    <w:rsid w:val="00E97621"/>
    <w:rsid w:val="00EA024A"/>
    <w:rsid w:val="00EA0E41"/>
    <w:rsid w:val="00EA4298"/>
    <w:rsid w:val="00EA44DB"/>
    <w:rsid w:val="00EA44F6"/>
    <w:rsid w:val="00EA611D"/>
    <w:rsid w:val="00EB1B11"/>
    <w:rsid w:val="00EB20B6"/>
    <w:rsid w:val="00EB3E10"/>
    <w:rsid w:val="00EB3FD5"/>
    <w:rsid w:val="00EB4C24"/>
    <w:rsid w:val="00EB5E25"/>
    <w:rsid w:val="00EB7075"/>
    <w:rsid w:val="00EC00E7"/>
    <w:rsid w:val="00EC02A7"/>
    <w:rsid w:val="00EC0A52"/>
    <w:rsid w:val="00EC3510"/>
    <w:rsid w:val="00EC37B8"/>
    <w:rsid w:val="00EC6924"/>
    <w:rsid w:val="00ED0574"/>
    <w:rsid w:val="00ED0F43"/>
    <w:rsid w:val="00ED0F59"/>
    <w:rsid w:val="00ED10D5"/>
    <w:rsid w:val="00ED194C"/>
    <w:rsid w:val="00ED21A4"/>
    <w:rsid w:val="00ED284E"/>
    <w:rsid w:val="00ED3B33"/>
    <w:rsid w:val="00ED416C"/>
    <w:rsid w:val="00ED488E"/>
    <w:rsid w:val="00ED5F54"/>
    <w:rsid w:val="00ED66F3"/>
    <w:rsid w:val="00ED730C"/>
    <w:rsid w:val="00ED7E6D"/>
    <w:rsid w:val="00EE06C0"/>
    <w:rsid w:val="00EE12D5"/>
    <w:rsid w:val="00EE1906"/>
    <w:rsid w:val="00EE2537"/>
    <w:rsid w:val="00EE34A7"/>
    <w:rsid w:val="00EE6481"/>
    <w:rsid w:val="00EE6654"/>
    <w:rsid w:val="00EE6E6D"/>
    <w:rsid w:val="00EF010C"/>
    <w:rsid w:val="00EF01D5"/>
    <w:rsid w:val="00EF2F4C"/>
    <w:rsid w:val="00EF3166"/>
    <w:rsid w:val="00EF3ABF"/>
    <w:rsid w:val="00EF3C93"/>
    <w:rsid w:val="00EF4363"/>
    <w:rsid w:val="00EF4FCB"/>
    <w:rsid w:val="00EF5016"/>
    <w:rsid w:val="00EF606A"/>
    <w:rsid w:val="00EF630E"/>
    <w:rsid w:val="00EF6DDB"/>
    <w:rsid w:val="00EF7374"/>
    <w:rsid w:val="00EF7EB4"/>
    <w:rsid w:val="00F008CA"/>
    <w:rsid w:val="00F018DA"/>
    <w:rsid w:val="00F01BB8"/>
    <w:rsid w:val="00F0237F"/>
    <w:rsid w:val="00F02861"/>
    <w:rsid w:val="00F02B4D"/>
    <w:rsid w:val="00F032E7"/>
    <w:rsid w:val="00F03455"/>
    <w:rsid w:val="00F04B3D"/>
    <w:rsid w:val="00F05FAF"/>
    <w:rsid w:val="00F068AB"/>
    <w:rsid w:val="00F07735"/>
    <w:rsid w:val="00F07F17"/>
    <w:rsid w:val="00F10A96"/>
    <w:rsid w:val="00F13798"/>
    <w:rsid w:val="00F13D25"/>
    <w:rsid w:val="00F13D4D"/>
    <w:rsid w:val="00F150E9"/>
    <w:rsid w:val="00F15283"/>
    <w:rsid w:val="00F16F1A"/>
    <w:rsid w:val="00F20DD8"/>
    <w:rsid w:val="00F234A9"/>
    <w:rsid w:val="00F24CD4"/>
    <w:rsid w:val="00F2731B"/>
    <w:rsid w:val="00F31579"/>
    <w:rsid w:val="00F33834"/>
    <w:rsid w:val="00F35903"/>
    <w:rsid w:val="00F360E0"/>
    <w:rsid w:val="00F36496"/>
    <w:rsid w:val="00F36D93"/>
    <w:rsid w:val="00F419E5"/>
    <w:rsid w:val="00F44808"/>
    <w:rsid w:val="00F458A4"/>
    <w:rsid w:val="00F4687A"/>
    <w:rsid w:val="00F47288"/>
    <w:rsid w:val="00F52045"/>
    <w:rsid w:val="00F5312C"/>
    <w:rsid w:val="00F53218"/>
    <w:rsid w:val="00F53691"/>
    <w:rsid w:val="00F539E2"/>
    <w:rsid w:val="00F53B2E"/>
    <w:rsid w:val="00F554ED"/>
    <w:rsid w:val="00F55CF7"/>
    <w:rsid w:val="00F560A3"/>
    <w:rsid w:val="00F5618B"/>
    <w:rsid w:val="00F56278"/>
    <w:rsid w:val="00F6314C"/>
    <w:rsid w:val="00F6316B"/>
    <w:rsid w:val="00F63C58"/>
    <w:rsid w:val="00F64A20"/>
    <w:rsid w:val="00F65616"/>
    <w:rsid w:val="00F6566A"/>
    <w:rsid w:val="00F67563"/>
    <w:rsid w:val="00F70407"/>
    <w:rsid w:val="00F70D9F"/>
    <w:rsid w:val="00F757DE"/>
    <w:rsid w:val="00F77F49"/>
    <w:rsid w:val="00F8029E"/>
    <w:rsid w:val="00F81462"/>
    <w:rsid w:val="00F817F8"/>
    <w:rsid w:val="00F81EA7"/>
    <w:rsid w:val="00F824A7"/>
    <w:rsid w:val="00F82766"/>
    <w:rsid w:val="00F83087"/>
    <w:rsid w:val="00F830CE"/>
    <w:rsid w:val="00F836EA"/>
    <w:rsid w:val="00F845C2"/>
    <w:rsid w:val="00F84939"/>
    <w:rsid w:val="00F84E0A"/>
    <w:rsid w:val="00F858CF"/>
    <w:rsid w:val="00F86A1A"/>
    <w:rsid w:val="00F86C59"/>
    <w:rsid w:val="00F87557"/>
    <w:rsid w:val="00F90040"/>
    <w:rsid w:val="00F90F4C"/>
    <w:rsid w:val="00F91E90"/>
    <w:rsid w:val="00F928E9"/>
    <w:rsid w:val="00F933D0"/>
    <w:rsid w:val="00F96432"/>
    <w:rsid w:val="00F96BF3"/>
    <w:rsid w:val="00F97293"/>
    <w:rsid w:val="00FA1F5C"/>
    <w:rsid w:val="00FA1FE0"/>
    <w:rsid w:val="00FA21FA"/>
    <w:rsid w:val="00FA35B0"/>
    <w:rsid w:val="00FA3CD7"/>
    <w:rsid w:val="00FA3F6A"/>
    <w:rsid w:val="00FA4089"/>
    <w:rsid w:val="00FA4F6F"/>
    <w:rsid w:val="00FA5AD1"/>
    <w:rsid w:val="00FA5AF7"/>
    <w:rsid w:val="00FA6446"/>
    <w:rsid w:val="00FA77AD"/>
    <w:rsid w:val="00FA77B8"/>
    <w:rsid w:val="00FB019F"/>
    <w:rsid w:val="00FB083B"/>
    <w:rsid w:val="00FB13D3"/>
    <w:rsid w:val="00FB2395"/>
    <w:rsid w:val="00FB2D57"/>
    <w:rsid w:val="00FB2F24"/>
    <w:rsid w:val="00FB41D4"/>
    <w:rsid w:val="00FB4E09"/>
    <w:rsid w:val="00FB6121"/>
    <w:rsid w:val="00FB6322"/>
    <w:rsid w:val="00FB643E"/>
    <w:rsid w:val="00FB7CA2"/>
    <w:rsid w:val="00FC00A5"/>
    <w:rsid w:val="00FC2AF8"/>
    <w:rsid w:val="00FC32C9"/>
    <w:rsid w:val="00FC39B8"/>
    <w:rsid w:val="00FC492C"/>
    <w:rsid w:val="00FC575E"/>
    <w:rsid w:val="00FC60F3"/>
    <w:rsid w:val="00FC6FCE"/>
    <w:rsid w:val="00FC7E47"/>
    <w:rsid w:val="00FD0C92"/>
    <w:rsid w:val="00FD1068"/>
    <w:rsid w:val="00FD1984"/>
    <w:rsid w:val="00FD4097"/>
    <w:rsid w:val="00FD4115"/>
    <w:rsid w:val="00FD6079"/>
    <w:rsid w:val="00FD6698"/>
    <w:rsid w:val="00FD6989"/>
    <w:rsid w:val="00FD73E9"/>
    <w:rsid w:val="00FD7F5C"/>
    <w:rsid w:val="00FE2BE8"/>
    <w:rsid w:val="00FE2D31"/>
    <w:rsid w:val="00FE3072"/>
    <w:rsid w:val="00FE4210"/>
    <w:rsid w:val="00FE4954"/>
    <w:rsid w:val="00FE6574"/>
    <w:rsid w:val="00FF06EC"/>
    <w:rsid w:val="00FF217C"/>
    <w:rsid w:val="00FF364C"/>
    <w:rsid w:val="00FF622D"/>
    <w:rsid w:val="00FF6310"/>
    <w:rsid w:val="00FF65ED"/>
    <w:rsid w:val="00FF6607"/>
    <w:rsid w:val="00FF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9B605"/>
  <w15:docId w15:val="{3A9AF9FD-0DF0-45EF-97E6-833DAD40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487"/>
    <w:pPr>
      <w:spacing w:line="360" w:lineRule="auto"/>
    </w:pPr>
    <w:rPr>
      <w:sz w:val="24"/>
      <w:szCs w:val="20"/>
    </w:rPr>
  </w:style>
  <w:style w:type="paragraph" w:styleId="Heading1">
    <w:name w:val="heading 1"/>
    <w:basedOn w:val="Normal"/>
    <w:next w:val="Normal"/>
    <w:link w:val="Heading1Char"/>
    <w:uiPriority w:val="9"/>
    <w:qFormat/>
    <w:rsid w:val="00001A2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001A2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001A29"/>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001A29"/>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001A29"/>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9F7C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F7C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7C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7C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5488"/>
    <w:rPr>
      <w:sz w:val="16"/>
      <w:szCs w:val="16"/>
    </w:rPr>
  </w:style>
  <w:style w:type="paragraph" w:styleId="CommentText">
    <w:name w:val="annotation text"/>
    <w:basedOn w:val="Normal"/>
    <w:link w:val="CommentTextChar"/>
    <w:uiPriority w:val="99"/>
    <w:unhideWhenUsed/>
    <w:rsid w:val="008D5488"/>
    <w:pPr>
      <w:spacing w:line="240" w:lineRule="auto"/>
    </w:pPr>
    <w:rPr>
      <w:rFonts w:ascii="Calibri" w:eastAsia="Calibri" w:hAnsi="Calibri" w:cs="Times New Roman"/>
    </w:rPr>
  </w:style>
  <w:style w:type="character" w:customStyle="1" w:styleId="CommentTextChar">
    <w:name w:val="Comment Text Char"/>
    <w:basedOn w:val="DefaultParagraphFont"/>
    <w:link w:val="CommentText"/>
    <w:uiPriority w:val="99"/>
    <w:rsid w:val="008D5488"/>
    <w:rPr>
      <w:rFonts w:ascii="Calibri" w:eastAsia="Calibri" w:hAnsi="Calibri" w:cs="Times New Roman"/>
      <w:sz w:val="20"/>
      <w:szCs w:val="20"/>
      <w:lang w:val="en-CA" w:eastAsia="en-CA"/>
    </w:rPr>
  </w:style>
  <w:style w:type="paragraph" w:styleId="Title">
    <w:name w:val="Title"/>
    <w:basedOn w:val="Normal"/>
    <w:next w:val="Normal"/>
    <w:link w:val="TitleChar"/>
    <w:uiPriority w:val="10"/>
    <w:qFormat/>
    <w:rsid w:val="0090050A"/>
    <w:rPr>
      <w:b/>
      <w:caps/>
      <w:color w:val="4F81BD" w:themeColor="accent1"/>
      <w:spacing w:val="10"/>
      <w:kern w:val="28"/>
      <w:sz w:val="28"/>
      <w:szCs w:val="52"/>
    </w:rPr>
  </w:style>
  <w:style w:type="character" w:customStyle="1" w:styleId="TitleChar">
    <w:name w:val="Title Char"/>
    <w:basedOn w:val="DefaultParagraphFont"/>
    <w:link w:val="Title"/>
    <w:uiPriority w:val="10"/>
    <w:rsid w:val="0090050A"/>
    <w:rPr>
      <w:b/>
      <w:caps/>
      <w:color w:val="4F81BD" w:themeColor="accent1"/>
      <w:spacing w:val="10"/>
      <w:kern w:val="28"/>
      <w:sz w:val="28"/>
      <w:szCs w:val="52"/>
    </w:rPr>
  </w:style>
  <w:style w:type="paragraph" w:styleId="BalloonText">
    <w:name w:val="Balloon Text"/>
    <w:basedOn w:val="Normal"/>
    <w:link w:val="BalloonTextChar"/>
    <w:uiPriority w:val="99"/>
    <w:semiHidden/>
    <w:unhideWhenUsed/>
    <w:rsid w:val="008D5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488"/>
    <w:rPr>
      <w:rFonts w:ascii="Tahoma" w:eastAsiaTheme="minorEastAsia" w:hAnsi="Tahoma" w:cs="Tahoma"/>
      <w:sz w:val="16"/>
      <w:szCs w:val="16"/>
      <w:lang w:val="en-CA" w:eastAsia="en-CA"/>
    </w:rPr>
  </w:style>
  <w:style w:type="character" w:styleId="Hyperlink">
    <w:name w:val="Hyperlink"/>
    <w:basedOn w:val="DefaultParagraphFont"/>
    <w:uiPriority w:val="99"/>
    <w:unhideWhenUsed/>
    <w:rsid w:val="002D0E05"/>
    <w:rPr>
      <w:color w:val="0000FF" w:themeColor="hyperlink"/>
      <w:u w:val="single"/>
    </w:rPr>
  </w:style>
  <w:style w:type="character" w:customStyle="1" w:styleId="Heading1Char">
    <w:name w:val="Heading 1 Char"/>
    <w:basedOn w:val="DefaultParagraphFont"/>
    <w:link w:val="Heading1"/>
    <w:uiPriority w:val="9"/>
    <w:rsid w:val="00001A29"/>
    <w:rPr>
      <w:b/>
      <w:bCs/>
      <w: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rsid w:val="00001A29"/>
    <w:rPr>
      <w:caps/>
      <w:spacing w:val="15"/>
      <w:sz w:val="24"/>
      <w:shd w:val="clear" w:color="auto" w:fill="DBE5F1" w:themeFill="accent1" w:themeFillTint="33"/>
    </w:rPr>
  </w:style>
  <w:style w:type="paragraph" w:styleId="EndnoteText">
    <w:name w:val="endnote text"/>
    <w:basedOn w:val="Normal"/>
    <w:link w:val="EndnoteTextChar"/>
    <w:uiPriority w:val="99"/>
    <w:semiHidden/>
    <w:unhideWhenUsed/>
    <w:rsid w:val="005140F6"/>
    <w:pPr>
      <w:spacing w:after="0" w:line="240" w:lineRule="auto"/>
    </w:pPr>
  </w:style>
  <w:style w:type="character" w:customStyle="1" w:styleId="EndnoteTextChar">
    <w:name w:val="Endnote Text Char"/>
    <w:basedOn w:val="DefaultParagraphFont"/>
    <w:link w:val="EndnoteText"/>
    <w:uiPriority w:val="99"/>
    <w:semiHidden/>
    <w:rsid w:val="005140F6"/>
    <w:rPr>
      <w:rFonts w:eastAsiaTheme="minorEastAsia"/>
      <w:sz w:val="20"/>
      <w:szCs w:val="20"/>
      <w:lang w:val="en-CA" w:eastAsia="en-CA"/>
    </w:rPr>
  </w:style>
  <w:style w:type="character" w:styleId="EndnoteReference">
    <w:name w:val="endnote reference"/>
    <w:basedOn w:val="DefaultParagraphFont"/>
    <w:uiPriority w:val="99"/>
    <w:semiHidden/>
    <w:unhideWhenUsed/>
    <w:rsid w:val="005140F6"/>
    <w:rPr>
      <w:vertAlign w:val="superscript"/>
    </w:rPr>
  </w:style>
  <w:style w:type="paragraph" w:styleId="ListParagraph">
    <w:name w:val="List Paragraph"/>
    <w:basedOn w:val="Normal"/>
    <w:uiPriority w:val="34"/>
    <w:qFormat/>
    <w:rsid w:val="009F7CDB"/>
    <w:pPr>
      <w:ind w:left="720"/>
      <w:contextualSpacing/>
    </w:pPr>
  </w:style>
  <w:style w:type="table" w:styleId="TableGrid">
    <w:name w:val="Table Grid"/>
    <w:basedOn w:val="TableNormal"/>
    <w:uiPriority w:val="59"/>
    <w:rsid w:val="00265E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81764B"/>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81764B"/>
    <w:rPr>
      <w:rFonts w:ascii="Calibri" w:eastAsiaTheme="minorEastAsia" w:hAnsi="Calibri" w:cs="Times New Roman"/>
      <w:b/>
      <w:bCs/>
      <w:sz w:val="20"/>
      <w:szCs w:val="20"/>
      <w:lang w:val="en-CA" w:eastAsia="en-CA"/>
    </w:rPr>
  </w:style>
  <w:style w:type="paragraph" w:styleId="DocumentMap">
    <w:name w:val="Document Map"/>
    <w:basedOn w:val="Normal"/>
    <w:link w:val="DocumentMapChar"/>
    <w:uiPriority w:val="99"/>
    <w:semiHidden/>
    <w:unhideWhenUsed/>
    <w:rsid w:val="00104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0430E"/>
    <w:rPr>
      <w:rFonts w:ascii="Tahoma" w:eastAsiaTheme="minorEastAsia" w:hAnsi="Tahoma" w:cs="Tahoma"/>
      <w:sz w:val="16"/>
      <w:szCs w:val="16"/>
      <w:lang w:val="en-CA" w:eastAsia="en-CA"/>
    </w:rPr>
  </w:style>
  <w:style w:type="character" w:customStyle="1" w:styleId="Heading3Char">
    <w:name w:val="Heading 3 Char"/>
    <w:basedOn w:val="DefaultParagraphFont"/>
    <w:link w:val="Heading3"/>
    <w:uiPriority w:val="9"/>
    <w:rsid w:val="00001A29"/>
    <w:rPr>
      <w:caps/>
      <w:color w:val="243F60" w:themeColor="accent1" w:themeShade="7F"/>
      <w:spacing w:val="15"/>
      <w:sz w:val="24"/>
    </w:rPr>
  </w:style>
  <w:style w:type="character" w:customStyle="1" w:styleId="Heading4Char">
    <w:name w:val="Heading 4 Char"/>
    <w:basedOn w:val="DefaultParagraphFont"/>
    <w:link w:val="Heading4"/>
    <w:uiPriority w:val="9"/>
    <w:rsid w:val="00001A29"/>
    <w:rPr>
      <w:caps/>
      <w:color w:val="365F91" w:themeColor="accent1" w:themeShade="BF"/>
      <w:spacing w:val="10"/>
      <w:sz w:val="24"/>
    </w:rPr>
  </w:style>
  <w:style w:type="character" w:customStyle="1" w:styleId="Heading5Char">
    <w:name w:val="Heading 5 Char"/>
    <w:basedOn w:val="DefaultParagraphFont"/>
    <w:link w:val="Heading5"/>
    <w:uiPriority w:val="9"/>
    <w:semiHidden/>
    <w:rsid w:val="00001A29"/>
    <w:rPr>
      <w:caps/>
      <w:color w:val="365F91" w:themeColor="accent1" w:themeShade="BF"/>
      <w:spacing w:val="10"/>
      <w:sz w:val="24"/>
    </w:rPr>
  </w:style>
  <w:style w:type="character" w:customStyle="1" w:styleId="Heading6Char">
    <w:name w:val="Heading 6 Char"/>
    <w:basedOn w:val="DefaultParagraphFont"/>
    <w:link w:val="Heading6"/>
    <w:uiPriority w:val="9"/>
    <w:semiHidden/>
    <w:rsid w:val="009F7CDB"/>
    <w:rPr>
      <w:caps/>
      <w:color w:val="365F91" w:themeColor="accent1" w:themeShade="BF"/>
      <w:spacing w:val="10"/>
    </w:rPr>
  </w:style>
  <w:style w:type="character" w:customStyle="1" w:styleId="Heading7Char">
    <w:name w:val="Heading 7 Char"/>
    <w:basedOn w:val="DefaultParagraphFont"/>
    <w:link w:val="Heading7"/>
    <w:uiPriority w:val="9"/>
    <w:semiHidden/>
    <w:rsid w:val="009F7CDB"/>
    <w:rPr>
      <w:caps/>
      <w:color w:val="365F91" w:themeColor="accent1" w:themeShade="BF"/>
      <w:spacing w:val="10"/>
    </w:rPr>
  </w:style>
  <w:style w:type="character" w:customStyle="1" w:styleId="Heading8Char">
    <w:name w:val="Heading 8 Char"/>
    <w:basedOn w:val="DefaultParagraphFont"/>
    <w:link w:val="Heading8"/>
    <w:uiPriority w:val="9"/>
    <w:semiHidden/>
    <w:rsid w:val="009F7CDB"/>
    <w:rPr>
      <w:caps/>
      <w:spacing w:val="10"/>
      <w:sz w:val="18"/>
      <w:szCs w:val="18"/>
    </w:rPr>
  </w:style>
  <w:style w:type="character" w:customStyle="1" w:styleId="Heading9Char">
    <w:name w:val="Heading 9 Char"/>
    <w:basedOn w:val="DefaultParagraphFont"/>
    <w:link w:val="Heading9"/>
    <w:uiPriority w:val="9"/>
    <w:semiHidden/>
    <w:rsid w:val="009F7CDB"/>
    <w:rPr>
      <w:i/>
      <w:caps/>
      <w:spacing w:val="10"/>
      <w:sz w:val="18"/>
      <w:szCs w:val="18"/>
    </w:rPr>
  </w:style>
  <w:style w:type="paragraph" w:styleId="Caption">
    <w:name w:val="caption"/>
    <w:basedOn w:val="Normal"/>
    <w:next w:val="Normal"/>
    <w:uiPriority w:val="35"/>
    <w:semiHidden/>
    <w:unhideWhenUsed/>
    <w:qFormat/>
    <w:rsid w:val="009F7CDB"/>
    <w:rPr>
      <w:b/>
      <w:bCs/>
      <w:color w:val="365F91" w:themeColor="accent1" w:themeShade="BF"/>
      <w:sz w:val="16"/>
      <w:szCs w:val="16"/>
    </w:rPr>
  </w:style>
  <w:style w:type="paragraph" w:styleId="Subtitle">
    <w:name w:val="Subtitle"/>
    <w:basedOn w:val="Normal"/>
    <w:next w:val="Normal"/>
    <w:link w:val="SubtitleChar"/>
    <w:uiPriority w:val="11"/>
    <w:qFormat/>
    <w:rsid w:val="009F7CDB"/>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F7CDB"/>
    <w:rPr>
      <w:caps/>
      <w:color w:val="595959" w:themeColor="text1" w:themeTint="A6"/>
      <w:spacing w:val="10"/>
      <w:sz w:val="24"/>
      <w:szCs w:val="24"/>
    </w:rPr>
  </w:style>
  <w:style w:type="character" w:styleId="Strong">
    <w:name w:val="Strong"/>
    <w:uiPriority w:val="22"/>
    <w:qFormat/>
    <w:rsid w:val="009F7CDB"/>
    <w:rPr>
      <w:b/>
      <w:bCs/>
    </w:rPr>
  </w:style>
  <w:style w:type="character" w:styleId="Emphasis">
    <w:name w:val="Emphasis"/>
    <w:uiPriority w:val="20"/>
    <w:qFormat/>
    <w:rsid w:val="009F7CDB"/>
    <w:rPr>
      <w:caps/>
      <w:color w:val="243F60" w:themeColor="accent1" w:themeShade="7F"/>
      <w:spacing w:val="5"/>
    </w:rPr>
  </w:style>
  <w:style w:type="paragraph" w:styleId="NoSpacing">
    <w:name w:val="No Spacing"/>
    <w:basedOn w:val="Normal"/>
    <w:link w:val="NoSpacingChar"/>
    <w:uiPriority w:val="1"/>
    <w:qFormat/>
    <w:rsid w:val="009F7CDB"/>
    <w:pPr>
      <w:spacing w:before="0" w:after="0" w:line="240" w:lineRule="auto"/>
    </w:pPr>
  </w:style>
  <w:style w:type="character" w:customStyle="1" w:styleId="NoSpacingChar">
    <w:name w:val="No Spacing Char"/>
    <w:basedOn w:val="DefaultParagraphFont"/>
    <w:link w:val="NoSpacing"/>
    <w:uiPriority w:val="1"/>
    <w:rsid w:val="009F7CDB"/>
    <w:rPr>
      <w:sz w:val="20"/>
      <w:szCs w:val="20"/>
    </w:rPr>
  </w:style>
  <w:style w:type="paragraph" w:styleId="Quote">
    <w:name w:val="Quote"/>
    <w:basedOn w:val="Normal"/>
    <w:next w:val="Normal"/>
    <w:link w:val="QuoteChar"/>
    <w:uiPriority w:val="29"/>
    <w:qFormat/>
    <w:rsid w:val="009F7CDB"/>
    <w:rPr>
      <w:i/>
      <w:iCs/>
    </w:rPr>
  </w:style>
  <w:style w:type="character" w:customStyle="1" w:styleId="QuoteChar">
    <w:name w:val="Quote Char"/>
    <w:basedOn w:val="DefaultParagraphFont"/>
    <w:link w:val="Quote"/>
    <w:uiPriority w:val="29"/>
    <w:rsid w:val="009F7CDB"/>
    <w:rPr>
      <w:i/>
      <w:iCs/>
      <w:sz w:val="20"/>
      <w:szCs w:val="20"/>
    </w:rPr>
  </w:style>
  <w:style w:type="paragraph" w:styleId="IntenseQuote">
    <w:name w:val="Intense Quote"/>
    <w:basedOn w:val="Normal"/>
    <w:next w:val="Normal"/>
    <w:link w:val="IntenseQuoteChar"/>
    <w:uiPriority w:val="30"/>
    <w:qFormat/>
    <w:rsid w:val="009F7C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7CDB"/>
    <w:rPr>
      <w:i/>
      <w:iCs/>
      <w:color w:val="4F81BD" w:themeColor="accent1"/>
      <w:sz w:val="20"/>
      <w:szCs w:val="20"/>
    </w:rPr>
  </w:style>
  <w:style w:type="character" w:styleId="SubtleEmphasis">
    <w:name w:val="Subtle Emphasis"/>
    <w:uiPriority w:val="19"/>
    <w:qFormat/>
    <w:rsid w:val="009F7CDB"/>
    <w:rPr>
      <w:i/>
      <w:iCs/>
      <w:color w:val="243F60" w:themeColor="accent1" w:themeShade="7F"/>
    </w:rPr>
  </w:style>
  <w:style w:type="character" w:styleId="IntenseEmphasis">
    <w:name w:val="Intense Emphasis"/>
    <w:uiPriority w:val="21"/>
    <w:qFormat/>
    <w:rsid w:val="009F7CDB"/>
    <w:rPr>
      <w:b/>
      <w:bCs/>
      <w:caps/>
      <w:color w:val="243F60" w:themeColor="accent1" w:themeShade="7F"/>
      <w:spacing w:val="10"/>
    </w:rPr>
  </w:style>
  <w:style w:type="character" w:styleId="SubtleReference">
    <w:name w:val="Subtle Reference"/>
    <w:uiPriority w:val="31"/>
    <w:qFormat/>
    <w:rsid w:val="009F7CDB"/>
    <w:rPr>
      <w:b/>
      <w:bCs/>
      <w:color w:val="4F81BD" w:themeColor="accent1"/>
    </w:rPr>
  </w:style>
  <w:style w:type="character" w:styleId="IntenseReference">
    <w:name w:val="Intense Reference"/>
    <w:uiPriority w:val="32"/>
    <w:qFormat/>
    <w:rsid w:val="009F7CDB"/>
    <w:rPr>
      <w:b/>
      <w:bCs/>
      <w:i/>
      <w:iCs/>
      <w:caps/>
      <w:color w:val="4F81BD" w:themeColor="accent1"/>
    </w:rPr>
  </w:style>
  <w:style w:type="character" w:styleId="BookTitle">
    <w:name w:val="Book Title"/>
    <w:uiPriority w:val="33"/>
    <w:qFormat/>
    <w:rsid w:val="009F7CDB"/>
    <w:rPr>
      <w:b/>
      <w:bCs/>
      <w:i/>
      <w:iCs/>
      <w:spacing w:val="9"/>
    </w:rPr>
  </w:style>
  <w:style w:type="paragraph" w:styleId="TOCHeading">
    <w:name w:val="TOC Heading"/>
    <w:basedOn w:val="Heading1"/>
    <w:next w:val="Normal"/>
    <w:uiPriority w:val="39"/>
    <w:semiHidden/>
    <w:unhideWhenUsed/>
    <w:qFormat/>
    <w:rsid w:val="009F7CDB"/>
    <w:pPr>
      <w:outlineLvl w:val="9"/>
    </w:pPr>
  </w:style>
  <w:style w:type="character" w:customStyle="1" w:styleId="apple-converted-space">
    <w:name w:val="apple-converted-space"/>
    <w:basedOn w:val="DefaultParagraphFont"/>
    <w:rsid w:val="001D4941"/>
  </w:style>
  <w:style w:type="paragraph" w:styleId="Bibliography">
    <w:name w:val="Bibliography"/>
    <w:basedOn w:val="Normal"/>
    <w:next w:val="Normal"/>
    <w:uiPriority w:val="37"/>
    <w:unhideWhenUsed/>
    <w:rsid w:val="00C63D68"/>
    <w:pPr>
      <w:tabs>
        <w:tab w:val="left" w:pos="384"/>
      </w:tabs>
      <w:spacing w:after="0"/>
      <w:ind w:left="384" w:hanging="384"/>
    </w:pPr>
  </w:style>
  <w:style w:type="character" w:styleId="FollowedHyperlink">
    <w:name w:val="FollowedHyperlink"/>
    <w:basedOn w:val="DefaultParagraphFont"/>
    <w:uiPriority w:val="99"/>
    <w:semiHidden/>
    <w:unhideWhenUsed/>
    <w:rsid w:val="00DA4CEF"/>
    <w:rPr>
      <w:color w:val="800080" w:themeColor="followedHyperlink"/>
      <w:u w:val="single"/>
    </w:rPr>
  </w:style>
  <w:style w:type="paragraph" w:styleId="NormalWeb">
    <w:name w:val="Normal (Web)"/>
    <w:basedOn w:val="Normal"/>
    <w:uiPriority w:val="99"/>
    <w:semiHidden/>
    <w:unhideWhenUsed/>
    <w:rsid w:val="009B1FAF"/>
    <w:pPr>
      <w:spacing w:before="100" w:beforeAutospacing="1" w:after="100" w:afterAutospacing="1" w:line="240" w:lineRule="auto"/>
    </w:pPr>
    <w:rPr>
      <w:rFonts w:ascii="Times New Roman" w:hAnsi="Times New Roman" w:cs="Times New Roman"/>
      <w:szCs w:val="24"/>
      <w:lang w:bidi="ar-SA"/>
    </w:rPr>
  </w:style>
  <w:style w:type="paragraph" w:styleId="Header">
    <w:name w:val="header"/>
    <w:basedOn w:val="Normal"/>
    <w:link w:val="HeaderChar"/>
    <w:uiPriority w:val="99"/>
    <w:unhideWhenUsed/>
    <w:rsid w:val="000B389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389B"/>
    <w:rPr>
      <w:sz w:val="20"/>
      <w:szCs w:val="20"/>
    </w:rPr>
  </w:style>
  <w:style w:type="paragraph" w:styleId="Footer">
    <w:name w:val="footer"/>
    <w:basedOn w:val="Normal"/>
    <w:link w:val="FooterChar"/>
    <w:uiPriority w:val="99"/>
    <w:unhideWhenUsed/>
    <w:rsid w:val="000B389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389B"/>
    <w:rPr>
      <w:sz w:val="20"/>
      <w:szCs w:val="20"/>
    </w:rPr>
  </w:style>
  <w:style w:type="paragraph" w:styleId="Revision">
    <w:name w:val="Revision"/>
    <w:hidden/>
    <w:uiPriority w:val="99"/>
    <w:semiHidden/>
    <w:rsid w:val="00636C20"/>
    <w:pPr>
      <w:spacing w:before="0" w:after="0" w:line="240" w:lineRule="auto"/>
    </w:pPr>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9808">
      <w:bodyDiv w:val="1"/>
      <w:marLeft w:val="0"/>
      <w:marRight w:val="0"/>
      <w:marTop w:val="0"/>
      <w:marBottom w:val="0"/>
      <w:divBdr>
        <w:top w:val="none" w:sz="0" w:space="0" w:color="auto"/>
        <w:left w:val="none" w:sz="0" w:space="0" w:color="auto"/>
        <w:bottom w:val="none" w:sz="0" w:space="0" w:color="auto"/>
        <w:right w:val="none" w:sz="0" w:space="0" w:color="auto"/>
      </w:divBdr>
    </w:div>
    <w:div w:id="111749529">
      <w:bodyDiv w:val="1"/>
      <w:marLeft w:val="0"/>
      <w:marRight w:val="0"/>
      <w:marTop w:val="0"/>
      <w:marBottom w:val="0"/>
      <w:divBdr>
        <w:top w:val="none" w:sz="0" w:space="0" w:color="auto"/>
        <w:left w:val="none" w:sz="0" w:space="0" w:color="auto"/>
        <w:bottom w:val="none" w:sz="0" w:space="0" w:color="auto"/>
        <w:right w:val="none" w:sz="0" w:space="0" w:color="auto"/>
      </w:divBdr>
    </w:div>
    <w:div w:id="124390307">
      <w:bodyDiv w:val="1"/>
      <w:marLeft w:val="0"/>
      <w:marRight w:val="0"/>
      <w:marTop w:val="0"/>
      <w:marBottom w:val="0"/>
      <w:divBdr>
        <w:top w:val="none" w:sz="0" w:space="0" w:color="auto"/>
        <w:left w:val="none" w:sz="0" w:space="0" w:color="auto"/>
        <w:bottom w:val="none" w:sz="0" w:space="0" w:color="auto"/>
        <w:right w:val="none" w:sz="0" w:space="0" w:color="auto"/>
      </w:divBdr>
    </w:div>
    <w:div w:id="187986106">
      <w:bodyDiv w:val="1"/>
      <w:marLeft w:val="0"/>
      <w:marRight w:val="0"/>
      <w:marTop w:val="0"/>
      <w:marBottom w:val="0"/>
      <w:divBdr>
        <w:top w:val="none" w:sz="0" w:space="0" w:color="auto"/>
        <w:left w:val="none" w:sz="0" w:space="0" w:color="auto"/>
        <w:bottom w:val="none" w:sz="0" w:space="0" w:color="auto"/>
        <w:right w:val="none" w:sz="0" w:space="0" w:color="auto"/>
      </w:divBdr>
    </w:div>
    <w:div w:id="190841682">
      <w:bodyDiv w:val="1"/>
      <w:marLeft w:val="0"/>
      <w:marRight w:val="0"/>
      <w:marTop w:val="0"/>
      <w:marBottom w:val="0"/>
      <w:divBdr>
        <w:top w:val="none" w:sz="0" w:space="0" w:color="auto"/>
        <w:left w:val="none" w:sz="0" w:space="0" w:color="auto"/>
        <w:bottom w:val="none" w:sz="0" w:space="0" w:color="auto"/>
        <w:right w:val="none" w:sz="0" w:space="0" w:color="auto"/>
      </w:divBdr>
    </w:div>
    <w:div w:id="213928465">
      <w:bodyDiv w:val="1"/>
      <w:marLeft w:val="0"/>
      <w:marRight w:val="0"/>
      <w:marTop w:val="0"/>
      <w:marBottom w:val="0"/>
      <w:divBdr>
        <w:top w:val="none" w:sz="0" w:space="0" w:color="auto"/>
        <w:left w:val="none" w:sz="0" w:space="0" w:color="auto"/>
        <w:bottom w:val="none" w:sz="0" w:space="0" w:color="auto"/>
        <w:right w:val="none" w:sz="0" w:space="0" w:color="auto"/>
      </w:divBdr>
      <w:divsChild>
        <w:div w:id="1117602510">
          <w:marLeft w:val="0"/>
          <w:marRight w:val="0"/>
          <w:marTop w:val="0"/>
          <w:marBottom w:val="0"/>
          <w:divBdr>
            <w:top w:val="none" w:sz="0" w:space="0" w:color="auto"/>
            <w:left w:val="none" w:sz="0" w:space="0" w:color="auto"/>
            <w:bottom w:val="none" w:sz="0" w:space="0" w:color="auto"/>
            <w:right w:val="none" w:sz="0" w:space="0" w:color="auto"/>
          </w:divBdr>
        </w:div>
        <w:div w:id="2070573796">
          <w:marLeft w:val="0"/>
          <w:marRight w:val="0"/>
          <w:marTop w:val="0"/>
          <w:marBottom w:val="0"/>
          <w:divBdr>
            <w:top w:val="none" w:sz="0" w:space="0" w:color="auto"/>
            <w:left w:val="none" w:sz="0" w:space="0" w:color="auto"/>
            <w:bottom w:val="none" w:sz="0" w:space="0" w:color="auto"/>
            <w:right w:val="none" w:sz="0" w:space="0" w:color="auto"/>
          </w:divBdr>
        </w:div>
        <w:div w:id="935557275">
          <w:marLeft w:val="0"/>
          <w:marRight w:val="0"/>
          <w:marTop w:val="0"/>
          <w:marBottom w:val="0"/>
          <w:divBdr>
            <w:top w:val="none" w:sz="0" w:space="0" w:color="auto"/>
            <w:left w:val="none" w:sz="0" w:space="0" w:color="auto"/>
            <w:bottom w:val="none" w:sz="0" w:space="0" w:color="auto"/>
            <w:right w:val="none" w:sz="0" w:space="0" w:color="auto"/>
          </w:divBdr>
        </w:div>
        <w:div w:id="1949119279">
          <w:marLeft w:val="0"/>
          <w:marRight w:val="0"/>
          <w:marTop w:val="0"/>
          <w:marBottom w:val="0"/>
          <w:divBdr>
            <w:top w:val="none" w:sz="0" w:space="0" w:color="auto"/>
            <w:left w:val="none" w:sz="0" w:space="0" w:color="auto"/>
            <w:bottom w:val="none" w:sz="0" w:space="0" w:color="auto"/>
            <w:right w:val="none" w:sz="0" w:space="0" w:color="auto"/>
          </w:divBdr>
        </w:div>
        <w:div w:id="729232395">
          <w:marLeft w:val="0"/>
          <w:marRight w:val="0"/>
          <w:marTop w:val="0"/>
          <w:marBottom w:val="0"/>
          <w:divBdr>
            <w:top w:val="none" w:sz="0" w:space="0" w:color="auto"/>
            <w:left w:val="none" w:sz="0" w:space="0" w:color="auto"/>
            <w:bottom w:val="none" w:sz="0" w:space="0" w:color="auto"/>
            <w:right w:val="none" w:sz="0" w:space="0" w:color="auto"/>
          </w:divBdr>
        </w:div>
        <w:div w:id="304241165">
          <w:marLeft w:val="0"/>
          <w:marRight w:val="0"/>
          <w:marTop w:val="0"/>
          <w:marBottom w:val="0"/>
          <w:divBdr>
            <w:top w:val="none" w:sz="0" w:space="0" w:color="auto"/>
            <w:left w:val="none" w:sz="0" w:space="0" w:color="auto"/>
            <w:bottom w:val="none" w:sz="0" w:space="0" w:color="auto"/>
            <w:right w:val="none" w:sz="0" w:space="0" w:color="auto"/>
          </w:divBdr>
        </w:div>
        <w:div w:id="1290818182">
          <w:marLeft w:val="0"/>
          <w:marRight w:val="0"/>
          <w:marTop w:val="0"/>
          <w:marBottom w:val="0"/>
          <w:divBdr>
            <w:top w:val="none" w:sz="0" w:space="0" w:color="auto"/>
            <w:left w:val="none" w:sz="0" w:space="0" w:color="auto"/>
            <w:bottom w:val="none" w:sz="0" w:space="0" w:color="auto"/>
            <w:right w:val="none" w:sz="0" w:space="0" w:color="auto"/>
          </w:divBdr>
        </w:div>
        <w:div w:id="1962566446">
          <w:marLeft w:val="0"/>
          <w:marRight w:val="0"/>
          <w:marTop w:val="0"/>
          <w:marBottom w:val="0"/>
          <w:divBdr>
            <w:top w:val="none" w:sz="0" w:space="0" w:color="auto"/>
            <w:left w:val="none" w:sz="0" w:space="0" w:color="auto"/>
            <w:bottom w:val="none" w:sz="0" w:space="0" w:color="auto"/>
            <w:right w:val="none" w:sz="0" w:space="0" w:color="auto"/>
          </w:divBdr>
        </w:div>
        <w:div w:id="77168227">
          <w:marLeft w:val="0"/>
          <w:marRight w:val="0"/>
          <w:marTop w:val="0"/>
          <w:marBottom w:val="0"/>
          <w:divBdr>
            <w:top w:val="none" w:sz="0" w:space="0" w:color="auto"/>
            <w:left w:val="none" w:sz="0" w:space="0" w:color="auto"/>
            <w:bottom w:val="none" w:sz="0" w:space="0" w:color="auto"/>
            <w:right w:val="none" w:sz="0" w:space="0" w:color="auto"/>
          </w:divBdr>
        </w:div>
        <w:div w:id="960651447">
          <w:marLeft w:val="0"/>
          <w:marRight w:val="0"/>
          <w:marTop w:val="0"/>
          <w:marBottom w:val="0"/>
          <w:divBdr>
            <w:top w:val="none" w:sz="0" w:space="0" w:color="auto"/>
            <w:left w:val="none" w:sz="0" w:space="0" w:color="auto"/>
            <w:bottom w:val="none" w:sz="0" w:space="0" w:color="auto"/>
            <w:right w:val="none" w:sz="0" w:space="0" w:color="auto"/>
          </w:divBdr>
        </w:div>
        <w:div w:id="2143185992">
          <w:marLeft w:val="0"/>
          <w:marRight w:val="0"/>
          <w:marTop w:val="0"/>
          <w:marBottom w:val="0"/>
          <w:divBdr>
            <w:top w:val="none" w:sz="0" w:space="0" w:color="auto"/>
            <w:left w:val="none" w:sz="0" w:space="0" w:color="auto"/>
            <w:bottom w:val="none" w:sz="0" w:space="0" w:color="auto"/>
            <w:right w:val="none" w:sz="0" w:space="0" w:color="auto"/>
          </w:divBdr>
        </w:div>
        <w:div w:id="798456912">
          <w:marLeft w:val="0"/>
          <w:marRight w:val="0"/>
          <w:marTop w:val="0"/>
          <w:marBottom w:val="0"/>
          <w:divBdr>
            <w:top w:val="none" w:sz="0" w:space="0" w:color="auto"/>
            <w:left w:val="none" w:sz="0" w:space="0" w:color="auto"/>
            <w:bottom w:val="none" w:sz="0" w:space="0" w:color="auto"/>
            <w:right w:val="none" w:sz="0" w:space="0" w:color="auto"/>
          </w:divBdr>
        </w:div>
        <w:div w:id="1220747785">
          <w:marLeft w:val="0"/>
          <w:marRight w:val="0"/>
          <w:marTop w:val="0"/>
          <w:marBottom w:val="0"/>
          <w:divBdr>
            <w:top w:val="none" w:sz="0" w:space="0" w:color="auto"/>
            <w:left w:val="none" w:sz="0" w:space="0" w:color="auto"/>
            <w:bottom w:val="none" w:sz="0" w:space="0" w:color="auto"/>
            <w:right w:val="none" w:sz="0" w:space="0" w:color="auto"/>
          </w:divBdr>
        </w:div>
        <w:div w:id="1464693853">
          <w:marLeft w:val="0"/>
          <w:marRight w:val="0"/>
          <w:marTop w:val="0"/>
          <w:marBottom w:val="0"/>
          <w:divBdr>
            <w:top w:val="none" w:sz="0" w:space="0" w:color="auto"/>
            <w:left w:val="none" w:sz="0" w:space="0" w:color="auto"/>
            <w:bottom w:val="none" w:sz="0" w:space="0" w:color="auto"/>
            <w:right w:val="none" w:sz="0" w:space="0" w:color="auto"/>
          </w:divBdr>
        </w:div>
        <w:div w:id="991562327">
          <w:marLeft w:val="0"/>
          <w:marRight w:val="0"/>
          <w:marTop w:val="0"/>
          <w:marBottom w:val="0"/>
          <w:divBdr>
            <w:top w:val="none" w:sz="0" w:space="0" w:color="auto"/>
            <w:left w:val="none" w:sz="0" w:space="0" w:color="auto"/>
            <w:bottom w:val="none" w:sz="0" w:space="0" w:color="auto"/>
            <w:right w:val="none" w:sz="0" w:space="0" w:color="auto"/>
          </w:divBdr>
        </w:div>
        <w:div w:id="963272548">
          <w:marLeft w:val="0"/>
          <w:marRight w:val="0"/>
          <w:marTop w:val="0"/>
          <w:marBottom w:val="0"/>
          <w:divBdr>
            <w:top w:val="none" w:sz="0" w:space="0" w:color="auto"/>
            <w:left w:val="none" w:sz="0" w:space="0" w:color="auto"/>
            <w:bottom w:val="none" w:sz="0" w:space="0" w:color="auto"/>
            <w:right w:val="none" w:sz="0" w:space="0" w:color="auto"/>
          </w:divBdr>
        </w:div>
        <w:div w:id="664550053">
          <w:marLeft w:val="0"/>
          <w:marRight w:val="0"/>
          <w:marTop w:val="0"/>
          <w:marBottom w:val="0"/>
          <w:divBdr>
            <w:top w:val="none" w:sz="0" w:space="0" w:color="auto"/>
            <w:left w:val="none" w:sz="0" w:space="0" w:color="auto"/>
            <w:bottom w:val="none" w:sz="0" w:space="0" w:color="auto"/>
            <w:right w:val="none" w:sz="0" w:space="0" w:color="auto"/>
          </w:divBdr>
        </w:div>
        <w:div w:id="1821459213">
          <w:marLeft w:val="0"/>
          <w:marRight w:val="0"/>
          <w:marTop w:val="0"/>
          <w:marBottom w:val="0"/>
          <w:divBdr>
            <w:top w:val="none" w:sz="0" w:space="0" w:color="auto"/>
            <w:left w:val="none" w:sz="0" w:space="0" w:color="auto"/>
            <w:bottom w:val="none" w:sz="0" w:space="0" w:color="auto"/>
            <w:right w:val="none" w:sz="0" w:space="0" w:color="auto"/>
          </w:divBdr>
        </w:div>
        <w:div w:id="2027444026">
          <w:marLeft w:val="0"/>
          <w:marRight w:val="0"/>
          <w:marTop w:val="0"/>
          <w:marBottom w:val="0"/>
          <w:divBdr>
            <w:top w:val="none" w:sz="0" w:space="0" w:color="auto"/>
            <w:left w:val="none" w:sz="0" w:space="0" w:color="auto"/>
            <w:bottom w:val="none" w:sz="0" w:space="0" w:color="auto"/>
            <w:right w:val="none" w:sz="0" w:space="0" w:color="auto"/>
          </w:divBdr>
        </w:div>
        <w:div w:id="1770393091">
          <w:marLeft w:val="0"/>
          <w:marRight w:val="0"/>
          <w:marTop w:val="0"/>
          <w:marBottom w:val="0"/>
          <w:divBdr>
            <w:top w:val="none" w:sz="0" w:space="0" w:color="auto"/>
            <w:left w:val="none" w:sz="0" w:space="0" w:color="auto"/>
            <w:bottom w:val="none" w:sz="0" w:space="0" w:color="auto"/>
            <w:right w:val="none" w:sz="0" w:space="0" w:color="auto"/>
          </w:divBdr>
        </w:div>
        <w:div w:id="637610159">
          <w:marLeft w:val="0"/>
          <w:marRight w:val="0"/>
          <w:marTop w:val="0"/>
          <w:marBottom w:val="0"/>
          <w:divBdr>
            <w:top w:val="none" w:sz="0" w:space="0" w:color="auto"/>
            <w:left w:val="none" w:sz="0" w:space="0" w:color="auto"/>
            <w:bottom w:val="none" w:sz="0" w:space="0" w:color="auto"/>
            <w:right w:val="none" w:sz="0" w:space="0" w:color="auto"/>
          </w:divBdr>
        </w:div>
        <w:div w:id="1184708352">
          <w:marLeft w:val="0"/>
          <w:marRight w:val="0"/>
          <w:marTop w:val="0"/>
          <w:marBottom w:val="0"/>
          <w:divBdr>
            <w:top w:val="none" w:sz="0" w:space="0" w:color="auto"/>
            <w:left w:val="none" w:sz="0" w:space="0" w:color="auto"/>
            <w:bottom w:val="none" w:sz="0" w:space="0" w:color="auto"/>
            <w:right w:val="none" w:sz="0" w:space="0" w:color="auto"/>
          </w:divBdr>
        </w:div>
        <w:div w:id="270665914">
          <w:marLeft w:val="0"/>
          <w:marRight w:val="0"/>
          <w:marTop w:val="0"/>
          <w:marBottom w:val="0"/>
          <w:divBdr>
            <w:top w:val="none" w:sz="0" w:space="0" w:color="auto"/>
            <w:left w:val="none" w:sz="0" w:space="0" w:color="auto"/>
            <w:bottom w:val="none" w:sz="0" w:space="0" w:color="auto"/>
            <w:right w:val="none" w:sz="0" w:space="0" w:color="auto"/>
          </w:divBdr>
        </w:div>
        <w:div w:id="1658535440">
          <w:marLeft w:val="0"/>
          <w:marRight w:val="0"/>
          <w:marTop w:val="0"/>
          <w:marBottom w:val="0"/>
          <w:divBdr>
            <w:top w:val="none" w:sz="0" w:space="0" w:color="auto"/>
            <w:left w:val="none" w:sz="0" w:space="0" w:color="auto"/>
            <w:bottom w:val="none" w:sz="0" w:space="0" w:color="auto"/>
            <w:right w:val="none" w:sz="0" w:space="0" w:color="auto"/>
          </w:divBdr>
        </w:div>
        <w:div w:id="152645319">
          <w:marLeft w:val="0"/>
          <w:marRight w:val="0"/>
          <w:marTop w:val="0"/>
          <w:marBottom w:val="0"/>
          <w:divBdr>
            <w:top w:val="none" w:sz="0" w:space="0" w:color="auto"/>
            <w:left w:val="none" w:sz="0" w:space="0" w:color="auto"/>
            <w:bottom w:val="none" w:sz="0" w:space="0" w:color="auto"/>
            <w:right w:val="none" w:sz="0" w:space="0" w:color="auto"/>
          </w:divBdr>
        </w:div>
        <w:div w:id="521943336">
          <w:marLeft w:val="0"/>
          <w:marRight w:val="0"/>
          <w:marTop w:val="0"/>
          <w:marBottom w:val="0"/>
          <w:divBdr>
            <w:top w:val="none" w:sz="0" w:space="0" w:color="auto"/>
            <w:left w:val="none" w:sz="0" w:space="0" w:color="auto"/>
            <w:bottom w:val="none" w:sz="0" w:space="0" w:color="auto"/>
            <w:right w:val="none" w:sz="0" w:space="0" w:color="auto"/>
          </w:divBdr>
        </w:div>
        <w:div w:id="1157573292">
          <w:marLeft w:val="0"/>
          <w:marRight w:val="0"/>
          <w:marTop w:val="0"/>
          <w:marBottom w:val="0"/>
          <w:divBdr>
            <w:top w:val="none" w:sz="0" w:space="0" w:color="auto"/>
            <w:left w:val="none" w:sz="0" w:space="0" w:color="auto"/>
            <w:bottom w:val="none" w:sz="0" w:space="0" w:color="auto"/>
            <w:right w:val="none" w:sz="0" w:space="0" w:color="auto"/>
          </w:divBdr>
        </w:div>
        <w:div w:id="783692896">
          <w:marLeft w:val="0"/>
          <w:marRight w:val="0"/>
          <w:marTop w:val="0"/>
          <w:marBottom w:val="0"/>
          <w:divBdr>
            <w:top w:val="none" w:sz="0" w:space="0" w:color="auto"/>
            <w:left w:val="none" w:sz="0" w:space="0" w:color="auto"/>
            <w:bottom w:val="none" w:sz="0" w:space="0" w:color="auto"/>
            <w:right w:val="none" w:sz="0" w:space="0" w:color="auto"/>
          </w:divBdr>
        </w:div>
        <w:div w:id="1466698106">
          <w:marLeft w:val="0"/>
          <w:marRight w:val="0"/>
          <w:marTop w:val="0"/>
          <w:marBottom w:val="0"/>
          <w:divBdr>
            <w:top w:val="none" w:sz="0" w:space="0" w:color="auto"/>
            <w:left w:val="none" w:sz="0" w:space="0" w:color="auto"/>
            <w:bottom w:val="none" w:sz="0" w:space="0" w:color="auto"/>
            <w:right w:val="none" w:sz="0" w:space="0" w:color="auto"/>
          </w:divBdr>
        </w:div>
        <w:div w:id="314342427">
          <w:marLeft w:val="0"/>
          <w:marRight w:val="0"/>
          <w:marTop w:val="0"/>
          <w:marBottom w:val="0"/>
          <w:divBdr>
            <w:top w:val="none" w:sz="0" w:space="0" w:color="auto"/>
            <w:left w:val="none" w:sz="0" w:space="0" w:color="auto"/>
            <w:bottom w:val="none" w:sz="0" w:space="0" w:color="auto"/>
            <w:right w:val="none" w:sz="0" w:space="0" w:color="auto"/>
          </w:divBdr>
        </w:div>
        <w:div w:id="838615046">
          <w:marLeft w:val="0"/>
          <w:marRight w:val="0"/>
          <w:marTop w:val="0"/>
          <w:marBottom w:val="0"/>
          <w:divBdr>
            <w:top w:val="none" w:sz="0" w:space="0" w:color="auto"/>
            <w:left w:val="none" w:sz="0" w:space="0" w:color="auto"/>
            <w:bottom w:val="none" w:sz="0" w:space="0" w:color="auto"/>
            <w:right w:val="none" w:sz="0" w:space="0" w:color="auto"/>
          </w:divBdr>
        </w:div>
        <w:div w:id="1137534141">
          <w:marLeft w:val="0"/>
          <w:marRight w:val="0"/>
          <w:marTop w:val="0"/>
          <w:marBottom w:val="0"/>
          <w:divBdr>
            <w:top w:val="none" w:sz="0" w:space="0" w:color="auto"/>
            <w:left w:val="none" w:sz="0" w:space="0" w:color="auto"/>
            <w:bottom w:val="none" w:sz="0" w:space="0" w:color="auto"/>
            <w:right w:val="none" w:sz="0" w:space="0" w:color="auto"/>
          </w:divBdr>
        </w:div>
        <w:div w:id="1207834076">
          <w:marLeft w:val="0"/>
          <w:marRight w:val="0"/>
          <w:marTop w:val="0"/>
          <w:marBottom w:val="0"/>
          <w:divBdr>
            <w:top w:val="none" w:sz="0" w:space="0" w:color="auto"/>
            <w:left w:val="none" w:sz="0" w:space="0" w:color="auto"/>
            <w:bottom w:val="none" w:sz="0" w:space="0" w:color="auto"/>
            <w:right w:val="none" w:sz="0" w:space="0" w:color="auto"/>
          </w:divBdr>
        </w:div>
        <w:div w:id="497842716">
          <w:marLeft w:val="0"/>
          <w:marRight w:val="0"/>
          <w:marTop w:val="0"/>
          <w:marBottom w:val="0"/>
          <w:divBdr>
            <w:top w:val="none" w:sz="0" w:space="0" w:color="auto"/>
            <w:left w:val="none" w:sz="0" w:space="0" w:color="auto"/>
            <w:bottom w:val="none" w:sz="0" w:space="0" w:color="auto"/>
            <w:right w:val="none" w:sz="0" w:space="0" w:color="auto"/>
          </w:divBdr>
        </w:div>
        <w:div w:id="520241407">
          <w:marLeft w:val="0"/>
          <w:marRight w:val="0"/>
          <w:marTop w:val="0"/>
          <w:marBottom w:val="0"/>
          <w:divBdr>
            <w:top w:val="none" w:sz="0" w:space="0" w:color="auto"/>
            <w:left w:val="none" w:sz="0" w:space="0" w:color="auto"/>
            <w:bottom w:val="none" w:sz="0" w:space="0" w:color="auto"/>
            <w:right w:val="none" w:sz="0" w:space="0" w:color="auto"/>
          </w:divBdr>
        </w:div>
        <w:div w:id="83458883">
          <w:marLeft w:val="0"/>
          <w:marRight w:val="0"/>
          <w:marTop w:val="0"/>
          <w:marBottom w:val="0"/>
          <w:divBdr>
            <w:top w:val="none" w:sz="0" w:space="0" w:color="auto"/>
            <w:left w:val="none" w:sz="0" w:space="0" w:color="auto"/>
            <w:bottom w:val="none" w:sz="0" w:space="0" w:color="auto"/>
            <w:right w:val="none" w:sz="0" w:space="0" w:color="auto"/>
          </w:divBdr>
        </w:div>
        <w:div w:id="1482693576">
          <w:marLeft w:val="0"/>
          <w:marRight w:val="0"/>
          <w:marTop w:val="0"/>
          <w:marBottom w:val="0"/>
          <w:divBdr>
            <w:top w:val="none" w:sz="0" w:space="0" w:color="auto"/>
            <w:left w:val="none" w:sz="0" w:space="0" w:color="auto"/>
            <w:bottom w:val="none" w:sz="0" w:space="0" w:color="auto"/>
            <w:right w:val="none" w:sz="0" w:space="0" w:color="auto"/>
          </w:divBdr>
        </w:div>
        <w:div w:id="1507668091">
          <w:marLeft w:val="0"/>
          <w:marRight w:val="0"/>
          <w:marTop w:val="0"/>
          <w:marBottom w:val="0"/>
          <w:divBdr>
            <w:top w:val="none" w:sz="0" w:space="0" w:color="auto"/>
            <w:left w:val="none" w:sz="0" w:space="0" w:color="auto"/>
            <w:bottom w:val="none" w:sz="0" w:space="0" w:color="auto"/>
            <w:right w:val="none" w:sz="0" w:space="0" w:color="auto"/>
          </w:divBdr>
        </w:div>
        <w:div w:id="1949041820">
          <w:marLeft w:val="0"/>
          <w:marRight w:val="0"/>
          <w:marTop w:val="0"/>
          <w:marBottom w:val="0"/>
          <w:divBdr>
            <w:top w:val="none" w:sz="0" w:space="0" w:color="auto"/>
            <w:left w:val="none" w:sz="0" w:space="0" w:color="auto"/>
            <w:bottom w:val="none" w:sz="0" w:space="0" w:color="auto"/>
            <w:right w:val="none" w:sz="0" w:space="0" w:color="auto"/>
          </w:divBdr>
        </w:div>
        <w:div w:id="1394809875">
          <w:marLeft w:val="0"/>
          <w:marRight w:val="0"/>
          <w:marTop w:val="0"/>
          <w:marBottom w:val="0"/>
          <w:divBdr>
            <w:top w:val="none" w:sz="0" w:space="0" w:color="auto"/>
            <w:left w:val="none" w:sz="0" w:space="0" w:color="auto"/>
            <w:bottom w:val="none" w:sz="0" w:space="0" w:color="auto"/>
            <w:right w:val="none" w:sz="0" w:space="0" w:color="auto"/>
          </w:divBdr>
        </w:div>
        <w:div w:id="354579138">
          <w:marLeft w:val="0"/>
          <w:marRight w:val="0"/>
          <w:marTop w:val="0"/>
          <w:marBottom w:val="0"/>
          <w:divBdr>
            <w:top w:val="none" w:sz="0" w:space="0" w:color="auto"/>
            <w:left w:val="none" w:sz="0" w:space="0" w:color="auto"/>
            <w:bottom w:val="none" w:sz="0" w:space="0" w:color="auto"/>
            <w:right w:val="none" w:sz="0" w:space="0" w:color="auto"/>
          </w:divBdr>
        </w:div>
        <w:div w:id="719134254">
          <w:marLeft w:val="0"/>
          <w:marRight w:val="0"/>
          <w:marTop w:val="0"/>
          <w:marBottom w:val="0"/>
          <w:divBdr>
            <w:top w:val="none" w:sz="0" w:space="0" w:color="auto"/>
            <w:left w:val="none" w:sz="0" w:space="0" w:color="auto"/>
            <w:bottom w:val="none" w:sz="0" w:space="0" w:color="auto"/>
            <w:right w:val="none" w:sz="0" w:space="0" w:color="auto"/>
          </w:divBdr>
        </w:div>
        <w:div w:id="1300962136">
          <w:marLeft w:val="0"/>
          <w:marRight w:val="0"/>
          <w:marTop w:val="0"/>
          <w:marBottom w:val="0"/>
          <w:divBdr>
            <w:top w:val="none" w:sz="0" w:space="0" w:color="auto"/>
            <w:left w:val="none" w:sz="0" w:space="0" w:color="auto"/>
            <w:bottom w:val="none" w:sz="0" w:space="0" w:color="auto"/>
            <w:right w:val="none" w:sz="0" w:space="0" w:color="auto"/>
          </w:divBdr>
        </w:div>
        <w:div w:id="194198308">
          <w:marLeft w:val="0"/>
          <w:marRight w:val="0"/>
          <w:marTop w:val="0"/>
          <w:marBottom w:val="0"/>
          <w:divBdr>
            <w:top w:val="none" w:sz="0" w:space="0" w:color="auto"/>
            <w:left w:val="none" w:sz="0" w:space="0" w:color="auto"/>
            <w:bottom w:val="none" w:sz="0" w:space="0" w:color="auto"/>
            <w:right w:val="none" w:sz="0" w:space="0" w:color="auto"/>
          </w:divBdr>
        </w:div>
        <w:div w:id="1904829430">
          <w:marLeft w:val="0"/>
          <w:marRight w:val="0"/>
          <w:marTop w:val="0"/>
          <w:marBottom w:val="0"/>
          <w:divBdr>
            <w:top w:val="none" w:sz="0" w:space="0" w:color="auto"/>
            <w:left w:val="none" w:sz="0" w:space="0" w:color="auto"/>
            <w:bottom w:val="none" w:sz="0" w:space="0" w:color="auto"/>
            <w:right w:val="none" w:sz="0" w:space="0" w:color="auto"/>
          </w:divBdr>
        </w:div>
        <w:div w:id="158695374">
          <w:marLeft w:val="0"/>
          <w:marRight w:val="0"/>
          <w:marTop w:val="0"/>
          <w:marBottom w:val="0"/>
          <w:divBdr>
            <w:top w:val="none" w:sz="0" w:space="0" w:color="auto"/>
            <w:left w:val="none" w:sz="0" w:space="0" w:color="auto"/>
            <w:bottom w:val="none" w:sz="0" w:space="0" w:color="auto"/>
            <w:right w:val="none" w:sz="0" w:space="0" w:color="auto"/>
          </w:divBdr>
        </w:div>
        <w:div w:id="698315301">
          <w:marLeft w:val="0"/>
          <w:marRight w:val="0"/>
          <w:marTop w:val="0"/>
          <w:marBottom w:val="0"/>
          <w:divBdr>
            <w:top w:val="none" w:sz="0" w:space="0" w:color="auto"/>
            <w:left w:val="none" w:sz="0" w:space="0" w:color="auto"/>
            <w:bottom w:val="none" w:sz="0" w:space="0" w:color="auto"/>
            <w:right w:val="none" w:sz="0" w:space="0" w:color="auto"/>
          </w:divBdr>
        </w:div>
        <w:div w:id="600842177">
          <w:marLeft w:val="0"/>
          <w:marRight w:val="0"/>
          <w:marTop w:val="0"/>
          <w:marBottom w:val="0"/>
          <w:divBdr>
            <w:top w:val="none" w:sz="0" w:space="0" w:color="auto"/>
            <w:left w:val="none" w:sz="0" w:space="0" w:color="auto"/>
            <w:bottom w:val="none" w:sz="0" w:space="0" w:color="auto"/>
            <w:right w:val="none" w:sz="0" w:space="0" w:color="auto"/>
          </w:divBdr>
        </w:div>
        <w:div w:id="877166295">
          <w:marLeft w:val="0"/>
          <w:marRight w:val="0"/>
          <w:marTop w:val="0"/>
          <w:marBottom w:val="0"/>
          <w:divBdr>
            <w:top w:val="none" w:sz="0" w:space="0" w:color="auto"/>
            <w:left w:val="none" w:sz="0" w:space="0" w:color="auto"/>
            <w:bottom w:val="none" w:sz="0" w:space="0" w:color="auto"/>
            <w:right w:val="none" w:sz="0" w:space="0" w:color="auto"/>
          </w:divBdr>
        </w:div>
        <w:div w:id="969436741">
          <w:marLeft w:val="0"/>
          <w:marRight w:val="0"/>
          <w:marTop w:val="0"/>
          <w:marBottom w:val="0"/>
          <w:divBdr>
            <w:top w:val="none" w:sz="0" w:space="0" w:color="auto"/>
            <w:left w:val="none" w:sz="0" w:space="0" w:color="auto"/>
            <w:bottom w:val="none" w:sz="0" w:space="0" w:color="auto"/>
            <w:right w:val="none" w:sz="0" w:space="0" w:color="auto"/>
          </w:divBdr>
        </w:div>
        <w:div w:id="104468646">
          <w:marLeft w:val="0"/>
          <w:marRight w:val="0"/>
          <w:marTop w:val="0"/>
          <w:marBottom w:val="0"/>
          <w:divBdr>
            <w:top w:val="none" w:sz="0" w:space="0" w:color="auto"/>
            <w:left w:val="none" w:sz="0" w:space="0" w:color="auto"/>
            <w:bottom w:val="none" w:sz="0" w:space="0" w:color="auto"/>
            <w:right w:val="none" w:sz="0" w:space="0" w:color="auto"/>
          </w:divBdr>
        </w:div>
        <w:div w:id="1105272512">
          <w:marLeft w:val="0"/>
          <w:marRight w:val="0"/>
          <w:marTop w:val="0"/>
          <w:marBottom w:val="0"/>
          <w:divBdr>
            <w:top w:val="none" w:sz="0" w:space="0" w:color="auto"/>
            <w:left w:val="none" w:sz="0" w:space="0" w:color="auto"/>
            <w:bottom w:val="none" w:sz="0" w:space="0" w:color="auto"/>
            <w:right w:val="none" w:sz="0" w:space="0" w:color="auto"/>
          </w:divBdr>
        </w:div>
        <w:div w:id="795098515">
          <w:marLeft w:val="0"/>
          <w:marRight w:val="0"/>
          <w:marTop w:val="0"/>
          <w:marBottom w:val="0"/>
          <w:divBdr>
            <w:top w:val="none" w:sz="0" w:space="0" w:color="auto"/>
            <w:left w:val="none" w:sz="0" w:space="0" w:color="auto"/>
            <w:bottom w:val="none" w:sz="0" w:space="0" w:color="auto"/>
            <w:right w:val="none" w:sz="0" w:space="0" w:color="auto"/>
          </w:divBdr>
        </w:div>
        <w:div w:id="1274946992">
          <w:marLeft w:val="0"/>
          <w:marRight w:val="0"/>
          <w:marTop w:val="0"/>
          <w:marBottom w:val="0"/>
          <w:divBdr>
            <w:top w:val="none" w:sz="0" w:space="0" w:color="auto"/>
            <w:left w:val="none" w:sz="0" w:space="0" w:color="auto"/>
            <w:bottom w:val="none" w:sz="0" w:space="0" w:color="auto"/>
            <w:right w:val="none" w:sz="0" w:space="0" w:color="auto"/>
          </w:divBdr>
        </w:div>
        <w:div w:id="1734307203">
          <w:marLeft w:val="0"/>
          <w:marRight w:val="0"/>
          <w:marTop w:val="0"/>
          <w:marBottom w:val="0"/>
          <w:divBdr>
            <w:top w:val="none" w:sz="0" w:space="0" w:color="auto"/>
            <w:left w:val="none" w:sz="0" w:space="0" w:color="auto"/>
            <w:bottom w:val="none" w:sz="0" w:space="0" w:color="auto"/>
            <w:right w:val="none" w:sz="0" w:space="0" w:color="auto"/>
          </w:divBdr>
        </w:div>
        <w:div w:id="1875651335">
          <w:marLeft w:val="0"/>
          <w:marRight w:val="0"/>
          <w:marTop w:val="0"/>
          <w:marBottom w:val="0"/>
          <w:divBdr>
            <w:top w:val="none" w:sz="0" w:space="0" w:color="auto"/>
            <w:left w:val="none" w:sz="0" w:space="0" w:color="auto"/>
            <w:bottom w:val="none" w:sz="0" w:space="0" w:color="auto"/>
            <w:right w:val="none" w:sz="0" w:space="0" w:color="auto"/>
          </w:divBdr>
        </w:div>
        <w:div w:id="1213421601">
          <w:marLeft w:val="0"/>
          <w:marRight w:val="0"/>
          <w:marTop w:val="0"/>
          <w:marBottom w:val="0"/>
          <w:divBdr>
            <w:top w:val="none" w:sz="0" w:space="0" w:color="auto"/>
            <w:left w:val="none" w:sz="0" w:space="0" w:color="auto"/>
            <w:bottom w:val="none" w:sz="0" w:space="0" w:color="auto"/>
            <w:right w:val="none" w:sz="0" w:space="0" w:color="auto"/>
          </w:divBdr>
        </w:div>
        <w:div w:id="300503640">
          <w:marLeft w:val="0"/>
          <w:marRight w:val="0"/>
          <w:marTop w:val="0"/>
          <w:marBottom w:val="0"/>
          <w:divBdr>
            <w:top w:val="none" w:sz="0" w:space="0" w:color="auto"/>
            <w:left w:val="none" w:sz="0" w:space="0" w:color="auto"/>
            <w:bottom w:val="none" w:sz="0" w:space="0" w:color="auto"/>
            <w:right w:val="none" w:sz="0" w:space="0" w:color="auto"/>
          </w:divBdr>
        </w:div>
      </w:divsChild>
    </w:div>
    <w:div w:id="223102220">
      <w:bodyDiv w:val="1"/>
      <w:marLeft w:val="0"/>
      <w:marRight w:val="0"/>
      <w:marTop w:val="0"/>
      <w:marBottom w:val="0"/>
      <w:divBdr>
        <w:top w:val="none" w:sz="0" w:space="0" w:color="auto"/>
        <w:left w:val="none" w:sz="0" w:space="0" w:color="auto"/>
        <w:bottom w:val="none" w:sz="0" w:space="0" w:color="auto"/>
        <w:right w:val="none" w:sz="0" w:space="0" w:color="auto"/>
      </w:divBdr>
    </w:div>
    <w:div w:id="241111178">
      <w:bodyDiv w:val="1"/>
      <w:marLeft w:val="0"/>
      <w:marRight w:val="0"/>
      <w:marTop w:val="0"/>
      <w:marBottom w:val="0"/>
      <w:divBdr>
        <w:top w:val="none" w:sz="0" w:space="0" w:color="auto"/>
        <w:left w:val="none" w:sz="0" w:space="0" w:color="auto"/>
        <w:bottom w:val="none" w:sz="0" w:space="0" w:color="auto"/>
        <w:right w:val="none" w:sz="0" w:space="0" w:color="auto"/>
      </w:divBdr>
    </w:div>
    <w:div w:id="306394876">
      <w:bodyDiv w:val="1"/>
      <w:marLeft w:val="0"/>
      <w:marRight w:val="0"/>
      <w:marTop w:val="0"/>
      <w:marBottom w:val="0"/>
      <w:divBdr>
        <w:top w:val="none" w:sz="0" w:space="0" w:color="auto"/>
        <w:left w:val="none" w:sz="0" w:space="0" w:color="auto"/>
        <w:bottom w:val="none" w:sz="0" w:space="0" w:color="auto"/>
        <w:right w:val="none" w:sz="0" w:space="0" w:color="auto"/>
      </w:divBdr>
    </w:div>
    <w:div w:id="328212694">
      <w:bodyDiv w:val="1"/>
      <w:marLeft w:val="0"/>
      <w:marRight w:val="0"/>
      <w:marTop w:val="0"/>
      <w:marBottom w:val="0"/>
      <w:divBdr>
        <w:top w:val="none" w:sz="0" w:space="0" w:color="auto"/>
        <w:left w:val="none" w:sz="0" w:space="0" w:color="auto"/>
        <w:bottom w:val="none" w:sz="0" w:space="0" w:color="auto"/>
        <w:right w:val="none" w:sz="0" w:space="0" w:color="auto"/>
      </w:divBdr>
    </w:div>
    <w:div w:id="348683525">
      <w:bodyDiv w:val="1"/>
      <w:marLeft w:val="0"/>
      <w:marRight w:val="0"/>
      <w:marTop w:val="0"/>
      <w:marBottom w:val="0"/>
      <w:divBdr>
        <w:top w:val="none" w:sz="0" w:space="0" w:color="auto"/>
        <w:left w:val="none" w:sz="0" w:space="0" w:color="auto"/>
        <w:bottom w:val="none" w:sz="0" w:space="0" w:color="auto"/>
        <w:right w:val="none" w:sz="0" w:space="0" w:color="auto"/>
      </w:divBdr>
      <w:divsChild>
        <w:div w:id="1704479640">
          <w:marLeft w:val="0"/>
          <w:marRight w:val="0"/>
          <w:marTop w:val="0"/>
          <w:marBottom w:val="517"/>
          <w:divBdr>
            <w:top w:val="single" w:sz="6" w:space="3" w:color="CCCCCC"/>
            <w:left w:val="single" w:sz="12" w:space="3" w:color="CCCCCC"/>
            <w:bottom w:val="single" w:sz="12" w:space="3" w:color="CCCCCC"/>
            <w:right w:val="single" w:sz="12" w:space="3" w:color="CCCCCC"/>
          </w:divBdr>
          <w:divsChild>
            <w:div w:id="1247155427">
              <w:marLeft w:val="0"/>
              <w:marRight w:val="0"/>
              <w:marTop w:val="0"/>
              <w:marBottom w:val="0"/>
              <w:divBdr>
                <w:top w:val="none" w:sz="0" w:space="0" w:color="auto"/>
                <w:left w:val="none" w:sz="0" w:space="0" w:color="auto"/>
                <w:bottom w:val="none" w:sz="0" w:space="0" w:color="auto"/>
                <w:right w:val="none" w:sz="0" w:space="0" w:color="auto"/>
              </w:divBdr>
              <w:divsChild>
                <w:div w:id="1288201685">
                  <w:marLeft w:val="0"/>
                  <w:marRight w:val="0"/>
                  <w:marTop w:val="96"/>
                  <w:marBottom w:val="96"/>
                  <w:divBdr>
                    <w:top w:val="none" w:sz="0" w:space="0" w:color="auto"/>
                    <w:left w:val="none" w:sz="0" w:space="0" w:color="auto"/>
                    <w:bottom w:val="none" w:sz="0" w:space="0" w:color="auto"/>
                    <w:right w:val="none" w:sz="0" w:space="0" w:color="auto"/>
                  </w:divBdr>
                  <w:divsChild>
                    <w:div w:id="15714254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354574277">
      <w:bodyDiv w:val="1"/>
      <w:marLeft w:val="0"/>
      <w:marRight w:val="0"/>
      <w:marTop w:val="0"/>
      <w:marBottom w:val="0"/>
      <w:divBdr>
        <w:top w:val="none" w:sz="0" w:space="0" w:color="auto"/>
        <w:left w:val="none" w:sz="0" w:space="0" w:color="auto"/>
        <w:bottom w:val="none" w:sz="0" w:space="0" w:color="auto"/>
        <w:right w:val="none" w:sz="0" w:space="0" w:color="auto"/>
      </w:divBdr>
    </w:div>
    <w:div w:id="388765966">
      <w:bodyDiv w:val="1"/>
      <w:marLeft w:val="0"/>
      <w:marRight w:val="0"/>
      <w:marTop w:val="0"/>
      <w:marBottom w:val="0"/>
      <w:divBdr>
        <w:top w:val="none" w:sz="0" w:space="0" w:color="auto"/>
        <w:left w:val="none" w:sz="0" w:space="0" w:color="auto"/>
        <w:bottom w:val="none" w:sz="0" w:space="0" w:color="auto"/>
        <w:right w:val="none" w:sz="0" w:space="0" w:color="auto"/>
      </w:divBdr>
    </w:div>
    <w:div w:id="416562905">
      <w:bodyDiv w:val="1"/>
      <w:marLeft w:val="0"/>
      <w:marRight w:val="0"/>
      <w:marTop w:val="0"/>
      <w:marBottom w:val="0"/>
      <w:divBdr>
        <w:top w:val="none" w:sz="0" w:space="0" w:color="auto"/>
        <w:left w:val="none" w:sz="0" w:space="0" w:color="auto"/>
        <w:bottom w:val="none" w:sz="0" w:space="0" w:color="auto"/>
        <w:right w:val="none" w:sz="0" w:space="0" w:color="auto"/>
      </w:divBdr>
    </w:div>
    <w:div w:id="422190662">
      <w:bodyDiv w:val="1"/>
      <w:marLeft w:val="0"/>
      <w:marRight w:val="0"/>
      <w:marTop w:val="0"/>
      <w:marBottom w:val="0"/>
      <w:divBdr>
        <w:top w:val="none" w:sz="0" w:space="0" w:color="auto"/>
        <w:left w:val="none" w:sz="0" w:space="0" w:color="auto"/>
        <w:bottom w:val="none" w:sz="0" w:space="0" w:color="auto"/>
        <w:right w:val="none" w:sz="0" w:space="0" w:color="auto"/>
      </w:divBdr>
    </w:div>
    <w:div w:id="706956857">
      <w:bodyDiv w:val="1"/>
      <w:marLeft w:val="0"/>
      <w:marRight w:val="0"/>
      <w:marTop w:val="0"/>
      <w:marBottom w:val="0"/>
      <w:divBdr>
        <w:top w:val="none" w:sz="0" w:space="0" w:color="auto"/>
        <w:left w:val="none" w:sz="0" w:space="0" w:color="auto"/>
        <w:bottom w:val="none" w:sz="0" w:space="0" w:color="auto"/>
        <w:right w:val="none" w:sz="0" w:space="0" w:color="auto"/>
      </w:divBdr>
    </w:div>
    <w:div w:id="761725673">
      <w:bodyDiv w:val="1"/>
      <w:marLeft w:val="0"/>
      <w:marRight w:val="0"/>
      <w:marTop w:val="0"/>
      <w:marBottom w:val="0"/>
      <w:divBdr>
        <w:top w:val="none" w:sz="0" w:space="0" w:color="auto"/>
        <w:left w:val="none" w:sz="0" w:space="0" w:color="auto"/>
        <w:bottom w:val="none" w:sz="0" w:space="0" w:color="auto"/>
        <w:right w:val="none" w:sz="0" w:space="0" w:color="auto"/>
      </w:divBdr>
    </w:div>
    <w:div w:id="815072737">
      <w:bodyDiv w:val="1"/>
      <w:marLeft w:val="0"/>
      <w:marRight w:val="0"/>
      <w:marTop w:val="0"/>
      <w:marBottom w:val="0"/>
      <w:divBdr>
        <w:top w:val="none" w:sz="0" w:space="0" w:color="auto"/>
        <w:left w:val="none" w:sz="0" w:space="0" w:color="auto"/>
        <w:bottom w:val="none" w:sz="0" w:space="0" w:color="auto"/>
        <w:right w:val="none" w:sz="0" w:space="0" w:color="auto"/>
      </w:divBdr>
    </w:div>
    <w:div w:id="835069017">
      <w:bodyDiv w:val="1"/>
      <w:marLeft w:val="0"/>
      <w:marRight w:val="0"/>
      <w:marTop w:val="0"/>
      <w:marBottom w:val="0"/>
      <w:divBdr>
        <w:top w:val="none" w:sz="0" w:space="0" w:color="auto"/>
        <w:left w:val="none" w:sz="0" w:space="0" w:color="auto"/>
        <w:bottom w:val="none" w:sz="0" w:space="0" w:color="auto"/>
        <w:right w:val="none" w:sz="0" w:space="0" w:color="auto"/>
      </w:divBdr>
    </w:div>
    <w:div w:id="844171582">
      <w:bodyDiv w:val="1"/>
      <w:marLeft w:val="0"/>
      <w:marRight w:val="0"/>
      <w:marTop w:val="0"/>
      <w:marBottom w:val="0"/>
      <w:divBdr>
        <w:top w:val="none" w:sz="0" w:space="0" w:color="auto"/>
        <w:left w:val="none" w:sz="0" w:space="0" w:color="auto"/>
        <w:bottom w:val="none" w:sz="0" w:space="0" w:color="auto"/>
        <w:right w:val="none" w:sz="0" w:space="0" w:color="auto"/>
      </w:divBdr>
    </w:div>
    <w:div w:id="948320440">
      <w:bodyDiv w:val="1"/>
      <w:marLeft w:val="0"/>
      <w:marRight w:val="0"/>
      <w:marTop w:val="0"/>
      <w:marBottom w:val="0"/>
      <w:divBdr>
        <w:top w:val="none" w:sz="0" w:space="0" w:color="auto"/>
        <w:left w:val="none" w:sz="0" w:space="0" w:color="auto"/>
        <w:bottom w:val="none" w:sz="0" w:space="0" w:color="auto"/>
        <w:right w:val="none" w:sz="0" w:space="0" w:color="auto"/>
      </w:divBdr>
    </w:div>
    <w:div w:id="978220008">
      <w:bodyDiv w:val="1"/>
      <w:marLeft w:val="0"/>
      <w:marRight w:val="0"/>
      <w:marTop w:val="0"/>
      <w:marBottom w:val="0"/>
      <w:divBdr>
        <w:top w:val="none" w:sz="0" w:space="0" w:color="auto"/>
        <w:left w:val="none" w:sz="0" w:space="0" w:color="auto"/>
        <w:bottom w:val="none" w:sz="0" w:space="0" w:color="auto"/>
        <w:right w:val="none" w:sz="0" w:space="0" w:color="auto"/>
      </w:divBdr>
    </w:div>
    <w:div w:id="1025443252">
      <w:bodyDiv w:val="1"/>
      <w:marLeft w:val="0"/>
      <w:marRight w:val="0"/>
      <w:marTop w:val="0"/>
      <w:marBottom w:val="0"/>
      <w:divBdr>
        <w:top w:val="none" w:sz="0" w:space="0" w:color="auto"/>
        <w:left w:val="none" w:sz="0" w:space="0" w:color="auto"/>
        <w:bottom w:val="none" w:sz="0" w:space="0" w:color="auto"/>
        <w:right w:val="none" w:sz="0" w:space="0" w:color="auto"/>
      </w:divBdr>
    </w:div>
    <w:div w:id="1044254852">
      <w:bodyDiv w:val="1"/>
      <w:marLeft w:val="0"/>
      <w:marRight w:val="0"/>
      <w:marTop w:val="0"/>
      <w:marBottom w:val="0"/>
      <w:divBdr>
        <w:top w:val="none" w:sz="0" w:space="0" w:color="auto"/>
        <w:left w:val="none" w:sz="0" w:space="0" w:color="auto"/>
        <w:bottom w:val="none" w:sz="0" w:space="0" w:color="auto"/>
        <w:right w:val="none" w:sz="0" w:space="0" w:color="auto"/>
      </w:divBdr>
    </w:div>
    <w:div w:id="1054813374">
      <w:bodyDiv w:val="1"/>
      <w:marLeft w:val="0"/>
      <w:marRight w:val="0"/>
      <w:marTop w:val="0"/>
      <w:marBottom w:val="0"/>
      <w:divBdr>
        <w:top w:val="none" w:sz="0" w:space="0" w:color="auto"/>
        <w:left w:val="none" w:sz="0" w:space="0" w:color="auto"/>
        <w:bottom w:val="none" w:sz="0" w:space="0" w:color="auto"/>
        <w:right w:val="none" w:sz="0" w:space="0" w:color="auto"/>
      </w:divBdr>
    </w:div>
    <w:div w:id="1073117678">
      <w:bodyDiv w:val="1"/>
      <w:marLeft w:val="0"/>
      <w:marRight w:val="0"/>
      <w:marTop w:val="0"/>
      <w:marBottom w:val="0"/>
      <w:divBdr>
        <w:top w:val="none" w:sz="0" w:space="0" w:color="auto"/>
        <w:left w:val="none" w:sz="0" w:space="0" w:color="auto"/>
        <w:bottom w:val="none" w:sz="0" w:space="0" w:color="auto"/>
        <w:right w:val="none" w:sz="0" w:space="0" w:color="auto"/>
      </w:divBdr>
    </w:div>
    <w:div w:id="1248731383">
      <w:bodyDiv w:val="1"/>
      <w:marLeft w:val="0"/>
      <w:marRight w:val="0"/>
      <w:marTop w:val="0"/>
      <w:marBottom w:val="0"/>
      <w:divBdr>
        <w:top w:val="none" w:sz="0" w:space="0" w:color="auto"/>
        <w:left w:val="none" w:sz="0" w:space="0" w:color="auto"/>
        <w:bottom w:val="none" w:sz="0" w:space="0" w:color="auto"/>
        <w:right w:val="none" w:sz="0" w:space="0" w:color="auto"/>
      </w:divBdr>
    </w:div>
    <w:div w:id="1282541137">
      <w:bodyDiv w:val="1"/>
      <w:marLeft w:val="0"/>
      <w:marRight w:val="0"/>
      <w:marTop w:val="0"/>
      <w:marBottom w:val="0"/>
      <w:divBdr>
        <w:top w:val="none" w:sz="0" w:space="0" w:color="auto"/>
        <w:left w:val="none" w:sz="0" w:space="0" w:color="auto"/>
        <w:bottom w:val="none" w:sz="0" w:space="0" w:color="auto"/>
        <w:right w:val="none" w:sz="0" w:space="0" w:color="auto"/>
      </w:divBdr>
    </w:div>
    <w:div w:id="1304699618">
      <w:bodyDiv w:val="1"/>
      <w:marLeft w:val="0"/>
      <w:marRight w:val="0"/>
      <w:marTop w:val="0"/>
      <w:marBottom w:val="0"/>
      <w:divBdr>
        <w:top w:val="none" w:sz="0" w:space="0" w:color="auto"/>
        <w:left w:val="none" w:sz="0" w:space="0" w:color="auto"/>
        <w:bottom w:val="none" w:sz="0" w:space="0" w:color="auto"/>
        <w:right w:val="none" w:sz="0" w:space="0" w:color="auto"/>
      </w:divBdr>
    </w:div>
    <w:div w:id="1343708046">
      <w:bodyDiv w:val="1"/>
      <w:marLeft w:val="0"/>
      <w:marRight w:val="0"/>
      <w:marTop w:val="0"/>
      <w:marBottom w:val="0"/>
      <w:divBdr>
        <w:top w:val="none" w:sz="0" w:space="0" w:color="auto"/>
        <w:left w:val="none" w:sz="0" w:space="0" w:color="auto"/>
        <w:bottom w:val="none" w:sz="0" w:space="0" w:color="auto"/>
        <w:right w:val="none" w:sz="0" w:space="0" w:color="auto"/>
      </w:divBdr>
    </w:div>
    <w:div w:id="1368334814">
      <w:bodyDiv w:val="1"/>
      <w:marLeft w:val="0"/>
      <w:marRight w:val="0"/>
      <w:marTop w:val="0"/>
      <w:marBottom w:val="0"/>
      <w:divBdr>
        <w:top w:val="none" w:sz="0" w:space="0" w:color="auto"/>
        <w:left w:val="none" w:sz="0" w:space="0" w:color="auto"/>
        <w:bottom w:val="none" w:sz="0" w:space="0" w:color="auto"/>
        <w:right w:val="none" w:sz="0" w:space="0" w:color="auto"/>
      </w:divBdr>
    </w:div>
    <w:div w:id="1401756480">
      <w:bodyDiv w:val="1"/>
      <w:marLeft w:val="0"/>
      <w:marRight w:val="0"/>
      <w:marTop w:val="0"/>
      <w:marBottom w:val="0"/>
      <w:divBdr>
        <w:top w:val="none" w:sz="0" w:space="0" w:color="auto"/>
        <w:left w:val="none" w:sz="0" w:space="0" w:color="auto"/>
        <w:bottom w:val="none" w:sz="0" w:space="0" w:color="auto"/>
        <w:right w:val="none" w:sz="0" w:space="0" w:color="auto"/>
      </w:divBdr>
    </w:div>
    <w:div w:id="1410734019">
      <w:bodyDiv w:val="1"/>
      <w:marLeft w:val="0"/>
      <w:marRight w:val="0"/>
      <w:marTop w:val="0"/>
      <w:marBottom w:val="0"/>
      <w:divBdr>
        <w:top w:val="none" w:sz="0" w:space="0" w:color="auto"/>
        <w:left w:val="none" w:sz="0" w:space="0" w:color="auto"/>
        <w:bottom w:val="none" w:sz="0" w:space="0" w:color="auto"/>
        <w:right w:val="none" w:sz="0" w:space="0" w:color="auto"/>
      </w:divBdr>
    </w:div>
    <w:div w:id="1429541168">
      <w:bodyDiv w:val="1"/>
      <w:marLeft w:val="0"/>
      <w:marRight w:val="0"/>
      <w:marTop w:val="0"/>
      <w:marBottom w:val="0"/>
      <w:divBdr>
        <w:top w:val="none" w:sz="0" w:space="0" w:color="auto"/>
        <w:left w:val="none" w:sz="0" w:space="0" w:color="auto"/>
        <w:bottom w:val="none" w:sz="0" w:space="0" w:color="auto"/>
        <w:right w:val="none" w:sz="0" w:space="0" w:color="auto"/>
      </w:divBdr>
    </w:div>
    <w:div w:id="1442919456">
      <w:bodyDiv w:val="1"/>
      <w:marLeft w:val="0"/>
      <w:marRight w:val="0"/>
      <w:marTop w:val="0"/>
      <w:marBottom w:val="0"/>
      <w:divBdr>
        <w:top w:val="none" w:sz="0" w:space="0" w:color="auto"/>
        <w:left w:val="none" w:sz="0" w:space="0" w:color="auto"/>
        <w:bottom w:val="none" w:sz="0" w:space="0" w:color="auto"/>
        <w:right w:val="none" w:sz="0" w:space="0" w:color="auto"/>
      </w:divBdr>
    </w:div>
    <w:div w:id="1451123048">
      <w:bodyDiv w:val="1"/>
      <w:marLeft w:val="0"/>
      <w:marRight w:val="0"/>
      <w:marTop w:val="0"/>
      <w:marBottom w:val="0"/>
      <w:divBdr>
        <w:top w:val="none" w:sz="0" w:space="0" w:color="auto"/>
        <w:left w:val="none" w:sz="0" w:space="0" w:color="auto"/>
        <w:bottom w:val="none" w:sz="0" w:space="0" w:color="auto"/>
        <w:right w:val="none" w:sz="0" w:space="0" w:color="auto"/>
      </w:divBdr>
    </w:div>
    <w:div w:id="1458598992">
      <w:bodyDiv w:val="1"/>
      <w:marLeft w:val="0"/>
      <w:marRight w:val="0"/>
      <w:marTop w:val="0"/>
      <w:marBottom w:val="0"/>
      <w:divBdr>
        <w:top w:val="none" w:sz="0" w:space="0" w:color="auto"/>
        <w:left w:val="none" w:sz="0" w:space="0" w:color="auto"/>
        <w:bottom w:val="none" w:sz="0" w:space="0" w:color="auto"/>
        <w:right w:val="none" w:sz="0" w:space="0" w:color="auto"/>
      </w:divBdr>
    </w:div>
    <w:div w:id="1466190997">
      <w:bodyDiv w:val="1"/>
      <w:marLeft w:val="0"/>
      <w:marRight w:val="0"/>
      <w:marTop w:val="0"/>
      <w:marBottom w:val="0"/>
      <w:divBdr>
        <w:top w:val="none" w:sz="0" w:space="0" w:color="auto"/>
        <w:left w:val="none" w:sz="0" w:space="0" w:color="auto"/>
        <w:bottom w:val="none" w:sz="0" w:space="0" w:color="auto"/>
        <w:right w:val="none" w:sz="0" w:space="0" w:color="auto"/>
      </w:divBdr>
    </w:div>
    <w:div w:id="1689286294">
      <w:bodyDiv w:val="1"/>
      <w:marLeft w:val="0"/>
      <w:marRight w:val="0"/>
      <w:marTop w:val="0"/>
      <w:marBottom w:val="0"/>
      <w:divBdr>
        <w:top w:val="none" w:sz="0" w:space="0" w:color="auto"/>
        <w:left w:val="none" w:sz="0" w:space="0" w:color="auto"/>
        <w:bottom w:val="none" w:sz="0" w:space="0" w:color="auto"/>
        <w:right w:val="none" w:sz="0" w:space="0" w:color="auto"/>
      </w:divBdr>
    </w:div>
    <w:div w:id="1720130328">
      <w:bodyDiv w:val="1"/>
      <w:marLeft w:val="0"/>
      <w:marRight w:val="0"/>
      <w:marTop w:val="0"/>
      <w:marBottom w:val="0"/>
      <w:divBdr>
        <w:top w:val="none" w:sz="0" w:space="0" w:color="auto"/>
        <w:left w:val="none" w:sz="0" w:space="0" w:color="auto"/>
        <w:bottom w:val="none" w:sz="0" w:space="0" w:color="auto"/>
        <w:right w:val="none" w:sz="0" w:space="0" w:color="auto"/>
      </w:divBdr>
    </w:div>
    <w:div w:id="1725132972">
      <w:bodyDiv w:val="1"/>
      <w:marLeft w:val="0"/>
      <w:marRight w:val="0"/>
      <w:marTop w:val="0"/>
      <w:marBottom w:val="0"/>
      <w:divBdr>
        <w:top w:val="none" w:sz="0" w:space="0" w:color="auto"/>
        <w:left w:val="none" w:sz="0" w:space="0" w:color="auto"/>
        <w:bottom w:val="none" w:sz="0" w:space="0" w:color="auto"/>
        <w:right w:val="none" w:sz="0" w:space="0" w:color="auto"/>
      </w:divBdr>
      <w:divsChild>
        <w:div w:id="575170770">
          <w:marLeft w:val="0"/>
          <w:marRight w:val="0"/>
          <w:marTop w:val="96"/>
          <w:marBottom w:val="96"/>
          <w:divBdr>
            <w:top w:val="none" w:sz="0" w:space="0" w:color="auto"/>
            <w:left w:val="none" w:sz="0" w:space="0" w:color="auto"/>
            <w:bottom w:val="none" w:sz="0" w:space="0" w:color="auto"/>
            <w:right w:val="none" w:sz="0" w:space="0" w:color="auto"/>
          </w:divBdr>
          <w:divsChild>
            <w:div w:id="558858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27602594">
      <w:bodyDiv w:val="1"/>
      <w:marLeft w:val="0"/>
      <w:marRight w:val="0"/>
      <w:marTop w:val="0"/>
      <w:marBottom w:val="0"/>
      <w:divBdr>
        <w:top w:val="none" w:sz="0" w:space="0" w:color="auto"/>
        <w:left w:val="none" w:sz="0" w:space="0" w:color="auto"/>
        <w:bottom w:val="none" w:sz="0" w:space="0" w:color="auto"/>
        <w:right w:val="none" w:sz="0" w:space="0" w:color="auto"/>
      </w:divBdr>
    </w:div>
    <w:div w:id="1745254846">
      <w:bodyDiv w:val="1"/>
      <w:marLeft w:val="0"/>
      <w:marRight w:val="0"/>
      <w:marTop w:val="0"/>
      <w:marBottom w:val="0"/>
      <w:divBdr>
        <w:top w:val="none" w:sz="0" w:space="0" w:color="auto"/>
        <w:left w:val="none" w:sz="0" w:space="0" w:color="auto"/>
        <w:bottom w:val="none" w:sz="0" w:space="0" w:color="auto"/>
        <w:right w:val="none" w:sz="0" w:space="0" w:color="auto"/>
      </w:divBdr>
    </w:div>
    <w:div w:id="1808358621">
      <w:bodyDiv w:val="1"/>
      <w:marLeft w:val="0"/>
      <w:marRight w:val="0"/>
      <w:marTop w:val="0"/>
      <w:marBottom w:val="0"/>
      <w:divBdr>
        <w:top w:val="none" w:sz="0" w:space="0" w:color="auto"/>
        <w:left w:val="none" w:sz="0" w:space="0" w:color="auto"/>
        <w:bottom w:val="none" w:sz="0" w:space="0" w:color="auto"/>
        <w:right w:val="none" w:sz="0" w:space="0" w:color="auto"/>
      </w:divBdr>
    </w:div>
    <w:div w:id="1815639608">
      <w:bodyDiv w:val="1"/>
      <w:marLeft w:val="0"/>
      <w:marRight w:val="0"/>
      <w:marTop w:val="0"/>
      <w:marBottom w:val="0"/>
      <w:divBdr>
        <w:top w:val="none" w:sz="0" w:space="0" w:color="auto"/>
        <w:left w:val="none" w:sz="0" w:space="0" w:color="auto"/>
        <w:bottom w:val="none" w:sz="0" w:space="0" w:color="auto"/>
        <w:right w:val="none" w:sz="0" w:space="0" w:color="auto"/>
      </w:divBdr>
    </w:div>
    <w:div w:id="1924872511">
      <w:bodyDiv w:val="1"/>
      <w:marLeft w:val="0"/>
      <w:marRight w:val="0"/>
      <w:marTop w:val="0"/>
      <w:marBottom w:val="0"/>
      <w:divBdr>
        <w:top w:val="none" w:sz="0" w:space="0" w:color="auto"/>
        <w:left w:val="none" w:sz="0" w:space="0" w:color="auto"/>
        <w:bottom w:val="none" w:sz="0" w:space="0" w:color="auto"/>
        <w:right w:val="none" w:sz="0" w:space="0" w:color="auto"/>
      </w:divBdr>
    </w:div>
    <w:div w:id="1932083808">
      <w:bodyDiv w:val="1"/>
      <w:marLeft w:val="0"/>
      <w:marRight w:val="0"/>
      <w:marTop w:val="0"/>
      <w:marBottom w:val="0"/>
      <w:divBdr>
        <w:top w:val="none" w:sz="0" w:space="0" w:color="auto"/>
        <w:left w:val="none" w:sz="0" w:space="0" w:color="auto"/>
        <w:bottom w:val="none" w:sz="0" w:space="0" w:color="auto"/>
        <w:right w:val="none" w:sz="0" w:space="0" w:color="auto"/>
      </w:divBdr>
    </w:div>
    <w:div w:id="1980838633">
      <w:bodyDiv w:val="1"/>
      <w:marLeft w:val="0"/>
      <w:marRight w:val="0"/>
      <w:marTop w:val="0"/>
      <w:marBottom w:val="0"/>
      <w:divBdr>
        <w:top w:val="none" w:sz="0" w:space="0" w:color="auto"/>
        <w:left w:val="none" w:sz="0" w:space="0" w:color="auto"/>
        <w:bottom w:val="none" w:sz="0" w:space="0" w:color="auto"/>
        <w:right w:val="none" w:sz="0" w:space="0" w:color="auto"/>
      </w:divBdr>
    </w:div>
    <w:div w:id="2015954007">
      <w:bodyDiv w:val="1"/>
      <w:marLeft w:val="0"/>
      <w:marRight w:val="0"/>
      <w:marTop w:val="0"/>
      <w:marBottom w:val="0"/>
      <w:divBdr>
        <w:top w:val="none" w:sz="0" w:space="0" w:color="auto"/>
        <w:left w:val="none" w:sz="0" w:space="0" w:color="auto"/>
        <w:bottom w:val="none" w:sz="0" w:space="0" w:color="auto"/>
        <w:right w:val="none" w:sz="0" w:space="0" w:color="auto"/>
      </w:divBdr>
    </w:div>
    <w:div w:id="2036688177">
      <w:bodyDiv w:val="1"/>
      <w:marLeft w:val="0"/>
      <w:marRight w:val="0"/>
      <w:marTop w:val="0"/>
      <w:marBottom w:val="0"/>
      <w:divBdr>
        <w:top w:val="none" w:sz="0" w:space="0" w:color="auto"/>
        <w:left w:val="none" w:sz="0" w:space="0" w:color="auto"/>
        <w:bottom w:val="none" w:sz="0" w:space="0" w:color="auto"/>
        <w:right w:val="none" w:sz="0" w:space="0" w:color="auto"/>
      </w:divBdr>
    </w:div>
    <w:div w:id="2045211709">
      <w:bodyDiv w:val="1"/>
      <w:marLeft w:val="0"/>
      <w:marRight w:val="0"/>
      <w:marTop w:val="0"/>
      <w:marBottom w:val="0"/>
      <w:divBdr>
        <w:top w:val="none" w:sz="0" w:space="0" w:color="auto"/>
        <w:left w:val="none" w:sz="0" w:space="0" w:color="auto"/>
        <w:bottom w:val="none" w:sz="0" w:space="0" w:color="auto"/>
        <w:right w:val="none" w:sz="0" w:space="0" w:color="auto"/>
      </w:divBdr>
    </w:div>
    <w:div w:id="2092922629">
      <w:bodyDiv w:val="1"/>
      <w:marLeft w:val="0"/>
      <w:marRight w:val="0"/>
      <w:marTop w:val="0"/>
      <w:marBottom w:val="0"/>
      <w:divBdr>
        <w:top w:val="none" w:sz="0" w:space="0" w:color="auto"/>
        <w:left w:val="none" w:sz="0" w:space="0" w:color="auto"/>
        <w:bottom w:val="none" w:sz="0" w:space="0" w:color="auto"/>
        <w:right w:val="none" w:sz="0" w:space="0" w:color="auto"/>
      </w:divBdr>
    </w:div>
    <w:div w:id="211813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12773199" TargetMode="External"/><Relationship Id="rId13" Type="http://schemas.openxmlformats.org/officeDocument/2006/relationships/hyperlink" Target="https://www.ncbi.nlm.nih.gov/pubmed/19797160" TargetMode="External"/><Relationship Id="rId18" Type="http://schemas.openxmlformats.org/officeDocument/2006/relationships/hyperlink" Target="https://www.ncbi.nlm.nih.gov/pubmed/26641631" TargetMode="External"/><Relationship Id="rId26" Type="http://schemas.openxmlformats.org/officeDocument/2006/relationships/hyperlink" Target="https://www.ncbi.nlm.nih.gov/pubmed/29100503" TargetMode="External"/><Relationship Id="rId3" Type="http://schemas.openxmlformats.org/officeDocument/2006/relationships/hyperlink" Target="https://www.ncbi.nlm.nih.gov/pubmed/12243316" TargetMode="External"/><Relationship Id="rId21" Type="http://schemas.openxmlformats.org/officeDocument/2006/relationships/hyperlink" Target="https://www.ncbi.nlm.nih.gov/pubmed/22797131/" TargetMode="External"/><Relationship Id="rId7" Type="http://schemas.openxmlformats.org/officeDocument/2006/relationships/hyperlink" Target="https://www.ncbi.nlm.nih.gov/pubmed/16135721" TargetMode="External"/><Relationship Id="rId12" Type="http://schemas.openxmlformats.org/officeDocument/2006/relationships/hyperlink" Target="https://www.ncbi.nlm.nih.gov/pubmed/19716962" TargetMode="External"/><Relationship Id="rId17" Type="http://schemas.openxmlformats.org/officeDocument/2006/relationships/hyperlink" Target="https://www.ncbi.nlm.nih.gov/pubmed/23757083" TargetMode="External"/><Relationship Id="rId25" Type="http://schemas.openxmlformats.org/officeDocument/2006/relationships/hyperlink" Target="https://www.ncbi.nlm.nih.gov/pubmed/25725628/" TargetMode="External"/><Relationship Id="rId2" Type="http://schemas.openxmlformats.org/officeDocument/2006/relationships/hyperlink" Target="https://www.ncbi.nlm.nih.gov/pubmed/11171708" TargetMode="External"/><Relationship Id="rId16" Type="http://schemas.openxmlformats.org/officeDocument/2006/relationships/hyperlink" Target="https://www.ncbi.nlm.nih.gov/pubmed/22983959" TargetMode="External"/><Relationship Id="rId20" Type="http://schemas.openxmlformats.org/officeDocument/2006/relationships/hyperlink" Target="https://www.ncbi.nlm.nih.gov/pubmed/26170655" TargetMode="External"/><Relationship Id="rId29" Type="http://schemas.openxmlformats.org/officeDocument/2006/relationships/hyperlink" Target="https://www.ncbi.nlm.nih.gov/pubmed/29100503" TargetMode="External"/><Relationship Id="rId1" Type="http://schemas.openxmlformats.org/officeDocument/2006/relationships/hyperlink" Target="https://www.ncbi.nlm.nih.gov/pubmed/25670896" TargetMode="External"/><Relationship Id="rId6" Type="http://schemas.openxmlformats.org/officeDocument/2006/relationships/hyperlink" Target="https://www.ncbi.nlm.nih.gov/pubmed/11587986" TargetMode="External"/><Relationship Id="rId11" Type="http://schemas.openxmlformats.org/officeDocument/2006/relationships/hyperlink" Target="https://www.ncbi.nlm.nih.gov/pubmed/19131231" TargetMode="External"/><Relationship Id="rId24" Type="http://schemas.openxmlformats.org/officeDocument/2006/relationships/hyperlink" Target="https://www.ncbi.nlm.nih.gov/pubmed/23497109/" TargetMode="External"/><Relationship Id="rId5" Type="http://schemas.openxmlformats.org/officeDocument/2006/relationships/hyperlink" Target="https://www.ncbi.nlm.nih.gov/pubmed/28392683" TargetMode="External"/><Relationship Id="rId15" Type="http://schemas.openxmlformats.org/officeDocument/2006/relationships/hyperlink" Target="https://www.ncbi.nlm.nih.gov/pubmed/25670896" TargetMode="External"/><Relationship Id="rId23" Type="http://schemas.openxmlformats.org/officeDocument/2006/relationships/hyperlink" Target="https://www.ncbi.nlm.nih.gov/pubmed/23497109/" TargetMode="External"/><Relationship Id="rId28" Type="http://schemas.openxmlformats.org/officeDocument/2006/relationships/hyperlink" Target="https://www.ncbi.nlm.nih.gov/pubmed/21468168" TargetMode="External"/><Relationship Id="rId10" Type="http://schemas.openxmlformats.org/officeDocument/2006/relationships/hyperlink" Target="https://www.ncbi.nlm.nih.gov/pubmed/14999112" TargetMode="External"/><Relationship Id="rId19" Type="http://schemas.openxmlformats.org/officeDocument/2006/relationships/hyperlink" Target="https://www.ncbi.nlm.nih.gov/pubmed/25709430" TargetMode="External"/><Relationship Id="rId4" Type="http://schemas.openxmlformats.org/officeDocument/2006/relationships/hyperlink" Target="https://www.ncbi.nlm.nih.gov/pubmed/20486821" TargetMode="External"/><Relationship Id="rId9" Type="http://schemas.openxmlformats.org/officeDocument/2006/relationships/hyperlink" Target="https://www.ncbi.nlm.nih.gov/pubmed/10673192" TargetMode="External"/><Relationship Id="rId14" Type="http://schemas.openxmlformats.org/officeDocument/2006/relationships/hyperlink" Target="https://www.ncbi.nlm.nih.gov/pubmed/24077342" TargetMode="External"/><Relationship Id="rId22" Type="http://schemas.openxmlformats.org/officeDocument/2006/relationships/hyperlink" Target="https://www.ncbi.nlm.nih.gov/pubmed/23497109/" TargetMode="External"/><Relationship Id="rId27" Type="http://schemas.openxmlformats.org/officeDocument/2006/relationships/hyperlink" Target="https://www.ncbi.nlm.nih.gov/pubmed/17426210" TargetMode="External"/><Relationship Id="rId30" Type="http://schemas.openxmlformats.org/officeDocument/2006/relationships/hyperlink" Target="https://www.ncbi.nlm.nih.gov/pubmed/29100503"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j.yuree.jang@gmail.com" TargetMode="External"/><Relationship Id="rId18" Type="http://schemas.openxmlformats.org/officeDocument/2006/relationships/hyperlink" Target="mailto:rng@cs.ubc.ca"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casey.shannon@hli.ubc.ca" TargetMode="External"/><Relationship Id="rId17" Type="http://schemas.openxmlformats.org/officeDocument/2006/relationships/hyperlink" Target="mailto:bruce.mcmanus@hli.ubc.ca" TargetMode="External"/><Relationship Id="rId25"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mailto:scott.tebbutt@hli.ubc.ca" TargetMode="External"/><Relationship Id="rId20" Type="http://schemas.openxmlformats.org/officeDocument/2006/relationships/footer" Target="footer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rginia.chen@hli.ubc.ca" TargetMode="External"/><Relationship Id="rId24" Type="http://schemas.openxmlformats.org/officeDocument/2006/relationships/image" Target="media/image3.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obert.balshaw@bccdc.ca" TargetMode="External"/><Relationship Id="rId23" Type="http://schemas.openxmlformats.org/officeDocument/2006/relationships/image" Target="media/image2.png"/><Relationship Id="rId28"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hyperlink" Target="mailto:don.sin@hli.ubc.ca"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zsuzsanna.hollander@hi.ubc.ca"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DEB99-91D8-4116-AA88-42B4A0D857F1}">
  <ds:schemaRefs>
    <ds:schemaRef ds:uri="http://schemas.openxmlformats.org/officeDocument/2006/bibliography"/>
  </ds:schemaRefs>
</ds:datastoreItem>
</file>

<file path=customXml/itemProps2.xml><?xml version="1.0" encoding="utf-8"?>
<ds:datastoreItem xmlns:ds="http://schemas.openxmlformats.org/officeDocument/2006/customXml" ds:itemID="{D70643AD-7D83-4728-BB37-3BB6117FC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19351</Words>
  <Characters>110307</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Heart + Lung Institute</Company>
  <LinksUpToDate>false</LinksUpToDate>
  <CharactersWithSpaces>129400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vchen</dc:creator>
  <cp:lastModifiedBy>Casey P. Shannon</cp:lastModifiedBy>
  <cp:revision>172</cp:revision>
  <cp:lastPrinted>2016-08-31T19:05:00Z</cp:lastPrinted>
  <dcterms:created xsi:type="dcterms:W3CDTF">2018-03-13T21:04:00Z</dcterms:created>
  <dcterms:modified xsi:type="dcterms:W3CDTF">2018-03-14T18:09:00Z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id="qCdwYnJk"/&gt;&lt;style id="http://www.zotero.org/styles/american-journal-of-respiratory-and-critical-care-medicine"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ies>
</file>