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הכימוס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עקרון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הכימוס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מוסתרים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ומתודות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ind w:left="1440" w:firstLine="0"/>
        <w:jc w:val="left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ind w:left="1440" w:firstLine="0"/>
        <w:jc w:val="left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0"/>
        </w:rPr>
        <w:t xml:space="preserve">private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ind w:left="1440" w:firstLine="0"/>
        <w:jc w:val="left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0"/>
        </w:rPr>
        <w:t xml:space="preserve">protected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.</w:t>
        <w:tab/>
        <w:tab/>
        <w:t xml:space="preserve">      </w:t>
      </w:r>
    </w:p>
    <w:p w:rsidR="00000000" w:rsidDel="00000000" w:rsidP="00000000" w:rsidRDefault="00000000" w:rsidRPr="00000000" w14:paraId="00000006">
      <w:pPr>
        <w:bidi w:val="1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אבסטרקטית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אבסטרקטית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ופונקציות</w:t>
      </w:r>
      <w:r w:rsidDel="00000000" w:rsidR="00000000" w:rsidRPr="00000000">
        <w:rPr>
          <w:rtl w:val="1"/>
        </w:rPr>
        <w:t xml:space="preserve">)  </w:t>
      </w:r>
      <w:r w:rsidDel="00000000" w:rsidR="00000000" w:rsidRPr="00000000">
        <w:rPr>
          <w:rtl w:val="1"/>
        </w:rPr>
        <w:t xml:space="preserve">ירשו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bidi w:val="1"/>
        <w:spacing w:line="259" w:lineRule="auto"/>
        <w:ind w:left="720" w:hanging="360"/>
        <w:rPr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members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modifier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1"/>
        </w:rPr>
        <w:t xml:space="preserve"> 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spacing w:line="259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הפרוייקט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