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F171" w14:textId="02AD1B11" w:rsidR="003B5F55" w:rsidRPr="00A300BD" w:rsidRDefault="001D1EF2">
      <w:pPr>
        <w:rPr>
          <w:b/>
          <w:bCs/>
          <w:sz w:val="24"/>
          <w:szCs w:val="24"/>
        </w:rPr>
      </w:pPr>
      <w:r w:rsidRPr="00A300BD">
        <w:rPr>
          <w:b/>
          <w:bCs/>
          <w:sz w:val="24"/>
          <w:szCs w:val="24"/>
        </w:rPr>
        <w:t>TDs</w:t>
      </w:r>
    </w:p>
    <w:p w14:paraId="45F406B6" w14:textId="3D9617E8" w:rsidR="001D1EF2" w:rsidRPr="00A300BD" w:rsidRDefault="001D1EF2" w:rsidP="00A300B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300BD">
        <w:rPr>
          <w:sz w:val="24"/>
          <w:szCs w:val="24"/>
          <w:lang w:val="en-US"/>
        </w:rPr>
        <w:t>TDs should be provided to TSB in electronic format. TSB shall post electronically those TDs submitted as electronic files as soon as they become available; those submitted as paper copies will be posted as soon as practicable.</w:t>
      </w:r>
    </w:p>
    <w:p w14:paraId="1FA965A8" w14:textId="5B8B949E" w:rsidR="001D1EF2" w:rsidRPr="00A300BD" w:rsidRDefault="001D1EF2" w:rsidP="00A300B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300BD">
        <w:rPr>
          <w:sz w:val="24"/>
          <w:szCs w:val="24"/>
          <w:lang w:val="en-US"/>
        </w:rPr>
        <w:t xml:space="preserve">Extracts from reports of other study group meetings or from reports of chairmen, rapporteurs or drafting groups shall be published as TDs. </w:t>
      </w:r>
    </w:p>
    <w:p w14:paraId="3057ADAA" w14:textId="25CE3348" w:rsidR="001D1EF2" w:rsidRPr="00A300BD" w:rsidRDefault="001D1EF2" w:rsidP="00A300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00BD">
        <w:rPr>
          <w:sz w:val="24"/>
          <w:szCs w:val="24"/>
        </w:rPr>
        <w:t>TDs can be produced during the meeting.</w:t>
      </w:r>
    </w:p>
    <w:p w14:paraId="729210EB" w14:textId="7BC71575" w:rsidR="001D1EF2" w:rsidRPr="00A300BD" w:rsidRDefault="001D1EF2" w:rsidP="001D1EF2">
      <w:pPr>
        <w:rPr>
          <w:b/>
          <w:bCs/>
          <w:sz w:val="24"/>
          <w:szCs w:val="24"/>
        </w:rPr>
      </w:pPr>
      <w:r w:rsidRPr="00A300BD">
        <w:rPr>
          <w:b/>
          <w:bCs/>
          <w:sz w:val="24"/>
          <w:szCs w:val="24"/>
        </w:rPr>
        <w:t>Other ITU-T groups</w:t>
      </w:r>
    </w:p>
    <w:p w14:paraId="1F8F1F98" w14:textId="2D56453F" w:rsidR="001D1EF2" w:rsidRPr="00A300BD" w:rsidRDefault="001D1EF2" w:rsidP="00A300B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300BD">
        <w:rPr>
          <w:b/>
          <w:bCs/>
          <w:sz w:val="24"/>
          <w:szCs w:val="24"/>
        </w:rPr>
        <w:t>Focus group (FG)</w:t>
      </w:r>
    </w:p>
    <w:p w14:paraId="61AB57AE" w14:textId="374DE6F8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00BD">
        <w:rPr>
          <w:sz w:val="24"/>
          <w:szCs w:val="24"/>
        </w:rPr>
        <w:t>The objective of focus groups is to help advance the work of the ITU Telecommunication Standardization Sector (ITU-T) study groups and to encourage the participation of members of other standards organizations, including experts and individuals who may not be members of ITU.</w:t>
      </w:r>
    </w:p>
    <w:p w14:paraId="42A29A06" w14:textId="3E1868E1" w:rsidR="001D1EF2" w:rsidRPr="00A300BD" w:rsidRDefault="001D1EF2" w:rsidP="00A300B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A300BD">
        <w:rPr>
          <w:b/>
          <w:bCs/>
          <w:sz w:val="24"/>
          <w:szCs w:val="24"/>
        </w:rPr>
        <w:t>Intersector</w:t>
      </w:r>
      <w:proofErr w:type="spellEnd"/>
      <w:r w:rsidRPr="00A300BD">
        <w:rPr>
          <w:b/>
          <w:bCs/>
          <w:sz w:val="24"/>
          <w:szCs w:val="24"/>
        </w:rPr>
        <w:t xml:space="preserve"> Rapporteur Group (IRG)</w:t>
      </w:r>
    </w:p>
    <w:p w14:paraId="497C61D2" w14:textId="14E8CD06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300BD">
        <w:rPr>
          <w:sz w:val="24"/>
          <w:szCs w:val="24"/>
        </w:rPr>
        <w:t>Intersector</w:t>
      </w:r>
      <w:proofErr w:type="spellEnd"/>
      <w:r w:rsidRPr="00A300BD">
        <w:rPr>
          <w:sz w:val="24"/>
          <w:szCs w:val="24"/>
        </w:rPr>
        <w:t xml:space="preserve"> Rapporteur Groups (IRGs) are established to coordinate the progress of specific topics of mutual interest between sectors of the ITU.</w:t>
      </w:r>
    </w:p>
    <w:p w14:paraId="420E13DB" w14:textId="3B05F850" w:rsidR="001D1EF2" w:rsidRPr="00A300BD" w:rsidRDefault="001D1EF2" w:rsidP="001D1EF2">
      <w:pPr>
        <w:rPr>
          <w:b/>
          <w:bCs/>
          <w:sz w:val="24"/>
          <w:szCs w:val="24"/>
        </w:rPr>
      </w:pPr>
      <w:r w:rsidRPr="00A300BD">
        <w:rPr>
          <w:b/>
          <w:bCs/>
          <w:sz w:val="24"/>
          <w:szCs w:val="24"/>
        </w:rPr>
        <w:t>Joint Coordination Activity (JCA)</w:t>
      </w:r>
    </w:p>
    <w:p w14:paraId="6F13F9D7" w14:textId="2CCB5C93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00BD">
        <w:rPr>
          <w:sz w:val="24"/>
          <w:szCs w:val="24"/>
        </w:rPr>
        <w:t>A Joint Coordination Activity (JCA) is formed to coordinate activities on topics of relevance across ITU-T Study Groups. They report their progress either to TSAG or to a particular study group.</w:t>
      </w:r>
    </w:p>
    <w:p w14:paraId="61B83FA4" w14:textId="77777777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00BD">
        <w:rPr>
          <w:sz w:val="24"/>
          <w:szCs w:val="24"/>
        </w:rPr>
        <w:t>A joint coordination activity (JCA) is a tool for management of the work programme of ITU-T when there is a need to address a broad subject covering the area of competence of more than one study group.</w:t>
      </w:r>
    </w:p>
    <w:p w14:paraId="10AB4C6C" w14:textId="0F62B55B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00BD">
        <w:rPr>
          <w:sz w:val="24"/>
          <w:szCs w:val="24"/>
        </w:rPr>
        <w:t>A JCA may help to coordinate the planned work effort in terms of subject matter, time-frames for meetings, collocated meetings where necessary and publication goals including, where appropriate, release planning of the resulting Recommendations.</w:t>
      </w:r>
    </w:p>
    <w:p w14:paraId="2E9E332F" w14:textId="59E3264C" w:rsidR="001D1EF2" w:rsidRPr="00A300BD" w:rsidRDefault="001D1EF2" w:rsidP="00A300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00BD">
        <w:rPr>
          <w:sz w:val="24"/>
          <w:szCs w:val="24"/>
        </w:rPr>
        <w:t>The study groups take JCA suggestions into consideration as they carry out their work.</w:t>
      </w:r>
    </w:p>
    <w:p w14:paraId="421FE69D" w14:textId="77777777" w:rsidR="001D1EF2" w:rsidRPr="00A300BD" w:rsidRDefault="001D1EF2">
      <w:pPr>
        <w:rPr>
          <w:sz w:val="24"/>
          <w:szCs w:val="24"/>
          <w:lang w:val="en-US"/>
        </w:rPr>
      </w:pPr>
    </w:p>
    <w:sectPr w:rsidR="001D1EF2" w:rsidRPr="00A3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45AC"/>
    <w:multiLevelType w:val="hybridMultilevel"/>
    <w:tmpl w:val="44A84B98"/>
    <w:lvl w:ilvl="0" w:tplc="896A2FB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D9EA0F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74AB25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6A858B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356F9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204A0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59C82E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52857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584AE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95A5831"/>
    <w:multiLevelType w:val="hybridMultilevel"/>
    <w:tmpl w:val="3BF0BC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6DD"/>
    <w:multiLevelType w:val="hybridMultilevel"/>
    <w:tmpl w:val="0DC83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6F99"/>
    <w:multiLevelType w:val="hybridMultilevel"/>
    <w:tmpl w:val="46188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61DB"/>
    <w:multiLevelType w:val="hybridMultilevel"/>
    <w:tmpl w:val="A258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82FD9"/>
    <w:multiLevelType w:val="hybridMultilevel"/>
    <w:tmpl w:val="CEA2D36C"/>
    <w:lvl w:ilvl="0" w:tplc="8438C0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1C22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1B6EB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57A807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7A4393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0A0E6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6659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6A8DAD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F76425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666F6D6A"/>
    <w:multiLevelType w:val="hybridMultilevel"/>
    <w:tmpl w:val="0B10E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F2"/>
    <w:rsid w:val="001D1EF2"/>
    <w:rsid w:val="003B5F55"/>
    <w:rsid w:val="00A3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337D"/>
  <w15:chartTrackingRefBased/>
  <w15:docId w15:val="{AC2DA36B-3968-41DF-9D74-4596797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9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3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6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0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1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50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9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8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30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</cp:revision>
  <dcterms:created xsi:type="dcterms:W3CDTF">2020-10-12T15:29:00Z</dcterms:created>
  <dcterms:modified xsi:type="dcterms:W3CDTF">2020-10-12T15:43:00Z</dcterms:modified>
</cp:coreProperties>
</file>