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VYDEN CORE</w:t>
      </w:r>
    </w:p>
    <w:p>
      <w:pPr>
        <w:spacing w:after="200"/>
      </w:pPr>
      <w:r>
        <w:rPr>
          <w:b/>
          <w:bCs/>
          <w:color w:val="595959"/>
          <w:sz w:val="30"/>
          <w:szCs w:val="30"/>
        </w:rPr>
        <w:t xml:space="preserve">Multi-Location Job Tracking Platform</w:t>
      </w:r>
    </w:p>
    <w:p>
      <w:pPr>
        <w:spacing w:after="160"/>
      </w:pPr>
      <w:r>
        <w:rPr>
          <w:b w:val="false"/>
          <w:bCs w:val="false"/>
          <w:i w:val="false"/>
          <w:iCs w:val="false"/>
          <w:sz w:val="21"/>
          <w:szCs w:val="21"/>
        </w:rPr>
        <w:t xml:space="preserve">Reusable Product Template — Technical &amp; Productization Document</w:t>
      </w:r>
    </w:p>
    <w:p>
      <w:pPr>
        <w:spacing w:after="160"/>
      </w:pPr>
      <w:r>
        <w:rPr>
          <w:b w:val="false"/>
          <w:bCs w:val="false"/>
          <w:i/>
          <w:iCs/>
          <w:sz w:val="21"/>
          <w:szCs w:val="21"/>
        </w:rPr>
        <w:t xml:space="preserve">Prepared by Vyden Co.</w:t>
      </w:r>
    </w:p>
    <w:p>
      <w:pPr>
        <w:spacing w:after="160"/>
      </w:pPr>
      <w:r>
        <w:rPr>
          <w:b w:val="false"/>
          <w:bCs w:val="false"/>
          <w:i/>
          <w:iCs/>
          <w:sz w:val="21"/>
          <w:szCs w:val="21"/>
        </w:rPr>
        <w:t xml:space="preserve">For internal use — product &amp; sales reference</w:t>
      </w:r>
    </w:p>
    <w:p>
      <w:pPr>
        <w:spacing w:after="160"/>
      </w:pPr>
      <w:r>
        <w:rPr>
          <w:b w:val="false"/>
          <w:bCs w:val="false"/>
          <w:i/>
          <w:iCs/>
          <w:sz w:val="21"/>
          <w:szCs w:val="21"/>
        </w:rPr>
        <w:t xml:space="preserve">Scope note: this document defines the reusable technical core that underlies every client deployment (e.g. Mobile Station). New client engagements should start from Section 15 (Target Verticals) and Section 10 (Configuration Layer) rather than a blank page.</w:t>
      </w:r>
    </w:p>
    <w:p>
      <w:pPr>
        <w:pBdr>
          <w:bottom w:val="single" w:color="BFBFBF" w:sz="6" w:space="1"/>
        </w:pBdr>
        <w:spacing w:after="200"/>
      </w:pPr>
    </w:p>
    <w:p>
      <w:pPr>
        <w:pStyle w:val="Heading1"/>
        <w:spacing w:after="160" w:before="360"/>
      </w:pPr>
      <w:r>
        <w:rPr>
          <w:b/>
          <w:bCs/>
          <w:color w:val="1F3864"/>
          <w:sz w:val="28"/>
          <w:szCs w:val="28"/>
        </w:rPr>
        <w:t xml:space="preserve">1. Product Overview</w:t>
      </w:r>
    </w:p>
    <w:p>
      <w:pPr>
        <w:spacing w:after="160"/>
      </w:pPr>
      <w:r>
        <w:rPr>
          <w:b w:val="false"/>
          <w:bCs w:val="false"/>
          <w:i w:val="false"/>
          <w:iCs w:val="false"/>
          <w:sz w:val="21"/>
          <w:szCs w:val="21"/>
        </w:rPr>
        <w:t xml:space="preserve">Vyden Core is a reusable internal-software product: a multi-location job/case tracking system that Vyden Co. builds once and re-deploys — rebranded and reconfigured — as custom internal software for other businesses.</w:t>
      </w:r>
    </w:p>
    <w:p>
      <w:pPr>
        <w:spacing w:after="160"/>
      </w:pPr>
      <w:r>
        <w:rPr>
          <w:b w:val="false"/>
          <w:bCs w:val="false"/>
          <w:i w:val="false"/>
          <w:iCs w:val="false"/>
          <w:sz w:val="21"/>
          <w:szCs w:val="21"/>
        </w:rPr>
        <w:t xml:space="preserve">Any business that operates multiple locations and moves a “thing” (a device, an order, a patient file, a garment, a vehicle) through a sequence of states — received, in progress, ready, delivered — with staff at different locations needing shared visibility, is a fit.</w:t>
      </w:r>
    </w:p>
    <w:p>
      <w:pPr>
        <w:pStyle w:val="ListParagraph"/>
        <w:numPr>
          <w:ilvl w:val="0"/>
          <w:numId w:val="2"/>
        </w:numPr>
        <w:spacing w:after="100"/>
      </w:pPr>
      <w:r>
        <w:rPr>
          <w:sz w:val="21"/>
          <w:szCs w:val="21"/>
        </w:rPr>
        <w:t xml:space="preserve">Goal: one engineering core, sold repeatedly as “custom software,” without rebuilding the underlying system for each client.</w:t>
      </w:r>
    </w:p>
    <w:p>
      <w:pPr>
        <w:pStyle w:val="ListParagraph"/>
        <w:numPr>
          <w:ilvl w:val="0"/>
          <w:numId w:val="2"/>
        </w:numPr>
        <w:spacing w:after="100"/>
      </w:pPr>
      <w:r>
        <w:rPr>
          <w:sz w:val="21"/>
          <w:szCs w:val="21"/>
        </w:rPr>
        <w:t xml:space="preserve">Each deployment is a genuinely separate live product for that client — own database, own branding, own domain — not a shared multi-tenant app the client logs into alongside strangers.</w:t>
      </w:r>
    </w:p>
    <w:p>
      <w:pPr>
        <w:pStyle w:val="ListParagraph"/>
        <w:numPr>
          <w:ilvl w:val="0"/>
          <w:numId w:val="2"/>
        </w:numPr>
        <w:spacing w:after="100"/>
      </w:pPr>
      <w:r>
        <w:rPr>
          <w:sz w:val="21"/>
          <w:szCs w:val="21"/>
        </w:rPr>
        <w:t xml:space="preserve">What changes per client: name, logo, terminology, status-stage labels, custom fields, and document templates. What stays fixed: schema shape, permission model, notification engine, and document-generation logic.</w:t>
      </w:r>
    </w:p>
    <w:p>
      <w:pPr>
        <w:pStyle w:val="Heading1"/>
        <w:spacing w:after="160" w:before="360"/>
      </w:pPr>
      <w:r>
        <w:rPr>
          <w:b/>
          <w:bCs/>
          <w:color w:val="1F3864"/>
          <w:sz w:val="28"/>
          <w:szCs w:val="28"/>
        </w:rPr>
        <w:t xml:space="preserve">2. Problem Statement (Generic)</w:t>
      </w:r>
    </w:p>
    <w:p>
      <w:pPr>
        <w:spacing w:after="160"/>
      </w:pPr>
      <w:r>
        <w:rPr>
          <w:b w:val="false"/>
          <w:bCs w:val="false"/>
          <w:i w:val="false"/>
          <w:iCs w:val="false"/>
          <w:sz w:val="21"/>
          <w:szCs w:val="21"/>
        </w:rPr>
        <w:t xml:space="preserve">Multi-location service businesses share a recurring failure mode: a customer’s item is logged at one location, moved or worked on, and later the customer inquires at a different location — or calls in — and staff there has no visibility into its status. This is the same underlying problem whether the “item” is a phone, a repaired appliance, a dry-cleaning order, a vehicle, or a patient file.</w:t>
      </w:r>
    </w:p>
    <w:p>
      <w:pPr>
        <w:spacing w:after="160"/>
      </w:pPr>
      <w:r>
        <w:rPr>
          <w:b w:val="false"/>
          <w:bCs w:val="false"/>
          <w:i w:val="false"/>
          <w:iCs w:val="false"/>
          <w:sz w:val="21"/>
          <w:szCs w:val="21"/>
        </w:rPr>
        <w:t xml:space="preserve">Businesses solve this today with a shared spreadsheet, a WhatsApp group, or phone calls between branches — all of which break down past a handful of locations or staff.</w:t>
      </w:r>
    </w:p>
    <w:p>
      <w:pPr>
        <w:pStyle w:val="Heading1"/>
        <w:spacing w:after="160" w:before="360"/>
      </w:pPr>
      <w:r>
        <w:rPr>
          <w:b/>
          <w:bCs/>
          <w:color w:val="1F3864"/>
          <w:sz w:val="28"/>
          <w:szCs w:val="28"/>
        </w:rPr>
        <w:t xml:space="preserve">3. System Architecture</w:t>
      </w:r>
    </w:p>
    <w:p>
      <w:pPr>
        <w:spacing w:after="160"/>
      </w:pPr>
      <w:r>
        <w:rPr>
          <w:b w:val="false"/>
          <w:bCs w:val="false"/>
          <w:i w:val="false"/>
          <w:iCs w:val="false"/>
          <w:sz w:val="21"/>
          <w:szCs w:val="21"/>
        </w:rPr>
        <w:t xml:space="preserve">A single web application (staff views and admin panel together, separated by role) talks to one central API layer, which is the only thing allowed to write to the database, send customer messages, or generate documents. This keeps business rules and secrets in one place instead of scattered across screens.</w:t>
      </w:r>
    </w:p>
    <w:p>
      <w:pPr>
        <w:spacing w:after="160"/>
      </w:pPr>
      <w:r>
        <w:rPr>
          <w:b w:val="false"/>
          <w:bCs w:val="false"/>
          <w:i w:val="false"/>
          <w:iCs w:val="false"/>
          <w:sz w:val="21"/>
          <w:szCs w:val="21"/>
        </w:rPr>
        <w:t xml:space="preserve">The client-specific “skin” — branding, field labels, status-stage names — is a thin configuration layer that sits above this same architecture. The architecture itself does not change per client; only the values loaded into it do.</w:t>
      </w:r>
    </w:p>
    <w:p>
      <w:pPr>
        <w:pStyle w:val="Heading1"/>
        <w:spacing w:after="160" w:before="360"/>
      </w:pPr>
      <w:r>
        <w:rPr>
          <w:b/>
          <w:bCs/>
          <w:color w:val="1F3864"/>
          <w:sz w:val="28"/>
          <w:szCs w:val="28"/>
        </w:rPr>
        <w:t xml:space="preserve">4. Technology Stack</w:t>
      </w:r>
    </w:p>
    <w:p>
      <w:pPr>
        <w:spacing w:after="160"/>
      </w:pPr>
      <w:r>
        <w:rPr>
          <w:b w:val="false"/>
          <w:bCs w:val="false"/>
          <w:i w:val="false"/>
          <w:iCs w:val="false"/>
          <w:sz w:val="21"/>
          <w:szCs w:val="21"/>
        </w:rPr>
        <w:t xml:space="preserve">This stack is the default for every deployment unless a client has a hard constraint against it (e.g. an existing Microsoft/Google workspace mandate).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Layer</w:t>
            </w:r>
          </w:p>
        </w:tc>
        <w:tc>
          <w:tcPr>
            <w:tcW w:type="dxa" w:w="2500"/>
            <w:shd w:fill="1F3864" w:val="clear"/>
            <w:tcMar>
              <w:top w:type="dxa" w:w="80"/>
              <w:left w:type="dxa" w:w="100"/>
              <w:bottom w:type="dxa" w:w="80"/>
              <w:right w:type="dxa" w:w="100"/>
            </w:tcMar>
          </w:tcPr>
          <w:p>
            <w:r>
              <w:rPr>
                <w:b/>
                <w:bCs/>
                <w:color w:val="FFFFFF"/>
                <w:sz w:val="20"/>
                <w:szCs w:val="20"/>
              </w:rPr>
              <w:t xml:space="preserve">Tool</w:t>
            </w:r>
          </w:p>
        </w:tc>
        <w:tc>
          <w:tcPr>
            <w:tcW w:type="dxa" w:w="4526"/>
            <w:shd w:fill="1F3864" w:val="clear"/>
            <w:tcMar>
              <w:top w:type="dxa" w:w="80"/>
              <w:left w:type="dxa" w:w="100"/>
              <w:bottom w:type="dxa" w:w="80"/>
              <w:right w:type="dxa" w:w="100"/>
            </w:tcMar>
          </w:tcPr>
          <w:p>
            <w:r>
              <w:rPr>
                <w:b/>
                <w:bCs/>
                <w:color w:val="FFFFFF"/>
                <w:sz w:val="20"/>
                <w:szCs w:val="20"/>
              </w:rPr>
              <w:t xml:space="preserve">Why</w:t>
            </w:r>
          </w:p>
        </w:tc>
      </w:tr>
      <w:tr>
        <w:tc>
          <w:tcPr>
            <w:tcW w:type="dxa" w:w="2000"/>
            <w:tcMar>
              <w:top w:type="dxa" w:w="80"/>
              <w:left w:type="dxa" w:w="100"/>
              <w:bottom w:type="dxa" w:w="80"/>
              <w:right w:type="dxa" w:w="100"/>
            </w:tcMar>
          </w:tcPr>
          <w:p>
            <w:r>
              <w:rPr>
                <w:b w:val="false"/>
                <w:bCs w:val="false"/>
                <w:color w:val="000000"/>
                <w:sz w:val="20"/>
                <w:szCs w:val="20"/>
              </w:rPr>
              <w:t xml:space="preserve">Frontend + Backend</w:t>
            </w:r>
          </w:p>
        </w:tc>
        <w:tc>
          <w:tcPr>
            <w:tcW w:type="dxa" w:w="2500"/>
            <w:tcMar>
              <w:top w:type="dxa" w:w="80"/>
              <w:left w:type="dxa" w:w="100"/>
              <w:bottom w:type="dxa" w:w="80"/>
              <w:right w:type="dxa" w:w="100"/>
            </w:tcMar>
          </w:tcPr>
          <w:p>
            <w:r>
              <w:rPr>
                <w:b w:val="false"/>
                <w:bCs w:val="false"/>
                <w:color w:val="000000"/>
                <w:sz w:val="20"/>
                <w:szCs w:val="20"/>
              </w:rPr>
              <w:t xml:space="preserve">Next.js + TypeScript</w:t>
            </w:r>
          </w:p>
        </w:tc>
        <w:tc>
          <w:tcPr>
            <w:tcW w:type="dxa" w:w="4526"/>
            <w:tcMar>
              <w:top w:type="dxa" w:w="80"/>
              <w:left w:type="dxa" w:w="100"/>
              <w:bottom w:type="dxa" w:w="80"/>
              <w:right w:type="dxa" w:w="100"/>
            </w:tcMar>
          </w:tcPr>
          <w:p>
            <w:r>
              <w:rPr>
                <w:b w:val="false"/>
                <w:bCs w:val="false"/>
                <w:color w:val="000000"/>
                <w:sz w:val="20"/>
                <w:szCs w:val="20"/>
              </w:rPr>
              <w:t xml:space="preserve">One project handles UI and server logic; fast to build and iterate on with AI coding assistants.</w:t>
            </w:r>
          </w:p>
        </w:tc>
      </w:tr>
      <w:tr>
        <w:tc>
          <w:tcPr>
            <w:tcW w:type="dxa" w:w="2000"/>
            <w:tcMar>
              <w:top w:type="dxa" w:w="80"/>
              <w:left w:type="dxa" w:w="100"/>
              <w:bottom w:type="dxa" w:w="80"/>
              <w:right w:type="dxa" w:w="100"/>
            </w:tcMar>
          </w:tcPr>
          <w:p>
            <w:r>
              <w:rPr>
                <w:b w:val="false"/>
                <w:bCs w:val="false"/>
                <w:color w:val="000000"/>
                <w:sz w:val="20"/>
                <w:szCs w:val="20"/>
              </w:rPr>
              <w:t xml:space="preserve">Database</w:t>
            </w:r>
          </w:p>
        </w:tc>
        <w:tc>
          <w:tcPr>
            <w:tcW w:type="dxa" w:w="2500"/>
            <w:tcMar>
              <w:top w:type="dxa" w:w="80"/>
              <w:left w:type="dxa" w:w="100"/>
              <w:bottom w:type="dxa" w:w="80"/>
              <w:right w:type="dxa" w:w="100"/>
            </w:tcMar>
          </w:tcPr>
          <w:p>
            <w:r>
              <w:rPr>
                <w:b w:val="false"/>
                <w:bCs w:val="false"/>
                <w:color w:val="000000"/>
                <w:sz w:val="20"/>
                <w:szCs w:val="20"/>
              </w:rPr>
              <w:t xml:space="preserve">PostgreSQL via Supabase</w:t>
            </w:r>
          </w:p>
        </w:tc>
        <w:tc>
          <w:tcPr>
            <w:tcW w:type="dxa" w:w="4526"/>
            <w:tcMar>
              <w:top w:type="dxa" w:w="80"/>
              <w:left w:type="dxa" w:w="100"/>
              <w:bottom w:type="dxa" w:w="80"/>
              <w:right w:type="dxa" w:w="100"/>
            </w:tcMar>
          </w:tcPr>
          <w:p>
            <w:r>
              <w:rPr>
                <w:b w:val="false"/>
                <w:bCs w:val="false"/>
                <w:color w:val="000000"/>
                <w:sz w:val="20"/>
                <w:szCs w:val="20"/>
              </w:rPr>
              <w:t xml:space="preserve">Relational model fits locations/staff/records/history well; built-in realtime sync is what makes cross-location visibility work live.</w:t>
            </w:r>
          </w:p>
        </w:tc>
      </w:tr>
      <w:tr>
        <w:tc>
          <w:tcPr>
            <w:tcW w:type="dxa" w:w="2000"/>
            <w:tcMar>
              <w:top w:type="dxa" w:w="80"/>
              <w:left w:type="dxa" w:w="100"/>
              <w:bottom w:type="dxa" w:w="80"/>
              <w:right w:type="dxa" w:w="100"/>
            </w:tcMar>
          </w:tcPr>
          <w:p>
            <w:r>
              <w:rPr>
                <w:b w:val="false"/>
                <w:bCs w:val="false"/>
                <w:color w:val="000000"/>
                <w:sz w:val="20"/>
                <w:szCs w:val="20"/>
              </w:rPr>
              <w:t xml:space="preserve">Authentication</w:t>
            </w:r>
          </w:p>
        </w:tc>
        <w:tc>
          <w:tcPr>
            <w:tcW w:type="dxa" w:w="2500"/>
            <w:tcMar>
              <w:top w:type="dxa" w:w="80"/>
              <w:left w:type="dxa" w:w="100"/>
              <w:bottom w:type="dxa" w:w="80"/>
              <w:right w:type="dxa" w:w="100"/>
            </w:tcMar>
          </w:tcPr>
          <w:p>
            <w:r>
              <w:rPr>
                <w:b w:val="false"/>
                <w:bCs w:val="false"/>
                <w:color w:val="000000"/>
                <w:sz w:val="20"/>
                <w:szCs w:val="20"/>
              </w:rPr>
              <w:t xml:space="preserve">Supabase Auth</w:t>
            </w:r>
          </w:p>
        </w:tc>
        <w:tc>
          <w:tcPr>
            <w:tcW w:type="dxa" w:w="4526"/>
            <w:tcMar>
              <w:top w:type="dxa" w:w="80"/>
              <w:left w:type="dxa" w:w="100"/>
              <w:bottom w:type="dxa" w:w="80"/>
              <w:right w:type="dxa" w:w="100"/>
            </w:tcMar>
          </w:tcPr>
          <w:p>
            <w:r>
              <w:rPr>
                <w:b w:val="false"/>
                <w:bCs w:val="false"/>
                <w:color w:val="000000"/>
                <w:sz w:val="20"/>
                <w:szCs w:val="20"/>
              </w:rPr>
              <w:t xml:space="preserve">Individual staff logins with roles (staff / admin), enforced at the database level via Row Level Security.</w:t>
            </w:r>
          </w:p>
        </w:tc>
      </w:tr>
      <w:tr>
        <w:tc>
          <w:tcPr>
            <w:tcW w:type="dxa" w:w="2000"/>
            <w:tcMar>
              <w:top w:type="dxa" w:w="80"/>
              <w:left w:type="dxa" w:w="100"/>
              <w:bottom w:type="dxa" w:w="80"/>
              <w:right w:type="dxa" w:w="100"/>
            </w:tcMar>
          </w:tcPr>
          <w:p>
            <w:r>
              <w:rPr>
                <w:b w:val="false"/>
                <w:bCs w:val="false"/>
                <w:color w:val="000000"/>
                <w:sz w:val="20"/>
                <w:szCs w:val="20"/>
              </w:rPr>
              <w:t xml:space="preserve">Hosting</w:t>
            </w:r>
          </w:p>
        </w:tc>
        <w:tc>
          <w:tcPr>
            <w:tcW w:type="dxa" w:w="2500"/>
            <w:tcMar>
              <w:top w:type="dxa" w:w="80"/>
              <w:left w:type="dxa" w:w="100"/>
              <w:bottom w:type="dxa" w:w="80"/>
              <w:right w:type="dxa" w:w="100"/>
            </w:tcMar>
          </w:tcPr>
          <w:p>
            <w:r>
              <w:rPr>
                <w:b w:val="false"/>
                <w:bCs w:val="false"/>
                <w:color w:val="000000"/>
                <w:sz w:val="20"/>
                <w:szCs w:val="20"/>
              </w:rPr>
              <w:t xml:space="preserve">Vercel</w:t>
            </w:r>
          </w:p>
        </w:tc>
        <w:tc>
          <w:tcPr>
            <w:tcW w:type="dxa" w:w="4526"/>
            <w:tcMar>
              <w:top w:type="dxa" w:w="80"/>
              <w:left w:type="dxa" w:w="100"/>
              <w:bottom w:type="dxa" w:w="80"/>
              <w:right w:type="dxa" w:w="100"/>
            </w:tcMar>
          </w:tcPr>
          <w:p>
            <w:r>
              <w:rPr>
                <w:b w:val="false"/>
                <w:bCs w:val="false"/>
                <w:color w:val="000000"/>
                <w:sz w:val="20"/>
                <w:szCs w:val="20"/>
              </w:rPr>
              <w:t xml:space="preserve">Deploys natively from a Next.js codebase; simplest path from GitHub to a live URL per client.</w:t>
            </w:r>
          </w:p>
        </w:tc>
      </w:tr>
      <w:tr>
        <w:tc>
          <w:tcPr>
            <w:tcW w:type="dxa" w:w="2000"/>
            <w:tcMar>
              <w:top w:type="dxa" w:w="80"/>
              <w:left w:type="dxa" w:w="100"/>
              <w:bottom w:type="dxa" w:w="80"/>
              <w:right w:type="dxa" w:w="100"/>
            </w:tcMar>
          </w:tcPr>
          <w:p>
            <w:r>
              <w:rPr>
                <w:b w:val="false"/>
                <w:bCs w:val="false"/>
                <w:color w:val="000000"/>
                <w:sz w:val="20"/>
                <w:szCs w:val="20"/>
              </w:rPr>
              <w:t xml:space="preserve">Customer messaging</w:t>
            </w:r>
          </w:p>
        </w:tc>
        <w:tc>
          <w:tcPr>
            <w:tcW w:type="dxa" w:w="2500"/>
            <w:tcMar>
              <w:top w:type="dxa" w:w="80"/>
              <w:left w:type="dxa" w:w="100"/>
              <w:bottom w:type="dxa" w:w="80"/>
              <w:right w:type="dxa" w:w="100"/>
            </w:tcMar>
          </w:tcPr>
          <w:p>
            <w:r>
              <w:rPr>
                <w:b w:val="false"/>
                <w:bCs w:val="false"/>
                <w:color w:val="000000"/>
                <w:sz w:val="20"/>
                <w:szCs w:val="20"/>
              </w:rPr>
              <w:t xml:space="preserve">WhatsApp Business Cloud API (via a BSP such as AiSensy or Interakt)</w:t>
            </w:r>
          </w:p>
        </w:tc>
        <w:tc>
          <w:tcPr>
            <w:tcW w:type="dxa" w:w="4526"/>
            <w:tcMar>
              <w:top w:type="dxa" w:w="80"/>
              <w:left w:type="dxa" w:w="100"/>
              <w:bottom w:type="dxa" w:w="80"/>
              <w:right w:type="dxa" w:w="100"/>
            </w:tcMar>
          </w:tcPr>
          <w:p>
            <w:r>
              <w:rPr>
                <w:b w:val="false"/>
                <w:bCs w:val="false"/>
                <w:color w:val="000000"/>
                <w:sz w:val="20"/>
                <w:szCs w:val="20"/>
              </w:rPr>
              <w:t xml:space="preserve">Automates status-update messages; a BSP handles Meta business verification and template approval.</w:t>
            </w:r>
          </w:p>
        </w:tc>
      </w:tr>
      <w:tr>
        <w:tc>
          <w:tcPr>
            <w:tcW w:type="dxa" w:w="2000"/>
            <w:tcMar>
              <w:top w:type="dxa" w:w="80"/>
              <w:left w:type="dxa" w:w="100"/>
              <w:bottom w:type="dxa" w:w="80"/>
              <w:right w:type="dxa" w:w="100"/>
            </w:tcMar>
          </w:tcPr>
          <w:p>
            <w:r>
              <w:rPr>
                <w:b w:val="false"/>
                <w:bCs w:val="false"/>
                <w:color w:val="000000"/>
                <w:sz w:val="20"/>
                <w:szCs w:val="20"/>
              </w:rPr>
              <w:t xml:space="preserve">Document generation</w:t>
            </w:r>
          </w:p>
        </w:tc>
        <w:tc>
          <w:tcPr>
            <w:tcW w:type="dxa" w:w="2500"/>
            <w:tcMar>
              <w:top w:type="dxa" w:w="80"/>
              <w:left w:type="dxa" w:w="100"/>
              <w:bottom w:type="dxa" w:w="80"/>
              <w:right w:type="dxa" w:w="100"/>
            </w:tcMar>
          </w:tcPr>
          <w:p>
            <w:r>
              <w:rPr>
                <w:b w:val="false"/>
                <w:bCs w:val="false"/>
                <w:color w:val="000000"/>
                <w:sz w:val="20"/>
                <w:szCs w:val="20"/>
              </w:rPr>
              <w:t xml:space="preserve">react-pdf / jsPDF</w:t>
            </w:r>
          </w:p>
        </w:tc>
        <w:tc>
          <w:tcPr>
            <w:tcW w:type="dxa" w:w="4526"/>
            <w:tcMar>
              <w:top w:type="dxa" w:w="80"/>
              <w:left w:type="dxa" w:w="100"/>
              <w:bottom w:type="dxa" w:w="80"/>
              <w:right w:type="dxa" w:w="100"/>
            </w:tcMar>
          </w:tcPr>
          <w:p>
            <w:r>
              <w:rPr>
                <w:b w:val="false"/>
                <w:bCs w:val="false"/>
                <w:color w:val="000000"/>
                <w:sz w:val="20"/>
                <w:szCs w:val="20"/>
              </w:rPr>
              <w:t xml:space="preserve">Generates the printable intake slip and final receipt as branded PDFs, templated per client.</w:t>
            </w:r>
          </w:p>
        </w:tc>
      </w:tr>
      <w:tr>
        <w:tc>
          <w:tcPr>
            <w:tcW w:type="dxa" w:w="2000"/>
            <w:tcMar>
              <w:top w:type="dxa" w:w="80"/>
              <w:left w:type="dxa" w:w="100"/>
              <w:bottom w:type="dxa" w:w="80"/>
              <w:right w:type="dxa" w:w="100"/>
            </w:tcMar>
          </w:tcPr>
          <w:p>
            <w:r>
              <w:rPr>
                <w:b w:val="false"/>
                <w:bCs w:val="false"/>
                <w:color w:val="000000"/>
                <w:sz w:val="20"/>
                <w:szCs w:val="20"/>
              </w:rPr>
              <w:t xml:space="preserve">Source control</w:t>
            </w:r>
          </w:p>
        </w:tc>
        <w:tc>
          <w:tcPr>
            <w:tcW w:type="dxa" w:w="2500"/>
            <w:tcMar>
              <w:top w:type="dxa" w:w="80"/>
              <w:left w:type="dxa" w:w="100"/>
              <w:bottom w:type="dxa" w:w="80"/>
              <w:right w:type="dxa" w:w="100"/>
            </w:tcMar>
          </w:tcPr>
          <w:p>
            <w:r>
              <w:rPr>
                <w:b w:val="false"/>
                <w:bCs w:val="false"/>
                <w:color w:val="000000"/>
                <w:sz w:val="20"/>
                <w:szCs w:val="20"/>
              </w:rPr>
              <w:t xml:space="preserve">GitHub</w:t>
            </w:r>
          </w:p>
        </w:tc>
        <w:tc>
          <w:tcPr>
            <w:tcW w:type="dxa" w:w="4526"/>
            <w:tcMar>
              <w:top w:type="dxa" w:w="80"/>
              <w:left w:type="dxa" w:w="100"/>
              <w:bottom w:type="dxa" w:w="80"/>
              <w:right w:type="dxa" w:w="100"/>
            </w:tcMar>
          </w:tcPr>
          <w:p>
            <w:r>
              <w:rPr>
                <w:b w:val="false"/>
                <w:bCs w:val="false"/>
                <w:color w:val="000000"/>
                <w:sz w:val="20"/>
                <w:szCs w:val="20"/>
              </w:rPr>
              <w:t xml:space="preserve">One template repository per the core; a working branch or repo per client deployment.</w:t>
            </w:r>
          </w:p>
        </w:tc>
      </w:tr>
    </w:tbl>
    <w:p>
      <w:pPr>
        <w:pStyle w:val="Heading1"/>
        <w:spacing w:after="160" w:before="360"/>
      </w:pPr>
      <w:r>
        <w:rPr>
          <w:b/>
          <w:bCs/>
          <w:color w:val="1F3864"/>
          <w:sz w:val="28"/>
          <w:szCs w:val="28"/>
        </w:rPr>
        <w:t xml:space="preserve">5. Database Schema — Core + Configuration Layer</w:t>
      </w:r>
    </w:p>
    <w:p>
      <w:pPr>
        <w:spacing w:after="160"/>
      </w:pPr>
      <w:r>
        <w:rPr>
          <w:b w:val="false"/>
          <w:bCs w:val="false"/>
          <w:i w:val="false"/>
          <w:iCs w:val="false"/>
          <w:sz w:val="21"/>
          <w:szCs w:val="21"/>
        </w:rPr>
        <w:t xml:space="preserve">Five tables form the fixed core. The two marked “config” are what make the same schema reusable across clients without touching code.</w:t>
      </w:r>
    </w:p>
    <w:p>
      <w:pPr>
        <w:pStyle w:val="Heading2"/>
        <w:spacing w:after="120" w:before="240"/>
      </w:pPr>
      <w:r>
        <w:rPr>
          <w:b/>
          <w:bCs/>
          <w:color w:val="1F3864"/>
          <w:sz w:val="24"/>
          <w:szCs w:val="24"/>
        </w:rPr>
        <w:t xml:space="preserve">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Field</w:t>
            </w:r>
          </w:p>
        </w:tc>
        <w:tc>
          <w:tcPr>
            <w:tcW w:type="dxa" w:w="6426"/>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id</w:t>
            </w:r>
          </w:p>
        </w:tc>
        <w:tc>
          <w:tcPr>
            <w:tcW w:type="dxa" w:w="6426"/>
            <w:tcMar>
              <w:top w:type="dxa" w:w="80"/>
              <w:left w:type="dxa" w:w="100"/>
              <w:bottom w:type="dxa" w:w="80"/>
              <w:right w:type="dxa" w:w="100"/>
            </w:tcMar>
          </w:tcPr>
          <w:p>
            <w:r>
              <w:rPr>
                <w:b w:val="false"/>
                <w:bCs w:val="false"/>
                <w:color w:val="000000"/>
                <w:sz w:val="20"/>
                <w:szCs w:val="20"/>
              </w:rPr>
              <w:t xml:space="preserve">Unique location identifier</w:t>
            </w:r>
          </w:p>
        </w:tc>
      </w:tr>
      <w:tr>
        <w:tc>
          <w:tcPr>
            <w:tcW w:type="dxa" w:w="2600"/>
            <w:tcMar>
              <w:top w:type="dxa" w:w="80"/>
              <w:left w:type="dxa" w:w="100"/>
              <w:bottom w:type="dxa" w:w="80"/>
              <w:right w:type="dxa" w:w="100"/>
            </w:tcMar>
          </w:tcPr>
          <w:p>
            <w:r>
              <w:rPr>
                <w:b w:val="false"/>
                <w:bCs w:val="false"/>
                <w:color w:val="000000"/>
                <w:sz w:val="20"/>
                <w:szCs w:val="20"/>
              </w:rPr>
              <w:t xml:space="preserve">name</w:t>
            </w:r>
          </w:p>
        </w:tc>
        <w:tc>
          <w:tcPr>
            <w:tcW w:type="dxa" w:w="6426"/>
            <w:tcMar>
              <w:top w:type="dxa" w:w="80"/>
              <w:left w:type="dxa" w:w="100"/>
              <w:bottom w:type="dxa" w:w="80"/>
              <w:right w:type="dxa" w:w="100"/>
            </w:tcMar>
          </w:tcPr>
          <w:p>
            <w:r>
              <w:rPr>
                <w:b w:val="false"/>
                <w:bCs w:val="false"/>
                <w:color w:val="000000"/>
                <w:sz w:val="20"/>
                <w:szCs w:val="20"/>
              </w:rPr>
              <w:t xml:space="preserve">Location name / branch label</w:t>
            </w:r>
          </w:p>
        </w:tc>
      </w:tr>
      <w:tr>
        <w:tc>
          <w:tcPr>
            <w:tcW w:type="dxa" w:w="2600"/>
            <w:tcMar>
              <w:top w:type="dxa" w:w="80"/>
              <w:left w:type="dxa" w:w="100"/>
              <w:bottom w:type="dxa" w:w="80"/>
              <w:right w:type="dxa" w:w="100"/>
            </w:tcMar>
          </w:tcPr>
          <w:p>
            <w:r>
              <w:rPr>
                <w:b w:val="false"/>
                <w:bCs w:val="false"/>
                <w:color w:val="000000"/>
                <w:sz w:val="20"/>
                <w:szCs w:val="20"/>
              </w:rPr>
              <w:t xml:space="preserve">area</w:t>
            </w:r>
          </w:p>
        </w:tc>
        <w:tc>
          <w:tcPr>
            <w:tcW w:type="dxa" w:w="6426"/>
            <w:tcMar>
              <w:top w:type="dxa" w:w="80"/>
              <w:left w:type="dxa" w:w="100"/>
              <w:bottom w:type="dxa" w:w="80"/>
              <w:right w:type="dxa" w:w="100"/>
            </w:tcMar>
          </w:tcPr>
          <w:p>
            <w:r>
              <w:rPr>
                <w:b w:val="false"/>
                <w:bCs w:val="false"/>
                <w:color w:val="000000"/>
                <w:sz w:val="20"/>
                <w:szCs w:val="20"/>
              </w:rPr>
              <w:t xml:space="preserve">Locality, for internal reference</w:t>
            </w:r>
          </w:p>
        </w:tc>
      </w:tr>
      <w:tr>
        <w:tc>
          <w:tcPr>
            <w:tcW w:type="dxa" w:w="2600"/>
            <w:tcMar>
              <w:top w:type="dxa" w:w="80"/>
              <w:left w:type="dxa" w:w="100"/>
              <w:bottom w:type="dxa" w:w="80"/>
              <w:right w:type="dxa" w:w="100"/>
            </w:tcMar>
          </w:tcPr>
          <w:p>
            <w:r>
              <w:rPr>
                <w:b w:val="false"/>
                <w:bCs w:val="false"/>
                <w:color w:val="000000"/>
                <w:sz w:val="20"/>
                <w:szCs w:val="20"/>
              </w:rPr>
              <w:t xml:space="preserve">active</w:t>
            </w:r>
          </w:p>
        </w:tc>
        <w:tc>
          <w:tcPr>
            <w:tcW w:type="dxa" w:w="6426"/>
            <w:tcMar>
              <w:top w:type="dxa" w:w="80"/>
              <w:left w:type="dxa" w:w="100"/>
              <w:bottom w:type="dxa" w:w="80"/>
              <w:right w:type="dxa" w:w="100"/>
            </w:tcMar>
          </w:tcPr>
          <w:p>
            <w:r>
              <w:rPr>
                <w:b w:val="false"/>
                <w:bCs w:val="false"/>
                <w:color w:val="000000"/>
                <w:sz w:val="20"/>
                <w:szCs w:val="20"/>
              </w:rPr>
              <w:t xml:space="preserve">Whether the location is currently operating</w:t>
            </w:r>
          </w:p>
        </w:tc>
      </w:tr>
    </w:tbl>
    <w:p>
      <w:pPr>
        <w:pStyle w:val="Heading2"/>
        <w:spacing w:after="120" w:before="240"/>
      </w:pPr>
      <w:r>
        <w:rPr>
          <w:b/>
          <w:bCs/>
          <w:color w:val="1F3864"/>
          <w:sz w:val="24"/>
          <w:szCs w:val="24"/>
        </w:rPr>
        <w:t xml:space="preserve">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Field</w:t>
            </w:r>
          </w:p>
        </w:tc>
        <w:tc>
          <w:tcPr>
            <w:tcW w:type="dxa" w:w="6426"/>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id</w:t>
            </w:r>
          </w:p>
        </w:tc>
        <w:tc>
          <w:tcPr>
            <w:tcW w:type="dxa" w:w="6426"/>
            <w:tcMar>
              <w:top w:type="dxa" w:w="80"/>
              <w:left w:type="dxa" w:w="100"/>
              <w:bottom w:type="dxa" w:w="80"/>
              <w:right w:type="dxa" w:w="100"/>
            </w:tcMar>
          </w:tcPr>
          <w:p>
            <w:r>
              <w:rPr>
                <w:b w:val="false"/>
                <w:bCs w:val="false"/>
                <w:color w:val="000000"/>
                <w:sz w:val="20"/>
                <w:szCs w:val="20"/>
              </w:rPr>
              <w:t xml:space="preserve">Unique staff identifier</w:t>
            </w:r>
          </w:p>
        </w:tc>
      </w:tr>
      <w:tr>
        <w:tc>
          <w:tcPr>
            <w:tcW w:type="dxa" w:w="2600"/>
            <w:tcMar>
              <w:top w:type="dxa" w:w="80"/>
              <w:left w:type="dxa" w:w="100"/>
              <w:bottom w:type="dxa" w:w="80"/>
              <w:right w:type="dxa" w:w="100"/>
            </w:tcMar>
          </w:tcPr>
          <w:p>
            <w:r>
              <w:rPr>
                <w:b w:val="false"/>
                <w:bCs w:val="false"/>
                <w:color w:val="000000"/>
                <w:sz w:val="20"/>
                <w:szCs w:val="20"/>
              </w:rPr>
              <w:t xml:space="preserve">name</w:t>
            </w:r>
          </w:p>
        </w:tc>
        <w:tc>
          <w:tcPr>
            <w:tcW w:type="dxa" w:w="6426"/>
            <w:tcMar>
              <w:top w:type="dxa" w:w="80"/>
              <w:left w:type="dxa" w:w="100"/>
              <w:bottom w:type="dxa" w:w="80"/>
              <w:right w:type="dxa" w:w="100"/>
            </w:tcMar>
          </w:tcPr>
          <w:p>
            <w:r>
              <w:rPr>
                <w:b w:val="false"/>
                <w:bCs w:val="false"/>
                <w:color w:val="000000"/>
                <w:sz w:val="20"/>
                <w:szCs w:val="20"/>
              </w:rPr>
              <w:t xml:space="preserve">Staff member's name</w:t>
            </w:r>
          </w:p>
        </w:tc>
      </w:tr>
      <w:tr>
        <w:tc>
          <w:tcPr>
            <w:tcW w:type="dxa" w:w="2600"/>
            <w:tcMar>
              <w:top w:type="dxa" w:w="80"/>
              <w:left w:type="dxa" w:w="100"/>
              <w:bottom w:type="dxa" w:w="80"/>
              <w:right w:type="dxa" w:w="100"/>
            </w:tcMar>
          </w:tcPr>
          <w:p>
            <w:r>
              <w:rPr>
                <w:b w:val="false"/>
                <w:bCs w:val="false"/>
                <w:color w:val="000000"/>
                <w:sz w:val="20"/>
                <w:szCs w:val="20"/>
              </w:rPr>
              <w:t xml:space="preserve">phone</w:t>
            </w:r>
          </w:p>
        </w:tc>
        <w:tc>
          <w:tcPr>
            <w:tcW w:type="dxa" w:w="6426"/>
            <w:tcMar>
              <w:top w:type="dxa" w:w="80"/>
              <w:left w:type="dxa" w:w="100"/>
              <w:bottom w:type="dxa" w:w="80"/>
              <w:right w:type="dxa" w:w="100"/>
            </w:tcMar>
          </w:tcPr>
          <w:p>
            <w:r>
              <w:rPr>
                <w:b w:val="false"/>
                <w:bCs w:val="false"/>
                <w:color w:val="000000"/>
                <w:sz w:val="20"/>
                <w:szCs w:val="20"/>
              </w:rPr>
              <w:t xml:space="preserve">Contact number</w:t>
            </w:r>
          </w:p>
        </w:tc>
      </w:tr>
      <w:tr>
        <w:tc>
          <w:tcPr>
            <w:tcW w:type="dxa" w:w="2600"/>
            <w:tcMar>
              <w:top w:type="dxa" w:w="80"/>
              <w:left w:type="dxa" w:w="100"/>
              <w:bottom w:type="dxa" w:w="80"/>
              <w:right w:type="dxa" w:w="100"/>
            </w:tcMar>
          </w:tcPr>
          <w:p>
            <w:r>
              <w:rPr>
                <w:b w:val="false"/>
                <w:bCs w:val="false"/>
                <w:color w:val="000000"/>
                <w:sz w:val="20"/>
                <w:szCs w:val="20"/>
              </w:rPr>
              <w:t xml:space="preserve">location_id</w:t>
            </w:r>
          </w:p>
        </w:tc>
        <w:tc>
          <w:tcPr>
            <w:tcW w:type="dxa" w:w="6426"/>
            <w:tcMar>
              <w:top w:type="dxa" w:w="80"/>
              <w:left w:type="dxa" w:w="100"/>
              <w:bottom w:type="dxa" w:w="80"/>
              <w:right w:type="dxa" w:w="100"/>
            </w:tcMar>
          </w:tcPr>
          <w:p>
            <w:r>
              <w:rPr>
                <w:b w:val="false"/>
                <w:bCs w:val="false"/>
                <w:color w:val="000000"/>
                <w:sz w:val="20"/>
                <w:szCs w:val="20"/>
              </w:rPr>
              <w:t xml:space="preserve">Location the staff member is assigned to</w:t>
            </w:r>
          </w:p>
        </w:tc>
      </w:tr>
      <w:tr>
        <w:tc>
          <w:tcPr>
            <w:tcW w:type="dxa" w:w="2600"/>
            <w:tcMar>
              <w:top w:type="dxa" w:w="80"/>
              <w:left w:type="dxa" w:w="100"/>
              <w:bottom w:type="dxa" w:w="80"/>
              <w:right w:type="dxa" w:w="100"/>
            </w:tcMar>
          </w:tcPr>
          <w:p>
            <w:r>
              <w:rPr>
                <w:b w:val="false"/>
                <w:bCs w:val="false"/>
                <w:color w:val="000000"/>
                <w:sz w:val="20"/>
                <w:szCs w:val="20"/>
              </w:rPr>
              <w:t xml:space="preserve">role</w:t>
            </w:r>
          </w:p>
        </w:tc>
        <w:tc>
          <w:tcPr>
            <w:tcW w:type="dxa" w:w="6426"/>
            <w:tcMar>
              <w:top w:type="dxa" w:w="80"/>
              <w:left w:type="dxa" w:w="100"/>
              <w:bottom w:type="dxa" w:w="80"/>
              <w:right w:type="dxa" w:w="100"/>
            </w:tcMar>
          </w:tcPr>
          <w:p>
            <w:r>
              <w:rPr>
                <w:b w:val="false"/>
                <w:bCs w:val="false"/>
                <w:color w:val="000000"/>
                <w:sz w:val="20"/>
                <w:szCs w:val="20"/>
              </w:rPr>
              <w:t xml:space="preserve">staff or admin — controls what they can see and edit</w:t>
            </w:r>
          </w:p>
        </w:tc>
      </w:tr>
    </w:tbl>
    <w:p>
      <w:pPr>
        <w:pStyle w:val="Heading2"/>
        <w:spacing w:after="120" w:before="240"/>
      </w:pPr>
      <w:r>
        <w:rPr>
          <w:b/>
          <w:bCs/>
          <w:color w:val="1F3864"/>
          <w:sz w:val="24"/>
          <w:szCs w:val="24"/>
        </w:rPr>
        <w:t xml:space="preserve">records</w:t>
      </w:r>
    </w:p>
    <w:p>
      <w:pPr>
        <w:spacing w:after="160"/>
      </w:pPr>
      <w:r>
        <w:rPr>
          <w:b w:val="false"/>
          <w:bCs w:val="false"/>
          <w:i w:val="false"/>
          <w:iCs w:val="false"/>
          <w:sz w:val="21"/>
          <w:szCs w:val="21"/>
        </w:rPr>
        <w:t xml:space="preserve">The generic version of “jobs.” Core fields are fixed across every deployment; custom_fields absorbs whatever is vertical-specific (IMEI, VIN, patient ID — see Section 15) without a schema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Field</w:t>
            </w:r>
          </w:p>
        </w:tc>
        <w:tc>
          <w:tcPr>
            <w:tcW w:type="dxa" w:w="6426"/>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id</w:t>
            </w:r>
          </w:p>
        </w:tc>
        <w:tc>
          <w:tcPr>
            <w:tcW w:type="dxa" w:w="6426"/>
            <w:tcMar>
              <w:top w:type="dxa" w:w="80"/>
              <w:left w:type="dxa" w:w="100"/>
              <w:bottom w:type="dxa" w:w="80"/>
              <w:right w:type="dxa" w:w="100"/>
            </w:tcMar>
          </w:tcPr>
          <w:p>
            <w:r>
              <w:rPr>
                <w:b w:val="false"/>
                <w:bCs w:val="false"/>
                <w:color w:val="000000"/>
                <w:sz w:val="20"/>
                <w:szCs w:val="20"/>
              </w:rPr>
              <w:t xml:space="preserve">Record ID, e.g. MS-000123 (shown to the customer)</w:t>
            </w:r>
          </w:p>
        </w:tc>
      </w:tr>
      <w:tr>
        <w:tc>
          <w:tcPr>
            <w:tcW w:type="dxa" w:w="2600"/>
            <w:tcMar>
              <w:top w:type="dxa" w:w="80"/>
              <w:left w:type="dxa" w:w="100"/>
              <w:bottom w:type="dxa" w:w="80"/>
              <w:right w:type="dxa" w:w="100"/>
            </w:tcMar>
          </w:tcPr>
          <w:p>
            <w:r>
              <w:rPr>
                <w:b w:val="false"/>
                <w:bCs w:val="false"/>
                <w:color w:val="000000"/>
                <w:sz w:val="20"/>
                <w:szCs w:val="20"/>
              </w:rPr>
              <w:t xml:space="preserve">customer_name, customer_phone</w:t>
            </w:r>
          </w:p>
        </w:tc>
        <w:tc>
          <w:tcPr>
            <w:tcW w:type="dxa" w:w="6426"/>
            <w:tcMar>
              <w:top w:type="dxa" w:w="80"/>
              <w:left w:type="dxa" w:w="100"/>
              <w:bottom w:type="dxa" w:w="80"/>
              <w:right w:type="dxa" w:w="100"/>
            </w:tcMar>
          </w:tcPr>
          <w:p>
            <w:r>
              <w:rPr>
                <w:b w:val="false"/>
                <w:bCs w:val="false"/>
                <w:color w:val="000000"/>
                <w:sz w:val="20"/>
                <w:szCs w:val="20"/>
              </w:rPr>
              <w:t xml:space="preserve">Customer contact details</w:t>
            </w:r>
          </w:p>
        </w:tc>
      </w:tr>
      <w:tr>
        <w:tc>
          <w:tcPr>
            <w:tcW w:type="dxa" w:w="2600"/>
            <w:tcMar>
              <w:top w:type="dxa" w:w="80"/>
              <w:left w:type="dxa" w:w="100"/>
              <w:bottom w:type="dxa" w:w="80"/>
              <w:right w:type="dxa" w:w="100"/>
            </w:tcMar>
          </w:tcPr>
          <w:p>
            <w:r>
              <w:rPr>
                <w:b w:val="false"/>
                <w:bCs w:val="false"/>
                <w:color w:val="000000"/>
                <w:sz w:val="20"/>
                <w:szCs w:val="20"/>
              </w:rPr>
              <w:t xml:space="preserve">record_type</w:t>
            </w:r>
          </w:p>
        </w:tc>
        <w:tc>
          <w:tcPr>
            <w:tcW w:type="dxa" w:w="6426"/>
            <w:tcMar>
              <w:top w:type="dxa" w:w="80"/>
              <w:left w:type="dxa" w:w="100"/>
              <w:bottom w:type="dxa" w:w="80"/>
              <w:right w:type="dxa" w:w="100"/>
            </w:tcMar>
          </w:tcPr>
          <w:p>
            <w:r>
              <w:rPr>
                <w:b w:val="false"/>
                <w:bCs w:val="false"/>
                <w:color w:val="000000"/>
                <w:sz w:val="20"/>
                <w:szCs w:val="20"/>
              </w:rPr>
              <w:t xml:space="preserve">Which workflow this record follows, if a deployment has more than one</w:t>
            </w:r>
          </w:p>
        </w:tc>
      </w:tr>
      <w:tr>
        <w:tc>
          <w:tcPr>
            <w:tcW w:type="dxa" w:w="2600"/>
            <w:tcMar>
              <w:top w:type="dxa" w:w="80"/>
              <w:left w:type="dxa" w:w="100"/>
              <w:bottom w:type="dxa" w:w="80"/>
              <w:right w:type="dxa" w:w="100"/>
            </w:tcMar>
          </w:tcPr>
          <w:p>
            <w:r>
              <w:rPr>
                <w:b w:val="false"/>
                <w:bCs w:val="false"/>
                <w:color w:val="000000"/>
                <w:sz w:val="20"/>
                <w:szCs w:val="20"/>
              </w:rPr>
              <w:t xml:space="preserve">unique_identifier</w:t>
            </w:r>
          </w:p>
        </w:tc>
        <w:tc>
          <w:tcPr>
            <w:tcW w:type="dxa" w:w="6426"/>
            <w:tcMar>
              <w:top w:type="dxa" w:w="80"/>
              <w:left w:type="dxa" w:w="100"/>
              <w:bottom w:type="dxa" w:w="80"/>
              <w:right w:type="dxa" w:w="100"/>
            </w:tcMar>
          </w:tcPr>
          <w:p>
            <w:r>
              <w:rPr>
                <w:b w:val="false"/>
                <w:bCs w:val="false"/>
                <w:color w:val="000000"/>
                <w:sz w:val="20"/>
                <w:szCs w:val="20"/>
              </w:rPr>
              <w:t xml:space="preserve">The configured lookup field for this vertical (IMEI, VIN, order tag, patient ID, etc.)</w:t>
            </w:r>
          </w:p>
        </w:tc>
      </w:tr>
      <w:tr>
        <w:tc>
          <w:tcPr>
            <w:tcW w:type="dxa" w:w="2600"/>
            <w:tcMar>
              <w:top w:type="dxa" w:w="80"/>
              <w:left w:type="dxa" w:w="100"/>
              <w:bottom w:type="dxa" w:w="80"/>
              <w:right w:type="dxa" w:w="100"/>
            </w:tcMar>
          </w:tcPr>
          <w:p>
            <w:r>
              <w:rPr>
                <w:b w:val="false"/>
                <w:bCs w:val="false"/>
                <w:color w:val="000000"/>
                <w:sz w:val="20"/>
                <w:szCs w:val="20"/>
              </w:rPr>
              <w:t xml:space="preserve">custom_fields</w:t>
            </w:r>
          </w:p>
        </w:tc>
        <w:tc>
          <w:tcPr>
            <w:tcW w:type="dxa" w:w="6426"/>
            <w:tcMar>
              <w:top w:type="dxa" w:w="80"/>
              <w:left w:type="dxa" w:w="100"/>
              <w:bottom w:type="dxa" w:w="80"/>
              <w:right w:type="dxa" w:w="100"/>
            </w:tcMar>
          </w:tcPr>
          <w:p>
            <w:r>
              <w:rPr>
                <w:b w:val="false"/>
                <w:bCs w:val="false"/>
                <w:color w:val="000000"/>
                <w:sz w:val="20"/>
                <w:szCs w:val="20"/>
              </w:rPr>
              <w:t xml:space="preserve">JSONB — vertical-specific fields not worth a dedicated column (device condition, garment count, service notes)</w:t>
            </w:r>
          </w:p>
        </w:tc>
      </w:tr>
      <w:tr>
        <w:tc>
          <w:tcPr>
            <w:tcW w:type="dxa" w:w="2600"/>
            <w:tcMar>
              <w:top w:type="dxa" w:w="80"/>
              <w:left w:type="dxa" w:w="100"/>
              <w:bottom w:type="dxa" w:w="80"/>
              <w:right w:type="dxa" w:w="100"/>
            </w:tcMar>
          </w:tcPr>
          <w:p>
            <w:r>
              <w:rPr>
                <w:b w:val="false"/>
                <w:bCs w:val="false"/>
                <w:color w:val="000000"/>
                <w:sz w:val="20"/>
                <w:szCs w:val="20"/>
              </w:rPr>
              <w:t xml:space="preserve">description</w:t>
            </w:r>
          </w:p>
        </w:tc>
        <w:tc>
          <w:tcPr>
            <w:tcW w:type="dxa" w:w="6426"/>
            <w:tcMar>
              <w:top w:type="dxa" w:w="80"/>
              <w:left w:type="dxa" w:w="100"/>
              <w:bottom w:type="dxa" w:w="80"/>
              <w:right w:type="dxa" w:w="100"/>
            </w:tcMar>
          </w:tcPr>
          <w:p>
            <w:r>
              <w:rPr>
                <w:b w:val="false"/>
                <w:bCs w:val="false"/>
                <w:color w:val="000000"/>
                <w:sz w:val="20"/>
                <w:szCs w:val="20"/>
              </w:rPr>
              <w:t xml:space="preserve">Reported issue / request, in the customer's or staff's words</w:t>
            </w:r>
          </w:p>
        </w:tc>
      </w:tr>
      <w:tr>
        <w:tc>
          <w:tcPr>
            <w:tcW w:type="dxa" w:w="2600"/>
            <w:tcMar>
              <w:top w:type="dxa" w:w="80"/>
              <w:left w:type="dxa" w:w="100"/>
              <w:bottom w:type="dxa" w:w="80"/>
              <w:right w:type="dxa" w:w="100"/>
            </w:tcMar>
          </w:tcPr>
          <w:p>
            <w:r>
              <w:rPr>
                <w:b w:val="false"/>
                <w:bCs w:val="false"/>
                <w:color w:val="000000"/>
                <w:sz w:val="20"/>
                <w:szCs w:val="20"/>
              </w:rPr>
              <w:t xml:space="preserve">intake_location_id, intake_staff_id</w:t>
            </w:r>
          </w:p>
        </w:tc>
        <w:tc>
          <w:tcPr>
            <w:tcW w:type="dxa" w:w="6426"/>
            <w:tcMar>
              <w:top w:type="dxa" w:w="80"/>
              <w:left w:type="dxa" w:w="100"/>
              <w:bottom w:type="dxa" w:w="80"/>
              <w:right w:type="dxa" w:w="100"/>
            </w:tcMar>
          </w:tcPr>
          <w:p>
            <w:r>
              <w:rPr>
                <w:b w:val="false"/>
                <w:bCs w:val="false"/>
                <w:color w:val="000000"/>
                <w:sz w:val="20"/>
                <w:szCs w:val="20"/>
              </w:rPr>
              <w:t xml:space="preserve">Where and by whom the record was created</w:t>
            </w:r>
          </w:p>
        </w:tc>
      </w:tr>
      <w:tr>
        <w:tc>
          <w:tcPr>
            <w:tcW w:type="dxa" w:w="2600"/>
            <w:tcMar>
              <w:top w:type="dxa" w:w="80"/>
              <w:left w:type="dxa" w:w="100"/>
              <w:bottom w:type="dxa" w:w="80"/>
              <w:right w:type="dxa" w:w="100"/>
            </w:tcMar>
          </w:tcPr>
          <w:p>
            <w:r>
              <w:rPr>
                <w:b w:val="false"/>
                <w:bCs w:val="false"/>
                <w:color w:val="000000"/>
                <w:sz w:val="20"/>
                <w:szCs w:val="20"/>
              </w:rPr>
              <w:t xml:space="preserve">status</w:t>
            </w:r>
          </w:p>
        </w:tc>
        <w:tc>
          <w:tcPr>
            <w:tcW w:type="dxa" w:w="6426"/>
            <w:tcMar>
              <w:top w:type="dxa" w:w="80"/>
              <w:left w:type="dxa" w:w="100"/>
              <w:bottom w:type="dxa" w:w="80"/>
              <w:right w:type="dxa" w:w="100"/>
            </w:tcMar>
          </w:tcPr>
          <w:p>
            <w:r>
              <w:rPr>
                <w:b w:val="false"/>
                <w:bCs w:val="false"/>
                <w:color w:val="000000"/>
                <w:sz w:val="20"/>
                <w:szCs w:val="20"/>
              </w:rPr>
              <w:t xml:space="preserve">Current stage — see Section 7</w:t>
            </w:r>
          </w:p>
        </w:tc>
      </w:tr>
      <w:tr>
        <w:tc>
          <w:tcPr>
            <w:tcW w:type="dxa" w:w="2600"/>
            <w:tcMar>
              <w:top w:type="dxa" w:w="80"/>
              <w:left w:type="dxa" w:w="100"/>
              <w:bottom w:type="dxa" w:w="80"/>
              <w:right w:type="dxa" w:w="100"/>
            </w:tcMar>
          </w:tcPr>
          <w:p>
            <w:r>
              <w:rPr>
                <w:b w:val="false"/>
                <w:bCs w:val="false"/>
                <w:color w:val="000000"/>
                <w:sz w:val="20"/>
                <w:szCs w:val="20"/>
              </w:rPr>
              <w:t xml:space="preserve">estimated_cost, final_cost</w:t>
            </w:r>
          </w:p>
        </w:tc>
        <w:tc>
          <w:tcPr>
            <w:tcW w:type="dxa" w:w="6426"/>
            <w:tcMar>
              <w:top w:type="dxa" w:w="80"/>
              <w:left w:type="dxa" w:w="100"/>
              <w:bottom w:type="dxa" w:w="80"/>
              <w:right w:type="dxa" w:w="100"/>
            </w:tcMar>
          </w:tcPr>
          <w:p>
            <w:r>
              <w:rPr>
                <w:b w:val="false"/>
                <w:bCs w:val="false"/>
                <w:color w:val="000000"/>
                <w:sz w:val="20"/>
                <w:szCs w:val="20"/>
              </w:rPr>
              <w:t xml:space="preserve">Cost tracking</w:t>
            </w:r>
          </w:p>
        </w:tc>
      </w:tr>
      <w:tr>
        <w:tc>
          <w:tcPr>
            <w:tcW w:type="dxa" w:w="2600"/>
            <w:tcMar>
              <w:top w:type="dxa" w:w="80"/>
              <w:left w:type="dxa" w:w="100"/>
              <w:bottom w:type="dxa" w:w="80"/>
              <w:right w:type="dxa" w:w="100"/>
            </w:tcMar>
          </w:tcPr>
          <w:p>
            <w:r>
              <w:rPr>
                <w:b w:val="false"/>
                <w:bCs w:val="false"/>
                <w:color w:val="000000"/>
                <w:sz w:val="20"/>
                <w:szCs w:val="20"/>
              </w:rPr>
              <w:t xml:space="preserve">date_received, date_completed</w:t>
            </w:r>
          </w:p>
        </w:tc>
        <w:tc>
          <w:tcPr>
            <w:tcW w:type="dxa" w:w="6426"/>
            <w:tcMar>
              <w:top w:type="dxa" w:w="80"/>
              <w:left w:type="dxa" w:w="100"/>
              <w:bottom w:type="dxa" w:w="80"/>
              <w:right w:type="dxa" w:w="100"/>
            </w:tcMar>
          </w:tcPr>
          <w:p>
            <w:r>
              <w:rPr>
                <w:b w:val="false"/>
                <w:bCs w:val="false"/>
                <w:color w:val="000000"/>
                <w:sz w:val="20"/>
                <w:szCs w:val="20"/>
              </w:rPr>
              <w:t xml:space="preserve">Key timestamps</w:t>
            </w:r>
          </w:p>
        </w:tc>
      </w:tr>
    </w:tbl>
    <w:p>
      <w:pPr>
        <w:pStyle w:val="Heading2"/>
        <w:spacing w:after="120" w:before="240"/>
      </w:pPr>
      <w:r>
        <w:rPr>
          <w:b/>
          <w:bCs/>
          <w:color w:val="1F3864"/>
          <w:sz w:val="24"/>
          <w:szCs w:val="24"/>
        </w:rPr>
        <w:t xml:space="preserve">record_status_history</w:t>
      </w:r>
    </w:p>
    <w:p>
      <w:pPr>
        <w:spacing w:after="160"/>
      </w:pPr>
      <w:r>
        <w:rPr>
          <w:b w:val="false"/>
          <w:bCs w:val="false"/>
          <w:i w:val="false"/>
          <w:iCs w:val="false"/>
          <w:sz w:val="21"/>
          <w:szCs w:val="21"/>
        </w:rPr>
        <w:t xml:space="preserve">The most important table — it powers the live status pipeline, the audit trail, and the notification trigger (a new row = a status change = a message sent). This is the one piece of the system every deployment shares byte-for-byte.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Field</w:t>
            </w:r>
          </w:p>
        </w:tc>
        <w:tc>
          <w:tcPr>
            <w:tcW w:type="dxa" w:w="6426"/>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id</w:t>
            </w:r>
          </w:p>
        </w:tc>
        <w:tc>
          <w:tcPr>
            <w:tcW w:type="dxa" w:w="6426"/>
            <w:tcMar>
              <w:top w:type="dxa" w:w="80"/>
              <w:left w:type="dxa" w:w="100"/>
              <w:bottom w:type="dxa" w:w="80"/>
              <w:right w:type="dxa" w:w="100"/>
            </w:tcMar>
          </w:tcPr>
          <w:p>
            <w:r>
              <w:rPr>
                <w:b w:val="false"/>
                <w:bCs w:val="false"/>
                <w:color w:val="000000"/>
                <w:sz w:val="20"/>
                <w:szCs w:val="20"/>
              </w:rPr>
              <w:t xml:space="preserve">Unique row identifier</w:t>
            </w:r>
          </w:p>
        </w:tc>
      </w:tr>
      <w:tr>
        <w:tc>
          <w:tcPr>
            <w:tcW w:type="dxa" w:w="2600"/>
            <w:tcMar>
              <w:top w:type="dxa" w:w="80"/>
              <w:left w:type="dxa" w:w="100"/>
              <w:bottom w:type="dxa" w:w="80"/>
              <w:right w:type="dxa" w:w="100"/>
            </w:tcMar>
          </w:tcPr>
          <w:p>
            <w:r>
              <w:rPr>
                <w:b w:val="false"/>
                <w:bCs w:val="false"/>
                <w:color w:val="000000"/>
                <w:sz w:val="20"/>
                <w:szCs w:val="20"/>
              </w:rPr>
              <w:t xml:space="preserve">record_id</w:t>
            </w:r>
          </w:p>
        </w:tc>
        <w:tc>
          <w:tcPr>
            <w:tcW w:type="dxa" w:w="6426"/>
            <w:tcMar>
              <w:top w:type="dxa" w:w="80"/>
              <w:left w:type="dxa" w:w="100"/>
              <w:bottom w:type="dxa" w:w="80"/>
              <w:right w:type="dxa" w:w="100"/>
            </w:tcMar>
          </w:tcPr>
          <w:p>
            <w:r>
              <w:rPr>
                <w:b w:val="false"/>
                <w:bCs w:val="false"/>
                <w:color w:val="000000"/>
                <w:sz w:val="20"/>
                <w:szCs w:val="20"/>
              </w:rPr>
              <w:t xml:space="preserve">Which record this update belongs to</w:t>
            </w:r>
          </w:p>
        </w:tc>
      </w:tr>
      <w:tr>
        <w:tc>
          <w:tcPr>
            <w:tcW w:type="dxa" w:w="2600"/>
            <w:tcMar>
              <w:top w:type="dxa" w:w="80"/>
              <w:left w:type="dxa" w:w="100"/>
              <w:bottom w:type="dxa" w:w="80"/>
              <w:right w:type="dxa" w:w="100"/>
            </w:tcMar>
          </w:tcPr>
          <w:p>
            <w:r>
              <w:rPr>
                <w:b w:val="false"/>
                <w:bCs w:val="false"/>
                <w:color w:val="000000"/>
                <w:sz w:val="20"/>
                <w:szCs w:val="20"/>
              </w:rPr>
              <w:t xml:space="preserve">stage</w:t>
            </w:r>
          </w:p>
        </w:tc>
        <w:tc>
          <w:tcPr>
            <w:tcW w:type="dxa" w:w="6426"/>
            <w:tcMar>
              <w:top w:type="dxa" w:w="80"/>
              <w:left w:type="dxa" w:w="100"/>
              <w:bottom w:type="dxa" w:w="80"/>
              <w:right w:type="dxa" w:w="100"/>
            </w:tcMar>
          </w:tcPr>
          <w:p>
            <w:r>
              <w:rPr>
                <w:b w:val="false"/>
                <w:bCs w:val="false"/>
                <w:color w:val="000000"/>
                <w:sz w:val="20"/>
                <w:szCs w:val="20"/>
              </w:rPr>
              <w:t xml:space="preserve">The status being logged (including transfer and exception states)</w:t>
            </w:r>
          </w:p>
        </w:tc>
      </w:tr>
      <w:tr>
        <w:tc>
          <w:tcPr>
            <w:tcW w:type="dxa" w:w="2600"/>
            <w:tcMar>
              <w:top w:type="dxa" w:w="80"/>
              <w:left w:type="dxa" w:w="100"/>
              <w:bottom w:type="dxa" w:w="80"/>
              <w:right w:type="dxa" w:w="100"/>
            </w:tcMar>
          </w:tcPr>
          <w:p>
            <w:r>
              <w:rPr>
                <w:b w:val="false"/>
                <w:bCs w:val="false"/>
                <w:color w:val="000000"/>
                <w:sz w:val="20"/>
                <w:szCs w:val="20"/>
              </w:rPr>
              <w:t xml:space="preserve">note</w:t>
            </w:r>
          </w:p>
        </w:tc>
        <w:tc>
          <w:tcPr>
            <w:tcW w:type="dxa" w:w="6426"/>
            <w:tcMar>
              <w:top w:type="dxa" w:w="80"/>
              <w:left w:type="dxa" w:w="100"/>
              <w:bottom w:type="dxa" w:w="80"/>
              <w:right w:type="dxa" w:w="100"/>
            </w:tcMar>
          </w:tcPr>
          <w:p>
            <w:r>
              <w:rPr>
                <w:b w:val="false"/>
                <w:bCs w:val="false"/>
                <w:color w:val="000000"/>
                <w:sz w:val="20"/>
                <w:szCs w:val="20"/>
              </w:rPr>
              <w:t xml:space="preserve">Optional free-text note from staff</w:t>
            </w:r>
          </w:p>
        </w:tc>
      </w:tr>
      <w:tr>
        <w:tc>
          <w:tcPr>
            <w:tcW w:type="dxa" w:w="2600"/>
            <w:tcMar>
              <w:top w:type="dxa" w:w="80"/>
              <w:left w:type="dxa" w:w="100"/>
              <w:bottom w:type="dxa" w:w="80"/>
              <w:right w:type="dxa" w:w="100"/>
            </w:tcMar>
          </w:tcPr>
          <w:p>
            <w:r>
              <w:rPr>
                <w:b w:val="false"/>
                <w:bCs w:val="false"/>
                <w:color w:val="000000"/>
                <w:sz w:val="20"/>
                <w:szCs w:val="20"/>
              </w:rPr>
              <w:t xml:space="preserve">updated_by_staff_id, location_id</w:t>
            </w:r>
          </w:p>
        </w:tc>
        <w:tc>
          <w:tcPr>
            <w:tcW w:type="dxa" w:w="6426"/>
            <w:tcMar>
              <w:top w:type="dxa" w:w="80"/>
              <w:left w:type="dxa" w:w="100"/>
              <w:bottom w:type="dxa" w:w="80"/>
              <w:right w:type="dxa" w:w="100"/>
            </w:tcMar>
          </w:tcPr>
          <w:p>
            <w:r>
              <w:rPr>
                <w:b w:val="false"/>
                <w:bCs w:val="false"/>
                <w:color w:val="000000"/>
                <w:sz w:val="20"/>
                <w:szCs w:val="20"/>
              </w:rPr>
              <w:t xml:space="preserve">Who made the update, and from which location — the accountability record</w:t>
            </w:r>
          </w:p>
        </w:tc>
      </w:tr>
      <w:tr>
        <w:tc>
          <w:tcPr>
            <w:tcW w:type="dxa" w:w="2600"/>
            <w:tcMar>
              <w:top w:type="dxa" w:w="80"/>
              <w:left w:type="dxa" w:w="100"/>
              <w:bottom w:type="dxa" w:w="80"/>
              <w:right w:type="dxa" w:w="100"/>
            </w:tcMar>
          </w:tcPr>
          <w:p>
            <w:r>
              <w:rPr>
                <w:b w:val="false"/>
                <w:bCs w:val="false"/>
                <w:color w:val="000000"/>
                <w:sz w:val="20"/>
                <w:szCs w:val="20"/>
              </w:rPr>
              <w:t xml:space="preserve">updated_at</w:t>
            </w:r>
          </w:p>
        </w:tc>
        <w:tc>
          <w:tcPr>
            <w:tcW w:type="dxa" w:w="6426"/>
            <w:tcMar>
              <w:top w:type="dxa" w:w="80"/>
              <w:left w:type="dxa" w:w="100"/>
              <w:bottom w:type="dxa" w:w="80"/>
              <w:right w:type="dxa" w:w="100"/>
            </w:tcMar>
          </w:tcPr>
          <w:p>
            <w:r>
              <w:rPr>
                <w:b w:val="false"/>
                <w:bCs w:val="false"/>
                <w:color w:val="000000"/>
                <w:sz w:val="20"/>
                <w:szCs w:val="20"/>
              </w:rPr>
              <w:t xml:space="preserve">Timestamp — also used to detect stalled records and edit conflicts</w:t>
            </w:r>
          </w:p>
        </w:tc>
      </w:tr>
    </w:tbl>
    <w:p>
      <w:pPr>
        <w:pStyle w:val="Heading2"/>
        <w:spacing w:after="120" w:before="240"/>
      </w:pPr>
      <w:r>
        <w:rPr>
          <w:b/>
          <w:bCs/>
          <w:color w:val="1F3864"/>
          <w:sz w:val="24"/>
          <w:szCs w:val="24"/>
        </w:rPr>
        <w:t xml:space="preserve">workflow_stages (config)</w:t>
      </w:r>
    </w:p>
    <w:p>
      <w:pPr>
        <w:spacing w:after="160"/>
      </w:pPr>
      <w:r>
        <w:rPr>
          <w:b w:val="false"/>
          <w:bCs w:val="false"/>
          <w:i w:val="false"/>
          <w:iCs w:val="false"/>
          <w:sz w:val="21"/>
          <w:szCs w:val="21"/>
        </w:rPr>
        <w:t xml:space="preserve">Replaces a hardcoded status pipeline. Each deployment seeds its own ordered stages and branch/exception states here — no code change needed to support a new vertical's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Field</w:t>
            </w:r>
          </w:p>
        </w:tc>
        <w:tc>
          <w:tcPr>
            <w:tcW w:type="dxa" w:w="6426"/>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id</w:t>
            </w:r>
          </w:p>
        </w:tc>
        <w:tc>
          <w:tcPr>
            <w:tcW w:type="dxa" w:w="6426"/>
            <w:tcMar>
              <w:top w:type="dxa" w:w="80"/>
              <w:left w:type="dxa" w:w="100"/>
              <w:bottom w:type="dxa" w:w="80"/>
              <w:right w:type="dxa" w:w="100"/>
            </w:tcMar>
          </w:tcPr>
          <w:p>
            <w:r>
              <w:rPr>
                <w:b w:val="false"/>
                <w:bCs w:val="false"/>
                <w:color w:val="000000"/>
                <w:sz w:val="20"/>
                <w:szCs w:val="20"/>
              </w:rPr>
              <w:t xml:space="preserve">Unique stage identifier</w:t>
            </w:r>
          </w:p>
        </w:tc>
      </w:tr>
      <w:tr>
        <w:tc>
          <w:tcPr>
            <w:tcW w:type="dxa" w:w="2600"/>
            <w:tcMar>
              <w:top w:type="dxa" w:w="80"/>
              <w:left w:type="dxa" w:w="100"/>
              <w:bottom w:type="dxa" w:w="80"/>
              <w:right w:type="dxa" w:w="100"/>
            </w:tcMar>
          </w:tcPr>
          <w:p>
            <w:r>
              <w:rPr>
                <w:b w:val="false"/>
                <w:bCs w:val="false"/>
                <w:color w:val="000000"/>
                <w:sz w:val="20"/>
                <w:szCs w:val="20"/>
              </w:rPr>
              <w:t xml:space="preserve">label</w:t>
            </w:r>
          </w:p>
        </w:tc>
        <w:tc>
          <w:tcPr>
            <w:tcW w:type="dxa" w:w="6426"/>
            <w:tcMar>
              <w:top w:type="dxa" w:w="80"/>
              <w:left w:type="dxa" w:w="100"/>
              <w:bottom w:type="dxa" w:w="80"/>
              <w:right w:type="dxa" w:w="100"/>
            </w:tcMar>
          </w:tcPr>
          <w:p>
            <w:r>
              <w:rPr>
                <w:b w:val="false"/>
                <w:bCs w:val="false"/>
                <w:color w:val="000000"/>
                <w:sz w:val="20"/>
                <w:szCs w:val="20"/>
              </w:rPr>
              <w:t xml:space="preserve">Display name for this stage, in this deployment's terminology</w:t>
            </w:r>
          </w:p>
        </w:tc>
      </w:tr>
      <w:tr>
        <w:tc>
          <w:tcPr>
            <w:tcW w:type="dxa" w:w="2600"/>
            <w:tcMar>
              <w:top w:type="dxa" w:w="80"/>
              <w:left w:type="dxa" w:w="100"/>
              <w:bottom w:type="dxa" w:w="80"/>
              <w:right w:type="dxa" w:w="100"/>
            </w:tcMar>
          </w:tcPr>
          <w:p>
            <w:r>
              <w:rPr>
                <w:b w:val="false"/>
                <w:bCs w:val="false"/>
                <w:color w:val="000000"/>
                <w:sz w:val="20"/>
                <w:szCs w:val="20"/>
              </w:rPr>
              <w:t xml:space="preserve">sequence_order</w:t>
            </w:r>
          </w:p>
        </w:tc>
        <w:tc>
          <w:tcPr>
            <w:tcW w:type="dxa" w:w="6426"/>
            <w:tcMar>
              <w:top w:type="dxa" w:w="80"/>
              <w:left w:type="dxa" w:w="100"/>
              <w:bottom w:type="dxa" w:w="80"/>
              <w:right w:type="dxa" w:w="100"/>
            </w:tcMar>
          </w:tcPr>
          <w:p>
            <w:r>
              <w:rPr>
                <w:b w:val="false"/>
                <w:bCs w:val="false"/>
                <w:color w:val="000000"/>
                <w:sz w:val="20"/>
                <w:szCs w:val="20"/>
              </w:rPr>
              <w:t xml:space="preserve">Position in the main pipeline (null for branch/exception states)</w:t>
            </w:r>
          </w:p>
        </w:tc>
      </w:tr>
      <w:tr>
        <w:tc>
          <w:tcPr>
            <w:tcW w:type="dxa" w:w="2600"/>
            <w:tcMar>
              <w:top w:type="dxa" w:w="80"/>
              <w:left w:type="dxa" w:w="100"/>
              <w:bottom w:type="dxa" w:w="80"/>
              <w:right w:type="dxa" w:w="100"/>
            </w:tcMar>
          </w:tcPr>
          <w:p>
            <w:r>
              <w:rPr>
                <w:b w:val="false"/>
                <w:bCs w:val="false"/>
                <w:color w:val="000000"/>
                <w:sz w:val="20"/>
                <w:szCs w:val="20"/>
              </w:rPr>
              <w:t xml:space="preserve">is_exception</w:t>
            </w:r>
          </w:p>
        </w:tc>
        <w:tc>
          <w:tcPr>
            <w:tcW w:type="dxa" w:w="6426"/>
            <w:tcMar>
              <w:top w:type="dxa" w:w="80"/>
              <w:left w:type="dxa" w:w="100"/>
              <w:bottom w:type="dxa" w:w="80"/>
              <w:right w:type="dxa" w:w="100"/>
            </w:tcMar>
          </w:tcPr>
          <w:p>
            <w:r>
              <w:rPr>
                <w:b w:val="false"/>
                <w:bCs w:val="false"/>
                <w:color w:val="000000"/>
                <w:sz w:val="20"/>
                <w:szCs w:val="20"/>
              </w:rPr>
              <w:t xml:space="preserve">Whether this is a non-linear branch state (e.g. Cancelled)</w:t>
            </w:r>
          </w:p>
        </w:tc>
      </w:tr>
    </w:tbl>
    <w:p>
      <w:pPr>
        <w:pStyle w:val="Heading2"/>
        <w:spacing w:after="120" w:before="240"/>
      </w:pPr>
      <w:r>
        <w:rPr>
          <w:b/>
          <w:bCs/>
          <w:color w:val="1F3864"/>
          <w:sz w:val="24"/>
          <w:szCs w:val="24"/>
        </w:rPr>
        <w:t xml:space="preserve">deployment_config (config)</w:t>
      </w:r>
    </w:p>
    <w:p>
      <w:pPr>
        <w:spacing w:after="160"/>
      </w:pPr>
      <w:r>
        <w:rPr>
          <w:b w:val="false"/>
          <w:bCs w:val="false"/>
          <w:i w:val="false"/>
          <w:iCs w:val="false"/>
          <w:sz w:val="21"/>
          <w:szCs w:val="21"/>
        </w:rPr>
        <w:t xml:space="preserve">A single-row table per deployment holding everything that makes the instance look and speak like that client's own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Field</w:t>
            </w:r>
          </w:p>
        </w:tc>
        <w:tc>
          <w:tcPr>
            <w:tcW w:type="dxa" w:w="6426"/>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business_name, logo_url</w:t>
            </w:r>
          </w:p>
        </w:tc>
        <w:tc>
          <w:tcPr>
            <w:tcW w:type="dxa" w:w="6426"/>
            <w:tcMar>
              <w:top w:type="dxa" w:w="80"/>
              <w:left w:type="dxa" w:w="100"/>
              <w:bottom w:type="dxa" w:w="80"/>
              <w:right w:type="dxa" w:w="100"/>
            </w:tcMar>
          </w:tcPr>
          <w:p>
            <w:r>
              <w:rPr>
                <w:b w:val="false"/>
                <w:bCs w:val="false"/>
                <w:color w:val="000000"/>
                <w:sz w:val="20"/>
                <w:szCs w:val="20"/>
              </w:rPr>
              <w:t xml:space="preserve">Branding shown on every screen and document</w:t>
            </w:r>
          </w:p>
        </w:tc>
      </w:tr>
      <w:tr>
        <w:tc>
          <w:tcPr>
            <w:tcW w:type="dxa" w:w="2600"/>
            <w:tcMar>
              <w:top w:type="dxa" w:w="80"/>
              <w:left w:type="dxa" w:w="100"/>
              <w:bottom w:type="dxa" w:w="80"/>
              <w:right w:type="dxa" w:w="100"/>
            </w:tcMar>
          </w:tcPr>
          <w:p>
            <w:r>
              <w:rPr>
                <w:b w:val="false"/>
                <w:bCs w:val="false"/>
                <w:color w:val="000000"/>
                <w:sz w:val="20"/>
                <w:szCs w:val="20"/>
              </w:rPr>
              <w:t xml:space="preserve">record_label</w:t>
            </w:r>
          </w:p>
        </w:tc>
        <w:tc>
          <w:tcPr>
            <w:tcW w:type="dxa" w:w="6426"/>
            <w:tcMar>
              <w:top w:type="dxa" w:w="80"/>
              <w:left w:type="dxa" w:w="100"/>
              <w:bottom w:type="dxa" w:w="80"/>
              <w:right w:type="dxa" w:w="100"/>
            </w:tcMar>
          </w:tcPr>
          <w:p>
            <w:r>
              <w:rPr>
                <w:b w:val="false"/>
                <w:bCs w:val="false"/>
                <w:color w:val="000000"/>
                <w:sz w:val="20"/>
                <w:szCs w:val="20"/>
              </w:rPr>
              <w:t xml:space="preserve">What a “record” is called in this deployment (Job, Case, Order, Ticket, File)</w:t>
            </w:r>
          </w:p>
        </w:tc>
      </w:tr>
      <w:tr>
        <w:tc>
          <w:tcPr>
            <w:tcW w:type="dxa" w:w="2600"/>
            <w:tcMar>
              <w:top w:type="dxa" w:w="80"/>
              <w:left w:type="dxa" w:w="100"/>
              <w:bottom w:type="dxa" w:w="80"/>
              <w:right w:type="dxa" w:w="100"/>
            </w:tcMar>
          </w:tcPr>
          <w:p>
            <w:r>
              <w:rPr>
                <w:b w:val="false"/>
                <w:bCs w:val="false"/>
                <w:color w:val="000000"/>
                <w:sz w:val="20"/>
                <w:szCs w:val="20"/>
              </w:rPr>
              <w:t xml:space="preserve">identifier_label</w:t>
            </w:r>
          </w:p>
        </w:tc>
        <w:tc>
          <w:tcPr>
            <w:tcW w:type="dxa" w:w="6426"/>
            <w:tcMar>
              <w:top w:type="dxa" w:w="80"/>
              <w:left w:type="dxa" w:w="100"/>
              <w:bottom w:type="dxa" w:w="80"/>
              <w:right w:type="dxa" w:w="100"/>
            </w:tcMar>
          </w:tcPr>
          <w:p>
            <w:r>
              <w:rPr>
                <w:b w:val="false"/>
                <w:bCs w:val="false"/>
                <w:color w:val="000000"/>
                <w:sz w:val="20"/>
                <w:szCs w:val="20"/>
              </w:rPr>
              <w:t xml:space="preserve">Display name and validation pattern for unique_identifier</w:t>
            </w:r>
          </w:p>
        </w:tc>
      </w:tr>
      <w:tr>
        <w:tc>
          <w:tcPr>
            <w:tcW w:type="dxa" w:w="2600"/>
            <w:tcMar>
              <w:top w:type="dxa" w:w="80"/>
              <w:left w:type="dxa" w:w="100"/>
              <w:bottom w:type="dxa" w:w="80"/>
              <w:right w:type="dxa" w:w="100"/>
            </w:tcMar>
          </w:tcPr>
          <w:p>
            <w:r>
              <w:rPr>
                <w:b w:val="false"/>
                <w:bCs w:val="false"/>
                <w:color w:val="000000"/>
                <w:sz w:val="20"/>
                <w:szCs w:val="20"/>
              </w:rPr>
              <w:t xml:space="preserve">tax_id, addresses</w:t>
            </w:r>
          </w:p>
        </w:tc>
        <w:tc>
          <w:tcPr>
            <w:tcW w:type="dxa" w:w="6426"/>
            <w:tcMar>
              <w:top w:type="dxa" w:w="80"/>
              <w:left w:type="dxa" w:w="100"/>
              <w:bottom w:type="dxa" w:w="80"/>
              <w:right w:type="dxa" w:w="100"/>
            </w:tcMar>
          </w:tcPr>
          <w:p>
            <w:r>
              <w:rPr>
                <w:b w:val="false"/>
                <w:bCs w:val="false"/>
                <w:color w:val="000000"/>
                <w:sz w:val="20"/>
                <w:szCs w:val="20"/>
              </w:rPr>
              <w:t xml:space="preserve">GST/registration number and per-location addresses, for documents</w:t>
            </w:r>
          </w:p>
        </w:tc>
      </w:tr>
      <w:tr>
        <w:tc>
          <w:tcPr>
            <w:tcW w:type="dxa" w:w="2600"/>
            <w:tcMar>
              <w:top w:type="dxa" w:w="80"/>
              <w:left w:type="dxa" w:w="100"/>
              <w:bottom w:type="dxa" w:w="80"/>
              <w:right w:type="dxa" w:w="100"/>
            </w:tcMar>
          </w:tcPr>
          <w:p>
            <w:r>
              <w:rPr>
                <w:b w:val="false"/>
                <w:bCs w:val="false"/>
                <w:color w:val="000000"/>
                <w:sz w:val="20"/>
                <w:szCs w:val="20"/>
              </w:rPr>
              <w:t xml:space="preserve">document_text</w:t>
            </w:r>
          </w:p>
        </w:tc>
        <w:tc>
          <w:tcPr>
            <w:tcW w:type="dxa" w:w="6426"/>
            <w:tcMar>
              <w:top w:type="dxa" w:w="80"/>
              <w:left w:type="dxa" w:w="100"/>
              <w:bottom w:type="dxa" w:w="80"/>
              <w:right w:type="dxa" w:w="100"/>
            </w:tcMar>
          </w:tcPr>
          <w:p>
            <w:r>
              <w:rPr>
                <w:b w:val="false"/>
                <w:bCs w:val="false"/>
                <w:color w:val="000000"/>
                <w:sz w:val="20"/>
                <w:szCs w:val="20"/>
              </w:rPr>
              <w:t xml:space="preserve">Disclaimers, warranty terms, and policy text for generated documents</w:t>
            </w:r>
          </w:p>
        </w:tc>
      </w:tr>
      <w:tr>
        <w:tc>
          <w:tcPr>
            <w:tcW w:type="dxa" w:w="2600"/>
            <w:tcMar>
              <w:top w:type="dxa" w:w="80"/>
              <w:left w:type="dxa" w:w="100"/>
              <w:bottom w:type="dxa" w:w="80"/>
              <w:right w:type="dxa" w:w="100"/>
            </w:tcMar>
          </w:tcPr>
          <w:p>
            <w:r>
              <w:rPr>
                <w:b w:val="false"/>
                <w:bCs w:val="false"/>
                <w:color w:val="000000"/>
                <w:sz w:val="20"/>
                <w:szCs w:val="20"/>
              </w:rPr>
              <w:t xml:space="preserve">message_templates</w:t>
            </w:r>
          </w:p>
        </w:tc>
        <w:tc>
          <w:tcPr>
            <w:tcW w:type="dxa" w:w="6426"/>
            <w:tcMar>
              <w:top w:type="dxa" w:w="80"/>
              <w:left w:type="dxa" w:w="100"/>
              <w:bottom w:type="dxa" w:w="80"/>
              <w:right w:type="dxa" w:w="100"/>
            </w:tcMar>
          </w:tcPr>
          <w:p>
            <w:r>
              <w:rPr>
                <w:b w:val="false"/>
                <w:bCs w:val="false"/>
                <w:color w:val="000000"/>
                <w:sz w:val="20"/>
                <w:szCs w:val="20"/>
              </w:rPr>
              <w:t xml:space="preserve">WhatsApp copy for each status-change notification</w:t>
            </w:r>
          </w:p>
        </w:tc>
      </w:tr>
    </w:tbl>
    <w:p>
      <w:pPr>
        <w:pStyle w:val="Heading1"/>
        <w:spacing w:after="160" w:before="360"/>
      </w:pPr>
      <w:r>
        <w:rPr>
          <w:b/>
          <w:bCs/>
          <w:color w:val="1F3864"/>
          <w:sz w:val="28"/>
          <w:szCs w:val="28"/>
        </w:rPr>
        <w:t xml:space="preserve">6. Core Functional Features (Generic)</w:t>
      </w:r>
    </w:p>
    <w:p>
      <w:pPr>
        <w:pStyle w:val="Heading2"/>
        <w:spacing w:after="120" w:before="240"/>
      </w:pPr>
      <w:r>
        <w:rPr>
          <w:b/>
          <w:bCs/>
          <w:color w:val="1F3864"/>
          <w:sz w:val="24"/>
          <w:szCs w:val="24"/>
        </w:rPr>
        <w:t xml:space="preserve">Intake &amp; tracking</w:t>
      </w:r>
    </w:p>
    <w:p>
      <w:pPr>
        <w:pStyle w:val="ListParagraph"/>
        <w:numPr>
          <w:ilvl w:val="0"/>
          <w:numId w:val="2"/>
        </w:numPr>
        <w:spacing w:after="100"/>
      </w:pPr>
      <w:r>
        <w:rPr>
          <w:sz w:val="21"/>
          <w:szCs w:val="21"/>
        </w:rPr>
        <w:t xml:space="preserve">Central multi-location database — any location can read and update any record, not just the one that took it in.</w:t>
      </w:r>
    </w:p>
    <w:p>
      <w:pPr>
        <w:pStyle w:val="ListParagraph"/>
        <w:numPr>
          <w:ilvl w:val="0"/>
          <w:numId w:val="2"/>
        </w:numPr>
        <w:spacing w:after="100"/>
      </w:pPr>
      <w:r>
        <w:rPr>
          <w:sz w:val="21"/>
          <w:szCs w:val="21"/>
        </w:rPr>
        <w:t xml:space="preserve">Intake form generates an intake document automatically, handed to the customer as proof of submission.</w:t>
      </w:r>
    </w:p>
    <w:p>
      <w:pPr>
        <w:pStyle w:val="ListParagraph"/>
        <w:numPr>
          <w:ilvl w:val="0"/>
          <w:numId w:val="2"/>
        </w:numPr>
        <w:spacing w:after="100"/>
      </w:pPr>
      <w:r>
        <w:rPr>
          <w:sz w:val="21"/>
          <w:szCs w:val="21"/>
        </w:rPr>
        <w:t xml:space="preserve">Configurable service tracks per deployment (e.g. In-house vs. Sent to Third Party), each with its own status pipeline.</w:t>
      </w:r>
    </w:p>
    <w:p>
      <w:pPr>
        <w:pStyle w:val="ListParagraph"/>
        <w:numPr>
          <w:ilvl w:val="0"/>
          <w:numId w:val="2"/>
        </w:numPr>
        <w:spacing w:after="100"/>
      </w:pPr>
      <w:r>
        <w:rPr>
          <w:sz w:val="21"/>
          <w:szCs w:val="21"/>
        </w:rPr>
        <w:t xml:space="preserve">Non-linear states for real-world exceptions: Awaiting Customer Decision, Cancelled, Returned Unresolved.</w:t>
      </w:r>
    </w:p>
    <w:p>
      <w:pPr>
        <w:pStyle w:val="ListParagraph"/>
        <w:numPr>
          <w:ilvl w:val="0"/>
          <w:numId w:val="2"/>
        </w:numPr>
        <w:spacing w:after="100"/>
      </w:pPr>
      <w:r>
        <w:rPr>
          <w:sz w:val="21"/>
          <w:szCs w:val="21"/>
        </w:rPr>
        <w:t xml:space="preserve">Explicit location-to-location transfer tracking as its own event, not a generic status change.</w:t>
      </w:r>
    </w:p>
    <w:p>
      <w:pPr>
        <w:pStyle w:val="ListParagraph"/>
        <w:numPr>
          <w:ilvl w:val="0"/>
          <w:numId w:val="2"/>
        </w:numPr>
        <w:spacing w:after="100"/>
      </w:pPr>
      <w:r>
        <w:rPr>
          <w:sz w:val="21"/>
          <w:szCs w:val="21"/>
        </w:rPr>
        <w:t xml:space="preserve">Duplicate / repeat-customer detection — the configured unique_identifier is checked against past records on intake.</w:t>
      </w:r>
    </w:p>
    <w:p>
      <w:pPr>
        <w:pStyle w:val="ListParagraph"/>
        <w:numPr>
          <w:ilvl w:val="0"/>
          <w:numId w:val="2"/>
        </w:numPr>
        <w:spacing w:after="100"/>
      </w:pPr>
      <w:r>
        <w:rPr>
          <w:sz w:val="21"/>
          <w:szCs w:val="21"/>
        </w:rPr>
        <w:t xml:space="preserve">Multi-identifier search — lookup by phone number, record ID, customer name, or the configured unique identifier.</w:t>
      </w:r>
    </w:p>
    <w:p>
      <w:pPr>
        <w:pStyle w:val="Heading2"/>
        <w:spacing w:after="120" w:before="240"/>
      </w:pPr>
      <w:r>
        <w:rPr>
          <w:b/>
          <w:bCs/>
          <w:color w:val="1F3864"/>
          <w:sz w:val="24"/>
          <w:szCs w:val="24"/>
        </w:rPr>
        <w:t xml:space="preserve">Reliability &amp; data integrity</w:t>
      </w:r>
    </w:p>
    <w:p>
      <w:pPr>
        <w:pStyle w:val="ListParagraph"/>
        <w:numPr>
          <w:ilvl w:val="0"/>
          <w:numId w:val="2"/>
        </w:numPr>
        <w:spacing w:after="100"/>
      </w:pPr>
      <w:r>
        <w:rPr>
          <w:sz w:val="21"/>
          <w:szCs w:val="21"/>
        </w:rPr>
        <w:t xml:space="preserve">Push-based escalation — no status update in X days auto-alerts admin, rather than relying on someone checking a dashboard.</w:t>
      </w:r>
    </w:p>
    <w:p>
      <w:pPr>
        <w:pStyle w:val="ListParagraph"/>
        <w:numPr>
          <w:ilvl w:val="0"/>
          <w:numId w:val="2"/>
        </w:numPr>
        <w:spacing w:after="100"/>
      </w:pPr>
      <w:r>
        <w:rPr>
          <w:sz w:val="21"/>
          <w:szCs w:val="21"/>
        </w:rPr>
        <w:t xml:space="preserve">Uncollected-item tracking — a separate view and reminder flow for records sitting at a “ready” state past X days.</w:t>
      </w:r>
    </w:p>
    <w:p>
      <w:pPr>
        <w:pStyle w:val="ListParagraph"/>
        <w:numPr>
          <w:ilvl w:val="0"/>
          <w:numId w:val="2"/>
        </w:numPr>
        <w:spacing w:after="100"/>
      </w:pPr>
      <w:r>
        <w:rPr>
          <w:sz w:val="21"/>
          <w:szCs w:val="21"/>
        </w:rPr>
        <w:t xml:space="preserve">Conflict handling for simultaneous edits — row versioning / timestamps so two locations updating the same record don't silently overwrite each other.</w:t>
      </w:r>
    </w:p>
    <w:p>
      <w:pPr>
        <w:pStyle w:val="ListParagraph"/>
        <w:numPr>
          <w:ilvl w:val="0"/>
          <w:numId w:val="2"/>
        </w:numPr>
        <w:spacing w:after="100"/>
      </w:pPr>
      <w:r>
        <w:rPr>
          <w:sz w:val="21"/>
          <w:szCs w:val="21"/>
        </w:rPr>
        <w:t xml:space="preserve">Critical fields locked after intake — the unique identifier, customer details, and any condition checklist become append-only once submitted.</w:t>
      </w:r>
    </w:p>
    <w:p>
      <w:pPr>
        <w:pStyle w:val="Heading2"/>
        <w:spacing w:after="120" w:before="240"/>
      </w:pPr>
      <w:r>
        <w:rPr>
          <w:b/>
          <w:bCs/>
          <w:color w:val="1F3864"/>
          <w:sz w:val="24"/>
          <w:szCs w:val="24"/>
        </w:rPr>
        <w:t xml:space="preserve">Customer-facing documents</w:t>
      </w:r>
    </w:p>
    <w:p>
      <w:pPr>
        <w:pStyle w:val="ListParagraph"/>
        <w:numPr>
          <w:ilvl w:val="0"/>
          <w:numId w:val="2"/>
        </w:numPr>
        <w:spacing w:after="100"/>
      </w:pPr>
      <w:r>
        <w:rPr>
          <w:sz w:val="21"/>
          <w:szCs w:val="21"/>
        </w:rPr>
        <w:t xml:space="preserve">Branded intake document: logo, location address, tax ID, condition/inventory checklist where relevant, and terms.</w:t>
      </w:r>
    </w:p>
    <w:p>
      <w:pPr>
        <w:pStyle w:val="ListParagraph"/>
        <w:numPr>
          <w:ilvl w:val="0"/>
          <w:numId w:val="2"/>
        </w:numPr>
        <w:spacing w:after="100"/>
      </w:pPr>
      <w:r>
        <w:rPr>
          <w:sz w:val="21"/>
          <w:szCs w:val="21"/>
        </w:rPr>
        <w:t xml:space="preserve">Branded completion document: full journey summary, final cost, completion date, warranty terms, invoice numbering.</w:t>
      </w:r>
    </w:p>
    <w:p>
      <w:pPr>
        <w:pStyle w:val="Heading2"/>
        <w:spacing w:after="120" w:before="240"/>
      </w:pPr>
      <w:r>
        <w:rPr>
          <w:b/>
          <w:bCs/>
          <w:color w:val="1F3864"/>
          <w:sz w:val="24"/>
          <w:szCs w:val="24"/>
        </w:rPr>
        <w:t xml:space="preserve">Automation</w:t>
      </w:r>
    </w:p>
    <w:p>
      <w:pPr>
        <w:pStyle w:val="ListParagraph"/>
        <w:numPr>
          <w:ilvl w:val="0"/>
          <w:numId w:val="2"/>
        </w:numPr>
        <w:spacing w:after="100"/>
      </w:pPr>
      <w:r>
        <w:rPr>
          <w:sz w:val="21"/>
          <w:szCs w:val="21"/>
        </w:rPr>
        <w:t xml:space="preserve">Automatic customer status-update messages as a record's status changes.</w:t>
      </w:r>
    </w:p>
    <w:p>
      <w:pPr>
        <w:pStyle w:val="ListParagraph"/>
        <w:numPr>
          <w:ilvl w:val="0"/>
          <w:numId w:val="2"/>
        </w:numPr>
        <w:spacing w:after="100"/>
      </w:pPr>
      <w:r>
        <w:rPr>
          <w:sz w:val="21"/>
          <w:szCs w:val="21"/>
        </w:rPr>
        <w:t xml:space="preserve">Optional post-completion review request, reusing whatever review-management workflow the client already runs.</w:t>
      </w:r>
    </w:p>
    <w:p>
      <w:pPr>
        <w:pStyle w:val="Heading2"/>
        <w:spacing w:after="120" w:before="240"/>
      </w:pPr>
      <w:r>
        <w:rPr>
          <w:b/>
          <w:bCs/>
          <w:color w:val="1F3864"/>
          <w:sz w:val="24"/>
          <w:szCs w:val="24"/>
        </w:rPr>
        <w:t xml:space="preserve">Admin panel</w:t>
      </w:r>
    </w:p>
    <w:p>
      <w:pPr>
        <w:pStyle w:val="ListParagraph"/>
        <w:numPr>
          <w:ilvl w:val="0"/>
          <w:numId w:val="2"/>
        </w:numPr>
        <w:spacing w:after="100"/>
      </w:pPr>
      <w:r>
        <w:rPr>
          <w:sz w:val="21"/>
          <w:szCs w:val="21"/>
        </w:rPr>
        <w:t xml:space="preserve">Cross-location live dashboard — every record, every location, filterable by location / status / record type / date.</w:t>
      </w:r>
    </w:p>
    <w:p>
      <w:pPr>
        <w:pStyle w:val="ListParagraph"/>
        <w:numPr>
          <w:ilvl w:val="0"/>
          <w:numId w:val="2"/>
        </w:numPr>
        <w:spacing w:after="100"/>
      </w:pPr>
      <w:r>
        <w:rPr>
          <w:sz w:val="21"/>
          <w:szCs w:val="21"/>
        </w:rPr>
        <w:t xml:space="preserve">Edit or override any record, including reassigning it to a different location.</w:t>
      </w:r>
    </w:p>
    <w:p>
      <w:pPr>
        <w:pStyle w:val="ListParagraph"/>
        <w:numPr>
          <w:ilvl w:val="0"/>
          <w:numId w:val="2"/>
        </w:numPr>
        <w:spacing w:after="100"/>
      </w:pPr>
      <w:r>
        <w:rPr>
          <w:sz w:val="21"/>
          <w:szCs w:val="21"/>
        </w:rPr>
        <w:t xml:space="preserve">Dedicated follow-up queue of every record flagged for attention across all locations.</w:t>
      </w:r>
    </w:p>
    <w:p>
      <w:pPr>
        <w:pStyle w:val="ListParagraph"/>
        <w:numPr>
          <w:ilvl w:val="0"/>
          <w:numId w:val="2"/>
        </w:numPr>
        <w:spacing w:after="100"/>
      </w:pPr>
      <w:r>
        <w:rPr>
          <w:sz w:val="21"/>
          <w:szCs w:val="21"/>
        </w:rPr>
        <w:t xml:space="preserve">Staff and location management — add/remove staff, assign to locations, deactivate departed staff.</w:t>
      </w:r>
    </w:p>
    <w:p>
      <w:pPr>
        <w:pStyle w:val="ListParagraph"/>
        <w:numPr>
          <w:ilvl w:val="0"/>
          <w:numId w:val="2"/>
        </w:numPr>
        <w:spacing w:after="100"/>
      </w:pPr>
      <w:r>
        <w:rPr>
          <w:sz w:val="21"/>
          <w:szCs w:val="21"/>
        </w:rPr>
        <w:t xml:space="preserve">Reporting — turnaround time per location, split by record type, records handled per location.</w:t>
      </w:r>
    </w:p>
    <w:p>
      <w:pPr>
        <w:pStyle w:val="ListParagraph"/>
        <w:numPr>
          <w:ilvl w:val="0"/>
          <w:numId w:val="2"/>
        </w:numPr>
        <w:spacing w:after="100"/>
      </w:pPr>
      <w:r>
        <w:rPr>
          <w:sz w:val="21"/>
          <w:szCs w:val="21"/>
        </w:rPr>
        <w:t xml:space="preserve">Audit log of every status change and admin edit — who, what, when.</w:t>
      </w:r>
    </w:p>
    <w:p>
      <w:pPr>
        <w:pStyle w:val="Heading1"/>
        <w:spacing w:after="160" w:before="360"/>
      </w:pPr>
      <w:r>
        <w:rPr>
          <w:b/>
          <w:bCs/>
          <w:color w:val="1F3864"/>
          <w:sz w:val="28"/>
          <w:szCs w:val="28"/>
        </w:rPr>
        <w:t xml:space="preserve">7. Status Pipeline &amp; Workflow</w:t>
      </w:r>
    </w:p>
    <w:p>
      <w:pPr>
        <w:spacing w:after="160"/>
      </w:pPr>
      <w:r>
        <w:rPr>
          <w:b w:val="false"/>
          <w:bCs w:val="false"/>
          <w:i w:val="false"/>
          <w:iCs w:val="false"/>
          <w:sz w:val="21"/>
          <w:szCs w:val="21"/>
        </w:rPr>
        <w:t xml:space="preserve">The pipeline itself is configured per deployment via workflow_stages (Section 5), not hardcoded. A typical shape: Received → In Progress → Ready → Completed, with exception states (Awaiting Customer Decision, Cancelled, Returned Unresolved) able to branch off any in-progress stage rather than forcing every real-world case into a straight line.</w:t>
      </w:r>
    </w:p>
    <w:p>
      <w:pPr>
        <w:spacing w:after="160"/>
      </w:pPr>
      <w:r>
        <w:rPr>
          <w:b w:val="false"/>
          <w:bCs w:val="false"/>
          <w:i w:val="false"/>
          <w:iCs w:val="false"/>
          <w:sz w:val="21"/>
          <w:szCs w:val="21"/>
        </w:rPr>
        <w:t xml:space="preserve">When an item physically moves between two locations, this is logged as its own “Transferred from X to Y” event rather than a generic status change — this is the specific gap the product exists to close, in every vertical it's sold into.</w:t>
      </w:r>
    </w:p>
    <w:p>
      <w:pPr>
        <w:pStyle w:val="Heading1"/>
        <w:spacing w:after="160" w:before="360"/>
      </w:pPr>
      <w:r>
        <w:rPr>
          <w:b/>
          <w:bCs/>
          <w:color w:val="1F3864"/>
          <w:sz w:val="28"/>
          <w:szCs w:val="28"/>
        </w:rPr>
        <w:t xml:space="preserve">8. User Roles &amp;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Role</w:t>
            </w:r>
          </w:p>
        </w:tc>
        <w:tc>
          <w:tcPr>
            <w:tcW w:type="dxa" w:w="6426"/>
            <w:shd w:fill="1F3864" w:val="clear"/>
            <w:tcMar>
              <w:top w:type="dxa" w:w="80"/>
              <w:left w:type="dxa" w:w="100"/>
              <w:bottom w:type="dxa" w:w="80"/>
              <w:right w:type="dxa" w:w="100"/>
            </w:tcMar>
          </w:tcPr>
          <w:p>
            <w:r>
              <w:rPr>
                <w:b/>
                <w:bCs/>
                <w:color w:val="FFFFFF"/>
                <w:sz w:val="20"/>
                <w:szCs w:val="20"/>
              </w:rPr>
              <w:t xml:space="preserve">Access</w:t>
            </w:r>
          </w:p>
        </w:tc>
      </w:tr>
      <w:tr>
        <w:tc>
          <w:tcPr>
            <w:tcW w:type="dxa" w:w="2600"/>
            <w:tcMar>
              <w:top w:type="dxa" w:w="80"/>
              <w:left w:type="dxa" w:w="100"/>
              <w:bottom w:type="dxa" w:w="80"/>
              <w:right w:type="dxa" w:w="100"/>
            </w:tcMar>
          </w:tcPr>
          <w:p>
            <w:r>
              <w:rPr>
                <w:b w:val="false"/>
                <w:bCs w:val="false"/>
                <w:color w:val="000000"/>
                <w:sz w:val="20"/>
                <w:szCs w:val="20"/>
              </w:rPr>
              <w:t xml:space="preserve">staff</w:t>
            </w:r>
          </w:p>
        </w:tc>
        <w:tc>
          <w:tcPr>
            <w:tcW w:type="dxa" w:w="6426"/>
            <w:tcMar>
              <w:top w:type="dxa" w:w="80"/>
              <w:left w:type="dxa" w:w="100"/>
              <w:bottom w:type="dxa" w:w="80"/>
              <w:right w:type="dxa" w:w="100"/>
            </w:tcMar>
          </w:tcPr>
          <w:p>
            <w:r>
              <w:rPr>
                <w:b w:val="false"/>
                <w:bCs w:val="false"/>
                <w:color w:val="000000"/>
                <w:sz w:val="20"/>
                <w:szCs w:val="20"/>
              </w:rPr>
              <w:t xml:space="preserve">Sees and updates only their own location's records; can create intake and update status; cannot edit another location's records or access admin functions.</w:t>
            </w:r>
          </w:p>
        </w:tc>
      </w:tr>
      <w:tr>
        <w:tc>
          <w:tcPr>
            <w:tcW w:type="dxa" w:w="2600"/>
            <w:tcMar>
              <w:top w:type="dxa" w:w="80"/>
              <w:left w:type="dxa" w:w="100"/>
              <w:bottom w:type="dxa" w:w="80"/>
              <w:right w:type="dxa" w:w="100"/>
            </w:tcMar>
          </w:tcPr>
          <w:p>
            <w:r>
              <w:rPr>
                <w:b w:val="false"/>
                <w:bCs w:val="false"/>
                <w:color w:val="000000"/>
                <w:sz w:val="20"/>
                <w:szCs w:val="20"/>
              </w:rPr>
              <w:t xml:space="preserve">admin</w:t>
            </w:r>
          </w:p>
        </w:tc>
        <w:tc>
          <w:tcPr>
            <w:tcW w:type="dxa" w:w="6426"/>
            <w:tcMar>
              <w:top w:type="dxa" w:w="80"/>
              <w:left w:type="dxa" w:w="100"/>
              <w:bottom w:type="dxa" w:w="80"/>
              <w:right w:type="dxa" w:w="100"/>
            </w:tcMar>
          </w:tcPr>
          <w:p>
            <w:r>
              <w:rPr>
                <w:b w:val="false"/>
                <w:bCs w:val="false"/>
                <w:color w:val="000000"/>
                <w:sz w:val="20"/>
                <w:szCs w:val="20"/>
              </w:rPr>
              <w:t xml:space="preserve">Sees and edits records across all locations; manages staff and location records; views reports and the full audit log; can override any record.</w:t>
            </w:r>
          </w:p>
        </w:tc>
      </w:tr>
    </w:tbl>
    <w:p>
      <w:pPr>
        <w:spacing w:after="160"/>
      </w:pPr>
      <w:r>
        <w:rPr>
          <w:b w:val="false"/>
          <w:bCs w:val="false"/>
          <w:i w:val="false"/>
          <w:iCs w:val="false"/>
          <w:sz w:val="21"/>
          <w:szCs w:val="21"/>
        </w:rPr>
        <w:t xml:space="preserve">Enforced with Supabase Row Level Security (RLS) at the database level, not only hidden in the UI — a staff account is physically unable to query another location's data, even if the frontend were bypassed. This RLS structure is identical across every deployment; only the location/staff rows differ.</w:t>
      </w:r>
    </w:p>
    <w:p>
      <w:pPr>
        <w:pStyle w:val="Heading1"/>
        <w:spacing w:after="160" w:before="360"/>
      </w:pPr>
      <w:r>
        <w:rPr>
          <w:b/>
          <w:bCs/>
          <w:color w:val="1F3864"/>
          <w:sz w:val="28"/>
          <w:szCs w:val="28"/>
        </w:rPr>
        <w:t xml:space="preserve">9. Customer Touchpoints (Outbound Only)</w:t>
      </w:r>
    </w:p>
    <w:p>
      <w:pPr>
        <w:spacing w:after="160"/>
      </w:pPr>
      <w:r>
        <w:rPr>
          <w:b w:val="false"/>
          <w:bCs w:val="false"/>
          <w:i w:val="false"/>
          <w:iCs w:val="false"/>
          <w:sz w:val="21"/>
          <w:szCs w:val="21"/>
        </w:rPr>
        <w:t xml:space="preserve">This is a staff/admin-only internal tool in every deployment. Customers do not log in anywhere and there is no public-facing page. Every customer interaction is one of the following, all outbound from the system:</w:t>
      </w:r>
    </w:p>
    <w:p>
      <w:pPr>
        <w:pStyle w:val="ListParagraph"/>
        <w:numPr>
          <w:ilvl w:val="0"/>
          <w:numId w:val="2"/>
        </w:numPr>
        <w:spacing w:after="100"/>
      </w:pPr>
      <w:r>
        <w:rPr>
          <w:sz w:val="21"/>
          <w:szCs w:val="21"/>
        </w:rPr>
        <w:t xml:space="preserve">Intake document — printed or shared at intake.</w:t>
      </w:r>
    </w:p>
    <w:p>
      <w:pPr>
        <w:pStyle w:val="ListParagraph"/>
        <w:numPr>
          <w:ilvl w:val="0"/>
          <w:numId w:val="2"/>
        </w:numPr>
        <w:spacing w:after="100"/>
      </w:pPr>
      <w:r>
        <w:rPr>
          <w:sz w:val="21"/>
          <w:szCs w:val="21"/>
        </w:rPr>
        <w:t xml:space="preserve">Status-update messages — automatic, as the record's status changes.</w:t>
      </w:r>
    </w:p>
    <w:p>
      <w:pPr>
        <w:pStyle w:val="ListParagraph"/>
        <w:numPr>
          <w:ilvl w:val="0"/>
          <w:numId w:val="2"/>
        </w:numPr>
        <w:spacing w:after="100"/>
      </w:pPr>
      <w:r>
        <w:rPr>
          <w:sz w:val="21"/>
          <w:szCs w:val="21"/>
        </w:rPr>
        <w:t xml:space="preserve">Completion document / receipt — printed or shared at handover.</w:t>
      </w:r>
    </w:p>
    <w:p>
      <w:pPr>
        <w:pStyle w:val="ListParagraph"/>
        <w:numPr>
          <w:ilvl w:val="0"/>
          <w:numId w:val="2"/>
        </w:numPr>
        <w:spacing w:after="100"/>
      </w:pPr>
      <w:r>
        <w:rPr>
          <w:sz w:val="21"/>
          <w:szCs w:val="21"/>
        </w:rPr>
        <w:t xml:space="preserve">Review request — optionally sent after completion.</w:t>
      </w:r>
    </w:p>
    <w:p>
      <w:pPr>
        <w:pStyle w:val="Heading1"/>
        <w:spacing w:after="160" w:before="360"/>
      </w:pPr>
      <w:r>
        <w:rPr>
          <w:b/>
          <w:bCs/>
          <w:color w:val="1F3864"/>
          <w:sz w:val="28"/>
          <w:szCs w:val="28"/>
        </w:rPr>
        <w:t xml:space="preserve">10. Configuration &amp; Customization Layer</w:t>
      </w:r>
    </w:p>
    <w:p>
      <w:pPr>
        <w:spacing w:after="160"/>
      </w:pPr>
      <w:r>
        <w:rPr>
          <w:b w:val="false"/>
          <w:bCs w:val="false"/>
          <w:i w:val="false"/>
          <w:iCs w:val="false"/>
          <w:sz w:val="21"/>
          <w:szCs w:val="21"/>
        </w:rPr>
        <w:t xml:space="preserve">This is the section that turns a one-off build (Mobile Station) into a repeatable product. It separates what Vyden Co. builds once from what changes on every sales call.</w:t>
      </w:r>
    </w:p>
    <w:p>
      <w:pPr>
        <w:pStyle w:val="Heading2"/>
        <w:spacing w:after="120" w:before="240"/>
      </w:pPr>
      <w:r>
        <w:rPr>
          <w:b/>
          <w:bCs/>
          <w:color w:val="1F3864"/>
          <w:sz w:val="24"/>
          <w:szCs w:val="24"/>
        </w:rPr>
        <w:t xml:space="preserve">Fixed — built once, shared by every deployment</w:t>
      </w:r>
    </w:p>
    <w:p>
      <w:pPr>
        <w:pStyle w:val="ListParagraph"/>
        <w:numPr>
          <w:ilvl w:val="0"/>
          <w:numId w:val="2"/>
        </w:numPr>
        <w:spacing w:after="100"/>
      </w:pPr>
      <w:r>
        <w:rPr>
          <w:sz w:val="21"/>
          <w:szCs w:val="21"/>
        </w:rPr>
        <w:t xml:space="preserve">Database schema shape (tables, relationships, RLS policy structure)</w:t>
      </w:r>
    </w:p>
    <w:p>
      <w:pPr>
        <w:pStyle w:val="ListParagraph"/>
        <w:numPr>
          <w:ilvl w:val="0"/>
          <w:numId w:val="2"/>
        </w:numPr>
        <w:spacing w:after="100"/>
      </w:pPr>
      <w:r>
        <w:rPr>
          <w:sz w:val="21"/>
          <w:szCs w:val="21"/>
        </w:rPr>
        <w:t xml:space="preserve">Auth and permission model</w:t>
      </w:r>
    </w:p>
    <w:p>
      <w:pPr>
        <w:pStyle w:val="ListParagraph"/>
        <w:numPr>
          <w:ilvl w:val="0"/>
          <w:numId w:val="2"/>
        </w:numPr>
        <w:spacing w:after="100"/>
      </w:pPr>
      <w:r>
        <w:rPr>
          <w:sz w:val="21"/>
          <w:szCs w:val="21"/>
        </w:rPr>
        <w:t xml:space="preserve">The status-history-as-audit-trail engine</w:t>
      </w:r>
    </w:p>
    <w:p>
      <w:pPr>
        <w:pStyle w:val="ListParagraph"/>
        <w:numPr>
          <w:ilvl w:val="0"/>
          <w:numId w:val="2"/>
        </w:numPr>
        <w:spacing w:after="100"/>
      </w:pPr>
      <w:r>
        <w:rPr>
          <w:sz w:val="21"/>
          <w:szCs w:val="21"/>
        </w:rPr>
        <w:t xml:space="preserve">The notification trigger logic (status change → message)</w:t>
      </w:r>
    </w:p>
    <w:p>
      <w:pPr>
        <w:pStyle w:val="ListParagraph"/>
        <w:numPr>
          <w:ilvl w:val="0"/>
          <w:numId w:val="2"/>
        </w:numPr>
        <w:spacing w:after="100"/>
      </w:pPr>
      <w:r>
        <w:rPr>
          <w:sz w:val="21"/>
          <w:szCs w:val="21"/>
        </w:rPr>
        <w:t xml:space="preserve">The PDF document-generation engine (template structure, not the exact template content)</w:t>
      </w:r>
    </w:p>
    <w:p>
      <w:pPr>
        <w:pStyle w:val="ListParagraph"/>
        <w:numPr>
          <w:ilvl w:val="0"/>
          <w:numId w:val="2"/>
        </w:numPr>
        <w:spacing w:after="100"/>
      </w:pPr>
      <w:r>
        <w:rPr>
          <w:sz w:val="21"/>
          <w:szCs w:val="21"/>
        </w:rPr>
        <w:t xml:space="preserve">Admin dashboard components — reused as-is, only labels change</w:t>
      </w:r>
    </w:p>
    <w:p>
      <w:pPr>
        <w:pStyle w:val="Heading2"/>
        <w:spacing w:after="120" w:before="240"/>
      </w:pPr>
      <w:r>
        <w:rPr>
          <w:b/>
          <w:bCs/>
          <w:color w:val="1F3864"/>
          <w:sz w:val="24"/>
          <w:szCs w:val="24"/>
        </w:rPr>
        <w:t xml:space="preserve">Configured per client — no code changes, done via config table / seed data</w:t>
      </w:r>
    </w:p>
    <w:p>
      <w:pPr>
        <w:pStyle w:val="ListParagraph"/>
        <w:numPr>
          <w:ilvl w:val="0"/>
          <w:numId w:val="2"/>
        </w:numPr>
        <w:spacing w:after="100"/>
      </w:pPr>
      <w:r>
        <w:rPr>
          <w:sz w:val="21"/>
          <w:szCs w:val="21"/>
        </w:rPr>
        <w:t xml:space="preserve">Business name, logo, addresses, tax/registration number</w:t>
      </w:r>
    </w:p>
    <w:p>
      <w:pPr>
        <w:pStyle w:val="ListParagraph"/>
        <w:numPr>
          <w:ilvl w:val="0"/>
          <w:numId w:val="2"/>
        </w:numPr>
        <w:spacing w:after="100"/>
      </w:pPr>
      <w:r>
        <w:rPr>
          <w:sz w:val="21"/>
          <w:szCs w:val="21"/>
        </w:rPr>
        <w:t xml:space="preserve">Terminology labels — what a “record” is called, what the unique identifier is called</w:t>
      </w:r>
    </w:p>
    <w:p>
      <w:pPr>
        <w:pStyle w:val="ListParagraph"/>
        <w:numPr>
          <w:ilvl w:val="0"/>
          <w:numId w:val="2"/>
        </w:numPr>
        <w:spacing w:after="100"/>
      </w:pPr>
      <w:r>
        <w:rPr>
          <w:sz w:val="21"/>
          <w:szCs w:val="21"/>
        </w:rPr>
        <w:t xml:space="preserve">Number and names of locations</w:t>
      </w:r>
    </w:p>
    <w:p>
      <w:pPr>
        <w:pStyle w:val="ListParagraph"/>
        <w:numPr>
          <w:ilvl w:val="0"/>
          <w:numId w:val="2"/>
        </w:numPr>
        <w:spacing w:after="100"/>
      </w:pPr>
      <w:r>
        <w:rPr>
          <w:sz w:val="21"/>
          <w:szCs w:val="21"/>
        </w:rPr>
        <w:t xml:space="preserve">Status pipeline stages and branch/exception states</w:t>
      </w:r>
    </w:p>
    <w:p>
      <w:pPr>
        <w:pStyle w:val="ListParagraph"/>
        <w:numPr>
          <w:ilvl w:val="0"/>
          <w:numId w:val="2"/>
        </w:numPr>
        <w:spacing w:after="100"/>
      </w:pPr>
      <w:r>
        <w:rPr>
          <w:sz w:val="21"/>
          <w:szCs w:val="21"/>
        </w:rPr>
        <w:t xml:space="preserve">Document template text — disclaimers, warranty terms, policies</w:t>
      </w:r>
    </w:p>
    <w:p>
      <w:pPr>
        <w:pStyle w:val="ListParagraph"/>
        <w:numPr>
          <w:ilvl w:val="0"/>
          <w:numId w:val="2"/>
        </w:numPr>
        <w:spacing w:after="100"/>
      </w:pPr>
      <w:r>
        <w:rPr>
          <w:sz w:val="21"/>
          <w:szCs w:val="21"/>
        </w:rPr>
        <w:t xml:space="preserve">Notification message copy</w:t>
      </w:r>
    </w:p>
    <w:p>
      <w:pPr>
        <w:pStyle w:val="Heading2"/>
        <w:spacing w:after="120" w:before="240"/>
      </w:pPr>
      <w:r>
        <w:rPr>
          <w:b/>
          <w:bCs/>
          <w:color w:val="1F3864"/>
          <w:sz w:val="24"/>
          <w:szCs w:val="24"/>
        </w:rPr>
        <w:t xml:space="preserve">Recommended deployment model: single-tenant per client, config-driven core</w:t>
      </w:r>
    </w:p>
    <w:p>
      <w:pPr>
        <w:spacing w:after="160"/>
      </w:pPr>
      <w:r>
        <w:rPr>
          <w:b w:val="false"/>
          <w:bCs w:val="false"/>
          <w:i w:val="false"/>
          <w:iCs w:val="false"/>
          <w:sz w:val="21"/>
          <w:szCs w:val="21"/>
        </w:rPr>
        <w:t xml:space="preserve">Two obvious options don't fit well. A fully shared multi-tenant app (one database, all clients) undermines the “custom internal software” pitch — a client who's paying for their own tool doesn't want to hear their data lives in the same database as a competitor's, and tenant-isolation bugs are the single most common source of serious security incidents in multi-tenant SaaS, which is a lot of engineering rigor to take on for no real benefit at this stage. Pure fork-and-forget (copy the codebase, hand-edit per client) throws away all reuse in the other direction — every bug fix or new feature has to be manually reapplied to every client's copy, which stops scaling past a handful of clients and quietly turns “product” back into full bespoke consulting.</w:t>
      </w:r>
    </w:p>
    <w:p>
      <w:pPr>
        <w:spacing w:after="160"/>
      </w:pPr>
      <w:r>
        <w:rPr>
          <w:b w:val="false"/>
          <w:bCs w:val="false"/>
          <w:i w:val="false"/>
          <w:iCs w:val="false"/>
          <w:sz w:val="21"/>
          <w:szCs w:val="21"/>
        </w:rPr>
        <w:t xml:space="preserve">The middle path fits best: one template repository is the source of truth for the core engine. Each client gets their own Supabase project (physically separate database — an easy, concrete thing to tell a nervous business owner: “your data lives in your own database”), their own Vercel deployment, and their own domain. A config file and seed data set their branding, terminology, unique-identifier field, and workflow stages. New core features get built once in the template, then rolled out to each client's deployment as a controlled update — not rebuilt from scratch each time, but not silently auto-pushed either, since a client shouldn't see their UI change without warning.</w:t>
      </w:r>
    </w:p>
    <w:p>
      <w:pPr>
        <w:spacing w:after="160"/>
      </w:pPr>
      <w:r>
        <w:rPr>
          <w:b w:val="false"/>
          <w:bCs w:val="false"/>
          <w:i w:val="false"/>
          <w:iCs w:val="false"/>
          <w:sz w:val="21"/>
          <w:szCs w:val="21"/>
        </w:rPr>
        <w:t xml:space="preserve">This is the standard “productized service” pattern, and it matches the actual sales pitch (“your own custom software”) while still giving Vyden Co. real leverage from one engineering core. True multi-tenancy is worth revisiting later purely to cut hosting cost if the client count gets large (20+ near-identical deployments), but that's a scale problem to solve when it arrives, not a Phase 1 decision.</w:t>
      </w:r>
    </w:p>
    <w:p>
      <w:pPr>
        <w:pStyle w:val="Heading1"/>
        <w:spacing w:after="160" w:before="360"/>
      </w:pPr>
      <w:r>
        <w:rPr>
          <w:b/>
          <w:bCs/>
          <w:color w:val="1F3864"/>
          <w:sz w:val="28"/>
          <w:szCs w:val="28"/>
        </w:rPr>
        <w:t xml:space="preserve">11. Security Considerations</w:t>
      </w:r>
    </w:p>
    <w:p>
      <w:pPr>
        <w:pStyle w:val="Heading2"/>
        <w:spacing w:after="120" w:before="240"/>
      </w:pPr>
      <w:r>
        <w:rPr>
          <w:b/>
          <w:bCs/>
          <w:color w:val="1F3864"/>
          <w:sz w:val="24"/>
          <w:szCs w:val="24"/>
        </w:rPr>
        <w:t xml:space="preserve">Foundational (every deployment, Phase 1)</w:t>
      </w:r>
    </w:p>
    <w:p>
      <w:pPr>
        <w:pStyle w:val="ListParagraph"/>
        <w:numPr>
          <w:ilvl w:val="0"/>
          <w:numId w:val="2"/>
        </w:numPr>
        <w:spacing w:after="100"/>
      </w:pPr>
      <w:r>
        <w:rPr>
          <w:sz w:val="21"/>
          <w:szCs w:val="21"/>
        </w:rPr>
        <w:t xml:space="preserve">Individual staff logins — no shared/shared-device passwords.</w:t>
      </w:r>
    </w:p>
    <w:p>
      <w:pPr>
        <w:pStyle w:val="ListParagraph"/>
        <w:numPr>
          <w:ilvl w:val="0"/>
          <w:numId w:val="2"/>
        </w:numPr>
        <w:spacing w:after="100"/>
      </w:pPr>
      <w:r>
        <w:rPr>
          <w:sz w:val="21"/>
          <w:szCs w:val="21"/>
        </w:rPr>
        <w:t xml:space="preserve">Row Level Security at the database level, per location and per role.</w:t>
      </w:r>
    </w:p>
    <w:p>
      <w:pPr>
        <w:pStyle w:val="ListParagraph"/>
        <w:numPr>
          <w:ilvl w:val="0"/>
          <w:numId w:val="2"/>
        </w:numPr>
        <w:spacing w:after="100"/>
      </w:pPr>
      <w:r>
        <w:rPr>
          <w:sz w:val="21"/>
          <w:szCs w:val="21"/>
        </w:rPr>
        <w:t xml:space="preserve">Secrets (API keys) kept in environment variables, never committed to GitHub or exposed in frontend code.</w:t>
      </w:r>
    </w:p>
    <w:p>
      <w:pPr>
        <w:pStyle w:val="ListParagraph"/>
        <w:numPr>
          <w:ilvl w:val="0"/>
          <w:numId w:val="2"/>
        </w:numPr>
        <w:spacing w:after="100"/>
      </w:pPr>
      <w:r>
        <w:rPr>
          <w:sz w:val="21"/>
          <w:szCs w:val="21"/>
        </w:rPr>
        <w:t xml:space="preserve">Physical data isolation per client — separate Supabase project per deployment, which is also the security answer to “who else can see our data.”</w:t>
      </w:r>
    </w:p>
    <w:p>
      <w:pPr>
        <w:pStyle w:val="Heading2"/>
        <w:spacing w:after="120" w:before="240"/>
      </w:pPr>
      <w:r>
        <w:rPr>
          <w:b/>
          <w:bCs/>
          <w:color w:val="1F3864"/>
          <w:sz w:val="24"/>
          <w:szCs w:val="24"/>
        </w:rPr>
        <w:t xml:space="preserve">Phase 2 (per deployment, post-launch)</w:t>
      </w:r>
    </w:p>
    <w:p>
      <w:pPr>
        <w:pStyle w:val="ListParagraph"/>
        <w:numPr>
          <w:ilvl w:val="0"/>
          <w:numId w:val="2"/>
        </w:numPr>
        <w:spacing w:after="100"/>
      </w:pPr>
      <w:r>
        <w:rPr>
          <w:sz w:val="21"/>
          <w:szCs w:val="21"/>
        </w:rPr>
        <w:t xml:space="preserve">Session timeout on shared location devices (e.g. auto-logout after 15–30 minutes of inactivity).</w:t>
      </w:r>
    </w:p>
    <w:p>
      <w:pPr>
        <w:pStyle w:val="ListParagraph"/>
        <w:numPr>
          <w:ilvl w:val="0"/>
          <w:numId w:val="2"/>
        </w:numPr>
        <w:spacing w:after="100"/>
      </w:pPr>
      <w:r>
        <w:rPr>
          <w:sz w:val="21"/>
          <w:szCs w:val="21"/>
        </w:rPr>
        <w:t xml:space="preserve">Two-factor authentication on admin accounts specifically, given their all-location access.</w:t>
      </w:r>
    </w:p>
    <w:p>
      <w:pPr>
        <w:pStyle w:val="ListParagraph"/>
        <w:numPr>
          <w:ilvl w:val="0"/>
          <w:numId w:val="2"/>
        </w:numPr>
        <w:spacing w:after="100"/>
      </w:pPr>
      <w:r>
        <w:rPr>
          <w:sz w:val="21"/>
          <w:szCs w:val="21"/>
        </w:rPr>
        <w:t xml:space="preserve">Encryption at rest (enabled by default on Supabase — confirm, don't assume) and HTTPS everywhere.</w:t>
      </w:r>
    </w:p>
    <w:p>
      <w:pPr>
        <w:pStyle w:val="ListParagraph"/>
        <w:numPr>
          <w:ilvl w:val="0"/>
          <w:numId w:val="2"/>
        </w:numPr>
        <w:spacing w:after="100"/>
      </w:pPr>
      <w:r>
        <w:rPr>
          <w:sz w:val="21"/>
          <w:szCs w:val="21"/>
        </w:rPr>
        <w:t xml:space="preserve">Basic compliance check against the relevant local data-protection law (e.g. India's DPDP Act, 2023) given customer contact and item data are collected — verify per client jurisdiction.</w:t>
      </w:r>
    </w:p>
    <w:p>
      <w:pPr>
        <w:pStyle w:val="ListParagraph"/>
        <w:numPr>
          <w:ilvl w:val="0"/>
          <w:numId w:val="2"/>
        </w:numPr>
        <w:spacing w:after="100"/>
      </w:pPr>
      <w:r>
        <w:rPr>
          <w:sz w:val="21"/>
          <w:szCs w:val="21"/>
        </w:rPr>
        <w:t xml:space="preserve">Rate-limiting on search/lookup endpoints to prevent brute-force scanning.</w:t>
      </w:r>
    </w:p>
    <w:p>
      <w:pPr>
        <w:pStyle w:val="ListParagraph"/>
        <w:numPr>
          <w:ilvl w:val="0"/>
          <w:numId w:val="2"/>
        </w:numPr>
        <w:spacing w:after="100"/>
      </w:pPr>
      <w:r>
        <w:rPr>
          <w:sz w:val="21"/>
          <w:szCs w:val="21"/>
        </w:rPr>
        <w:t xml:space="preserve">Automated daily backups, with a defined recovery point/time objective agreed with each client.</w:t>
      </w:r>
    </w:p>
    <w:p>
      <w:pPr>
        <w:pStyle w:val="Heading1"/>
        <w:spacing w:after="160" w:before="360"/>
      </w:pPr>
      <w:r>
        <w:rPr>
          <w:b/>
          <w:bCs/>
          <w:color w:val="1F3864"/>
          <w:sz w:val="28"/>
          <w:szCs w:val="28"/>
        </w:rPr>
        <w:t xml:space="preserve">12. Build Phases</w:t>
      </w:r>
    </w:p>
    <w:p>
      <w:pPr>
        <w:pStyle w:val="Heading2"/>
        <w:spacing w:after="120" w:before="240"/>
      </w:pPr>
      <w:r>
        <w:rPr>
          <w:b/>
          <w:bCs/>
          <w:color w:val="1F3864"/>
          <w:sz w:val="24"/>
          <w:szCs w:val="24"/>
        </w:rPr>
        <w:t xml:space="preserve">Phase 0 — Build the Core (one-time, template)</w:t>
      </w:r>
    </w:p>
    <w:p>
      <w:pPr>
        <w:spacing w:after="160"/>
      </w:pPr>
      <w:r>
        <w:rPr>
          <w:b w:val="false"/>
          <w:bCs w:val="false"/>
          <w:i w:val="false"/>
          <w:iCs w:val="false"/>
          <w:sz w:val="21"/>
          <w:szCs w:val="21"/>
        </w:rPr>
        <w:t xml:space="preserve">This is effectively what the Mobile Station build already is, once the config layer (Section 5, 10) is factored out explicitly rather than hardcoded to one client.</w:t>
      </w:r>
    </w:p>
    <w:p>
      <w:pPr>
        <w:pStyle w:val="ListParagraph"/>
        <w:numPr>
          <w:ilvl w:val="0"/>
          <w:numId w:val="2"/>
        </w:numPr>
        <w:spacing w:after="100"/>
      </w:pPr>
      <w:r>
        <w:rPr>
          <w:sz w:val="21"/>
          <w:szCs w:val="21"/>
        </w:rPr>
        <w:t xml:space="preserve">Schema, auth/RLS, the status-history engine, WhatsApp integration, PDF generation.</w:t>
      </w:r>
    </w:p>
    <w:p>
      <w:pPr>
        <w:pStyle w:val="ListParagraph"/>
        <w:numPr>
          <w:ilvl w:val="0"/>
          <w:numId w:val="2"/>
        </w:numPr>
        <w:spacing w:after="100"/>
      </w:pPr>
      <w:r>
        <w:rPr>
          <w:sz w:val="21"/>
          <w:szCs w:val="21"/>
        </w:rPr>
        <w:t xml:space="preserve">Extract deployment_config and workflow_stages so nothing client-specific is hardcoded.</w:t>
      </w:r>
    </w:p>
    <w:p>
      <w:pPr>
        <w:pStyle w:val="ListParagraph"/>
        <w:numPr>
          <w:ilvl w:val="0"/>
          <w:numId w:val="2"/>
        </w:numPr>
        <w:spacing w:after="100"/>
      </w:pPr>
      <w:r>
        <w:rPr>
          <w:sz w:val="21"/>
          <w:szCs w:val="21"/>
        </w:rPr>
        <w:t xml:space="preserve">A short internal “new client discovery checklist” covering every item in Section 10's configured list.</w:t>
      </w:r>
    </w:p>
    <w:p>
      <w:pPr>
        <w:pStyle w:val="Heading2"/>
        <w:spacing w:after="120" w:before="240"/>
      </w:pPr>
      <w:r>
        <w:rPr>
          <w:b/>
          <w:bCs/>
          <w:color w:val="1F3864"/>
          <w:sz w:val="24"/>
          <w:szCs w:val="24"/>
        </w:rPr>
        <w:t xml:space="preserve">Per-client rollout (repeated for every new client)</w:t>
      </w:r>
    </w:p>
    <w:p>
      <w:pPr>
        <w:pStyle w:val="ListParagraph"/>
        <w:numPr>
          <w:ilvl w:val="0"/>
          <w:numId w:val="2"/>
        </w:numPr>
        <w:spacing w:after="100"/>
      </w:pPr>
      <w:r>
        <w:rPr>
          <w:sz w:val="21"/>
          <w:szCs w:val="21"/>
        </w:rPr>
        <w:t xml:space="preserve">Discovery — confirm locations, terminology, unique identifier field, status pipeline, branding assets.</w:t>
      </w:r>
    </w:p>
    <w:p>
      <w:pPr>
        <w:pStyle w:val="ListParagraph"/>
        <w:numPr>
          <w:ilvl w:val="0"/>
          <w:numId w:val="2"/>
        </w:numPr>
        <w:spacing w:after="100"/>
      </w:pPr>
      <w:r>
        <w:rPr>
          <w:sz w:val="21"/>
          <w:szCs w:val="21"/>
        </w:rPr>
        <w:t xml:space="preserve">Configure &amp; deploy — new Supabase project, seed config, connect a WhatsApp BSP, deploy to the client's domain.</w:t>
      </w:r>
    </w:p>
    <w:p>
      <w:pPr>
        <w:pStyle w:val="ListParagraph"/>
        <w:numPr>
          <w:ilvl w:val="0"/>
          <w:numId w:val="2"/>
        </w:numPr>
        <w:spacing w:after="100"/>
      </w:pPr>
      <w:r>
        <w:rPr>
          <w:sz w:val="21"/>
          <w:szCs w:val="21"/>
        </w:rPr>
        <w:t xml:space="preserve">Handoff — staff training, go-live support.</w:t>
      </w:r>
    </w:p>
    <w:p>
      <w:pPr>
        <w:pStyle w:val="ListParagraph"/>
        <w:numPr>
          <w:ilvl w:val="0"/>
          <w:numId w:val="2"/>
        </w:numPr>
        <w:spacing w:after="100"/>
      </w:pPr>
      <w:r>
        <w:rPr>
          <w:sz w:val="21"/>
          <w:szCs w:val="21"/>
        </w:rPr>
        <w:t xml:space="preserve">Ongoing support &amp; maintenance.</w:t>
      </w:r>
    </w:p>
    <w:p>
      <w:pPr>
        <w:pStyle w:val="Heading1"/>
        <w:spacing w:after="160" w:before="360"/>
      </w:pPr>
      <w:r>
        <w:rPr>
          <w:b/>
          <w:bCs/>
          <w:color w:val="1F3864"/>
          <w:sz w:val="28"/>
          <w:szCs w:val="28"/>
        </w:rPr>
        <w:t xml:space="preserve">13. Tools &amp; Services Required (per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Tool / Service</w:t>
            </w:r>
          </w:p>
        </w:tc>
        <w:tc>
          <w:tcPr>
            <w:tcW w:type="dxa" w:w="6426"/>
            <w:shd w:fill="1F3864"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color w:val="000000"/>
                <w:sz w:val="20"/>
                <w:szCs w:val="20"/>
              </w:rPr>
              <w:t xml:space="preserve">Supabase project</w:t>
            </w:r>
          </w:p>
        </w:tc>
        <w:tc>
          <w:tcPr>
            <w:tcW w:type="dxa" w:w="6426"/>
            <w:tcMar>
              <w:top w:type="dxa" w:w="80"/>
              <w:left w:type="dxa" w:w="100"/>
              <w:bottom w:type="dxa" w:w="80"/>
              <w:right w:type="dxa" w:w="100"/>
            </w:tcMar>
          </w:tcPr>
          <w:p>
            <w:r>
              <w:rPr>
                <w:b w:val="false"/>
                <w:bCs w:val="false"/>
                <w:color w:val="000000"/>
                <w:sz w:val="20"/>
                <w:szCs w:val="20"/>
              </w:rPr>
              <w:t xml:space="preserve">Database, authentication, realtime sync, file storage — one per client</w:t>
            </w:r>
          </w:p>
        </w:tc>
      </w:tr>
      <w:tr>
        <w:tc>
          <w:tcPr>
            <w:tcW w:type="dxa" w:w="2600"/>
            <w:tcMar>
              <w:top w:type="dxa" w:w="80"/>
              <w:left w:type="dxa" w:w="100"/>
              <w:bottom w:type="dxa" w:w="80"/>
              <w:right w:type="dxa" w:w="100"/>
            </w:tcMar>
          </w:tcPr>
          <w:p>
            <w:r>
              <w:rPr>
                <w:b w:val="false"/>
                <w:bCs w:val="false"/>
                <w:color w:val="000000"/>
                <w:sz w:val="20"/>
                <w:szCs w:val="20"/>
              </w:rPr>
              <w:t xml:space="preserve">Vercel project</w:t>
            </w:r>
          </w:p>
        </w:tc>
        <w:tc>
          <w:tcPr>
            <w:tcW w:type="dxa" w:w="6426"/>
            <w:tcMar>
              <w:top w:type="dxa" w:w="80"/>
              <w:left w:type="dxa" w:w="100"/>
              <w:bottom w:type="dxa" w:w="80"/>
              <w:right w:type="dxa" w:w="100"/>
            </w:tcMar>
          </w:tcPr>
          <w:p>
            <w:r>
              <w:rPr>
                <w:b w:val="false"/>
                <w:bCs w:val="false"/>
                <w:color w:val="000000"/>
                <w:sz w:val="20"/>
                <w:szCs w:val="20"/>
              </w:rPr>
              <w:t xml:space="preserve">Hosting and deployment for that client's instance</w:t>
            </w:r>
          </w:p>
        </w:tc>
      </w:tr>
      <w:tr>
        <w:tc>
          <w:tcPr>
            <w:tcW w:type="dxa" w:w="2600"/>
            <w:tcMar>
              <w:top w:type="dxa" w:w="80"/>
              <w:left w:type="dxa" w:w="100"/>
              <w:bottom w:type="dxa" w:w="80"/>
              <w:right w:type="dxa" w:w="100"/>
            </w:tcMar>
          </w:tcPr>
          <w:p>
            <w:r>
              <w:rPr>
                <w:b w:val="false"/>
                <w:bCs w:val="false"/>
                <w:color w:val="000000"/>
                <w:sz w:val="20"/>
                <w:szCs w:val="20"/>
              </w:rPr>
              <w:t xml:space="preserve">GitHub</w:t>
            </w:r>
          </w:p>
        </w:tc>
        <w:tc>
          <w:tcPr>
            <w:tcW w:type="dxa" w:w="6426"/>
            <w:tcMar>
              <w:top w:type="dxa" w:w="80"/>
              <w:left w:type="dxa" w:w="100"/>
              <w:bottom w:type="dxa" w:w="80"/>
              <w:right w:type="dxa" w:w="100"/>
            </w:tcMar>
          </w:tcPr>
          <w:p>
            <w:r>
              <w:rPr>
                <w:b w:val="false"/>
                <w:bCs w:val="false"/>
                <w:color w:val="000000"/>
                <w:sz w:val="20"/>
                <w:szCs w:val="20"/>
              </w:rPr>
              <w:t xml:space="preserve">Template repository as source of truth; a deployment branch or repo per client</w:t>
            </w:r>
          </w:p>
        </w:tc>
      </w:tr>
      <w:tr>
        <w:tc>
          <w:tcPr>
            <w:tcW w:type="dxa" w:w="2600"/>
            <w:tcMar>
              <w:top w:type="dxa" w:w="80"/>
              <w:left w:type="dxa" w:w="100"/>
              <w:bottom w:type="dxa" w:w="80"/>
              <w:right w:type="dxa" w:w="100"/>
            </w:tcMar>
          </w:tcPr>
          <w:p>
            <w:r>
              <w:rPr>
                <w:b w:val="false"/>
                <w:bCs w:val="false"/>
                <w:color w:val="000000"/>
                <w:sz w:val="20"/>
                <w:szCs w:val="20"/>
              </w:rPr>
              <w:t xml:space="preserve">WhatsApp Business API provider (e.g. AiSensy, Interakt)</w:t>
            </w:r>
          </w:p>
        </w:tc>
        <w:tc>
          <w:tcPr>
            <w:tcW w:type="dxa" w:w="6426"/>
            <w:tcMar>
              <w:top w:type="dxa" w:w="80"/>
              <w:left w:type="dxa" w:w="100"/>
              <w:bottom w:type="dxa" w:w="80"/>
              <w:right w:type="dxa" w:w="100"/>
            </w:tcMar>
          </w:tcPr>
          <w:p>
            <w:r>
              <w:rPr>
                <w:b w:val="false"/>
                <w:bCs w:val="false"/>
                <w:color w:val="000000"/>
                <w:sz w:val="20"/>
                <w:szCs w:val="20"/>
              </w:rPr>
              <w:t xml:space="preserve">Sends automated status-update messages; handles Meta business verification, per client</w:t>
            </w:r>
          </w:p>
        </w:tc>
      </w:tr>
      <w:tr>
        <w:tc>
          <w:tcPr>
            <w:tcW w:type="dxa" w:w="2600"/>
            <w:tcMar>
              <w:top w:type="dxa" w:w="80"/>
              <w:left w:type="dxa" w:w="100"/>
              <w:bottom w:type="dxa" w:w="80"/>
              <w:right w:type="dxa" w:w="100"/>
            </w:tcMar>
          </w:tcPr>
          <w:p>
            <w:r>
              <w:rPr>
                <w:b w:val="false"/>
                <w:bCs w:val="false"/>
                <w:color w:val="000000"/>
                <w:sz w:val="20"/>
                <w:szCs w:val="20"/>
              </w:rPr>
              <w:t xml:space="preserve">Domain name</w:t>
            </w:r>
          </w:p>
        </w:tc>
        <w:tc>
          <w:tcPr>
            <w:tcW w:type="dxa" w:w="6426"/>
            <w:tcMar>
              <w:top w:type="dxa" w:w="80"/>
              <w:left w:type="dxa" w:w="100"/>
              <w:bottom w:type="dxa" w:w="80"/>
              <w:right w:type="dxa" w:w="100"/>
            </w:tcMar>
          </w:tcPr>
          <w:p>
            <w:r>
              <w:rPr>
                <w:b w:val="false"/>
                <w:bCs w:val="false"/>
                <w:color w:val="000000"/>
                <w:sz w:val="20"/>
                <w:szCs w:val="20"/>
              </w:rPr>
              <w:t xml:space="preserve">Custom URL for the client's internal app</w:t>
            </w:r>
          </w:p>
        </w:tc>
      </w:tr>
      <w:tr>
        <w:tc>
          <w:tcPr>
            <w:tcW w:type="dxa" w:w="2600"/>
            <w:tcMar>
              <w:top w:type="dxa" w:w="80"/>
              <w:left w:type="dxa" w:w="100"/>
              <w:bottom w:type="dxa" w:w="80"/>
              <w:right w:type="dxa" w:w="100"/>
            </w:tcMar>
          </w:tcPr>
          <w:p>
            <w:r>
              <w:rPr>
                <w:b w:val="false"/>
                <w:bCs w:val="false"/>
                <w:color w:val="000000"/>
                <w:sz w:val="20"/>
                <w:szCs w:val="20"/>
              </w:rPr>
              <w:t xml:space="preserve">Client brand assets</w:t>
            </w:r>
          </w:p>
        </w:tc>
        <w:tc>
          <w:tcPr>
            <w:tcW w:type="dxa" w:w="6426"/>
            <w:tcMar>
              <w:top w:type="dxa" w:w="80"/>
              <w:left w:type="dxa" w:w="100"/>
              <w:bottom w:type="dxa" w:w="80"/>
              <w:right w:type="dxa" w:w="100"/>
            </w:tcMar>
          </w:tcPr>
          <w:p>
            <w:r>
              <w:rPr>
                <w:b w:val="false"/>
                <w:bCs w:val="false"/>
                <w:color w:val="000000"/>
                <w:sz w:val="20"/>
                <w:szCs w:val="20"/>
              </w:rPr>
              <w:t xml:space="preserve">Logo, addresses, tax/registration number, terms text — needed before documents can be finalized</w:t>
            </w:r>
          </w:p>
        </w:tc>
      </w:tr>
    </w:tbl>
    <w:p>
      <w:pPr>
        <w:pStyle w:val="Heading1"/>
        <w:spacing w:after="160" w:before="360"/>
      </w:pPr>
      <w:r>
        <w:rPr>
          <w:b/>
          <w:bCs/>
          <w:color w:val="1F3864"/>
          <w:sz w:val="28"/>
          <w:szCs w:val="28"/>
        </w:rPr>
        <w:t xml:space="preserve">14. Cost Estimate</w:t>
      </w:r>
    </w:p>
    <w:p>
      <w:pPr>
        <w:spacing w:after="160"/>
      </w:pPr>
      <w:r>
        <w:rPr>
          <w:b w:val="false"/>
          <w:bCs w:val="false"/>
          <w:i w:val="false"/>
          <w:iCs w:val="false"/>
          <w:sz w:val="21"/>
          <w:szCs w:val="21"/>
        </w:rPr>
        <w:t xml:space="preserve">Figures are approximate, based on current published pricing as of mid-2026, and should be confirmed on each provider's site before quoting a client, since usage-based charges can shift the total. These are the same figures underlying the Mobile Station deployment (Section 13 of that document) — they now represent the per-client incremental cost of any new deployment, not a one-off.</w:t>
      </w:r>
    </w:p>
    <w:p>
      <w:pPr>
        <w:pStyle w:val="Heading2"/>
        <w:spacing w:after="120" w:before="240"/>
      </w:pPr>
      <w:r>
        <w:rPr>
          <w:b/>
          <w:bCs/>
          <w:color w:val="1F3864"/>
          <w:sz w:val="24"/>
          <w:szCs w:val="24"/>
        </w:rPr>
        <w:t xml:space="preserve">Per-client recurring cost (pass-through or built into a retainer)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Item</w:t>
            </w:r>
          </w:p>
        </w:tc>
        <w:tc>
          <w:tcPr>
            <w:tcW w:type="dxa" w:w="2500"/>
            <w:shd w:fill="1F3864" w:val="clear"/>
            <w:tcMar>
              <w:top w:type="dxa" w:w="80"/>
              <w:left w:type="dxa" w:w="100"/>
              <w:bottom w:type="dxa" w:w="80"/>
              <w:right w:type="dxa" w:w="100"/>
            </w:tcMar>
          </w:tcPr>
          <w:p>
            <w:r>
              <w:rPr>
                <w:b/>
                <w:bCs/>
                <w:color w:val="FFFFFF"/>
                <w:sz w:val="20"/>
                <w:szCs w:val="20"/>
              </w:rPr>
              <w:t xml:space="preserve">Typical cost</w:t>
            </w:r>
          </w:p>
        </w:tc>
        <w:tc>
          <w:tcPr>
            <w:tcW w:type="dxa" w:w="4526"/>
            <w:shd w:fill="1F3864" w:val="clear"/>
            <w:tcMar>
              <w:top w:type="dxa" w:w="80"/>
              <w:left w:type="dxa" w:w="100"/>
              <w:bottom w:type="dxa" w:w="80"/>
              <w:right w:type="dxa" w:w="100"/>
            </w:tcMar>
          </w:tcPr>
          <w:p>
            <w:r>
              <w:rPr>
                <w:b/>
                <w:bCs/>
                <w:color w:val="FFFFFF"/>
                <w:sz w:val="20"/>
                <w:szCs w:val="20"/>
              </w:rPr>
              <w:t xml:space="preserve">Notes</w:t>
            </w:r>
          </w:p>
        </w:tc>
      </w:tr>
      <w:tr>
        <w:tc>
          <w:tcPr>
            <w:tcW w:type="dxa" w:w="2000"/>
            <w:tcMar>
              <w:top w:type="dxa" w:w="80"/>
              <w:left w:type="dxa" w:w="100"/>
              <w:bottom w:type="dxa" w:w="80"/>
              <w:right w:type="dxa" w:w="100"/>
            </w:tcMar>
          </w:tcPr>
          <w:p>
            <w:r>
              <w:rPr>
                <w:b w:val="false"/>
                <w:bCs w:val="false"/>
                <w:color w:val="000000"/>
                <w:sz w:val="20"/>
                <w:szCs w:val="20"/>
              </w:rPr>
              <w:t xml:space="preserve">Supabase</w:t>
            </w:r>
          </w:p>
        </w:tc>
        <w:tc>
          <w:tcPr>
            <w:tcW w:type="dxa" w:w="2500"/>
            <w:tcMar>
              <w:top w:type="dxa" w:w="80"/>
              <w:left w:type="dxa" w:w="100"/>
              <w:bottom w:type="dxa" w:w="80"/>
              <w:right w:type="dxa" w:w="100"/>
            </w:tcMar>
          </w:tcPr>
          <w:p>
            <w:r>
              <w:rPr>
                <w:b w:val="false"/>
                <w:bCs w:val="false"/>
                <w:color w:val="000000"/>
                <w:sz w:val="20"/>
                <w:szCs w:val="20"/>
              </w:rPr>
              <w:t xml:space="preserve">₹0 to start → ~₹2,100/mo (Pro)</w:t>
            </w:r>
          </w:p>
        </w:tc>
        <w:tc>
          <w:tcPr>
            <w:tcW w:type="dxa" w:w="4526"/>
            <w:tcMar>
              <w:top w:type="dxa" w:w="80"/>
              <w:left w:type="dxa" w:w="100"/>
              <w:bottom w:type="dxa" w:w="80"/>
              <w:right w:type="dxa" w:w="100"/>
            </w:tcMar>
          </w:tcPr>
          <w:p>
            <w:r>
              <w:rPr>
                <w:b w:val="false"/>
                <w:bCs w:val="false"/>
                <w:color w:val="000000"/>
                <w:sz w:val="20"/>
                <w:szCs w:val="20"/>
              </w:rPr>
              <w:t xml:space="preserve">Pro is realistically needed once a client is live in production</w:t>
            </w:r>
          </w:p>
        </w:tc>
      </w:tr>
      <w:tr>
        <w:tc>
          <w:tcPr>
            <w:tcW w:type="dxa" w:w="2000"/>
            <w:tcMar>
              <w:top w:type="dxa" w:w="80"/>
              <w:left w:type="dxa" w:w="100"/>
              <w:bottom w:type="dxa" w:w="80"/>
              <w:right w:type="dxa" w:w="100"/>
            </w:tcMar>
          </w:tcPr>
          <w:p>
            <w:r>
              <w:rPr>
                <w:b w:val="false"/>
                <w:bCs w:val="false"/>
                <w:color w:val="000000"/>
                <w:sz w:val="20"/>
                <w:szCs w:val="20"/>
              </w:rPr>
              <w:t xml:space="preserve">Vercel</w:t>
            </w:r>
          </w:p>
        </w:tc>
        <w:tc>
          <w:tcPr>
            <w:tcW w:type="dxa" w:w="2500"/>
            <w:tcMar>
              <w:top w:type="dxa" w:w="80"/>
              <w:left w:type="dxa" w:w="100"/>
              <w:bottom w:type="dxa" w:w="80"/>
              <w:right w:type="dxa" w:w="100"/>
            </w:tcMar>
          </w:tcPr>
          <w:p>
            <w:r>
              <w:rPr>
                <w:b w:val="false"/>
                <w:bCs w:val="false"/>
                <w:color w:val="000000"/>
                <w:sz w:val="20"/>
                <w:szCs w:val="20"/>
              </w:rPr>
              <w:t xml:space="preserve">~₹1,700/mo (Pro)</w:t>
            </w:r>
          </w:p>
        </w:tc>
        <w:tc>
          <w:tcPr>
            <w:tcW w:type="dxa" w:w="4526"/>
            <w:tcMar>
              <w:top w:type="dxa" w:w="80"/>
              <w:left w:type="dxa" w:w="100"/>
              <w:bottom w:type="dxa" w:w="80"/>
              <w:right w:type="dxa" w:w="100"/>
            </w:tcMar>
          </w:tcPr>
          <w:p>
            <w:r>
              <w:rPr>
                <w:b w:val="false"/>
                <w:bCs w:val="false"/>
                <w:color w:val="000000"/>
                <w:sz w:val="20"/>
                <w:szCs w:val="20"/>
              </w:rPr>
              <w:t xml:space="preserve">Hobby tier prohibits commercial use</w:t>
            </w:r>
          </w:p>
        </w:tc>
      </w:tr>
      <w:tr>
        <w:tc>
          <w:tcPr>
            <w:tcW w:type="dxa" w:w="2000"/>
            <w:tcMar>
              <w:top w:type="dxa" w:w="80"/>
              <w:left w:type="dxa" w:w="100"/>
              <w:bottom w:type="dxa" w:w="80"/>
              <w:right w:type="dxa" w:w="100"/>
            </w:tcMar>
          </w:tcPr>
          <w:p>
            <w:r>
              <w:rPr>
                <w:b w:val="false"/>
                <w:bCs w:val="false"/>
                <w:color w:val="000000"/>
                <w:sz w:val="20"/>
                <w:szCs w:val="20"/>
              </w:rPr>
              <w:t xml:space="preserve">WhatsApp Business API (BSP)</w:t>
            </w:r>
          </w:p>
        </w:tc>
        <w:tc>
          <w:tcPr>
            <w:tcW w:type="dxa" w:w="2500"/>
            <w:tcMar>
              <w:top w:type="dxa" w:w="80"/>
              <w:left w:type="dxa" w:w="100"/>
              <w:bottom w:type="dxa" w:w="80"/>
              <w:right w:type="dxa" w:w="100"/>
            </w:tcMar>
          </w:tcPr>
          <w:p>
            <w:r>
              <w:rPr>
                <w:b w:val="false"/>
                <w:bCs w:val="false"/>
                <w:color w:val="000000"/>
                <w:sz w:val="20"/>
                <w:szCs w:val="20"/>
              </w:rPr>
              <w:t xml:space="preserve">~₹1,000–₹1,500/mo + ~₹0.12/message</w:t>
            </w:r>
          </w:p>
        </w:tc>
        <w:tc>
          <w:tcPr>
            <w:tcW w:type="dxa" w:w="4526"/>
            <w:tcMar>
              <w:top w:type="dxa" w:w="80"/>
              <w:left w:type="dxa" w:w="100"/>
              <w:bottom w:type="dxa" w:w="80"/>
              <w:right w:type="dxa" w:w="100"/>
            </w:tcMar>
          </w:tcPr>
          <w:p>
            <w:r>
              <w:rPr>
                <w:b w:val="false"/>
                <w:bCs w:val="false"/>
                <w:color w:val="000000"/>
                <w:sz w:val="20"/>
                <w:szCs w:val="20"/>
              </w:rPr>
              <w:t xml:space="preserve">Base subscription plus per-message cost; volume-dependent</w:t>
            </w:r>
          </w:p>
        </w:tc>
      </w:tr>
      <w:tr>
        <w:tc>
          <w:tcPr>
            <w:tcW w:type="dxa" w:w="2000"/>
            <w:tcMar>
              <w:top w:type="dxa" w:w="80"/>
              <w:left w:type="dxa" w:w="100"/>
              <w:bottom w:type="dxa" w:w="80"/>
              <w:right w:type="dxa" w:w="100"/>
            </w:tcMar>
          </w:tcPr>
          <w:p>
            <w:r>
              <w:rPr>
                <w:b w:val="false"/>
                <w:bCs w:val="false"/>
                <w:color w:val="000000"/>
                <w:sz w:val="20"/>
                <w:szCs w:val="20"/>
              </w:rPr>
              <w:t xml:space="preserve">Domain (amortized)</w:t>
            </w:r>
          </w:p>
        </w:tc>
        <w:tc>
          <w:tcPr>
            <w:tcW w:type="dxa" w:w="2500"/>
            <w:tcMar>
              <w:top w:type="dxa" w:w="80"/>
              <w:left w:type="dxa" w:w="100"/>
              <w:bottom w:type="dxa" w:w="80"/>
              <w:right w:type="dxa" w:w="100"/>
            </w:tcMar>
          </w:tcPr>
          <w:p>
            <w:r>
              <w:rPr>
                <w:b w:val="false"/>
                <w:bCs w:val="false"/>
                <w:color w:val="000000"/>
                <w:sz w:val="20"/>
                <w:szCs w:val="20"/>
              </w:rPr>
              <w:t xml:space="preserve">~₹100/mo</w:t>
            </w:r>
          </w:p>
        </w:tc>
        <w:tc>
          <w:tcPr>
            <w:tcW w:type="dxa" w:w="4526"/>
            <w:tcMar>
              <w:top w:type="dxa" w:w="80"/>
              <w:left w:type="dxa" w:w="100"/>
              <w:bottom w:type="dxa" w:w="80"/>
              <w:right w:type="dxa" w:w="100"/>
            </w:tcMar>
          </w:tcPr>
          <w:p>
            <w:r>
              <w:rPr>
                <w:b w:val="false"/>
                <w:bCs w:val="false"/>
                <w:color w:val="000000"/>
                <w:sz w:val="20"/>
                <w:szCs w:val="20"/>
              </w:rPr>
              <w:t xml:space="preserve">Annual renewal spread monthly</w:t>
            </w:r>
          </w:p>
        </w:tc>
      </w:tr>
    </w:tbl>
    <w:p>
      <w:pPr>
        <w:spacing w:after="160"/>
      </w:pPr>
      <w:r>
        <w:rPr>
          <w:b w:val="false"/>
          <w:bCs w:val="false"/>
          <w:i w:val="false"/>
          <w:iCs w:val="false"/>
          <w:sz w:val="21"/>
          <w:szCs w:val="21"/>
        </w:rPr>
        <w:t xml:space="preserve">Running total: roughly ₹5,000–6,000/month per client once fully live — the floor cost that any retainer pricing needs to clear.</w:t>
      </w:r>
    </w:p>
    <w:p>
      <w:pPr>
        <w:pStyle w:val="Heading2"/>
        <w:spacing w:after="120" w:before="240"/>
      </w:pPr>
      <w:r>
        <w:rPr>
          <w:b/>
          <w:bCs/>
          <w:color w:val="1F3864"/>
          <w:sz w:val="24"/>
          <w:szCs w:val="24"/>
        </w:rPr>
        <w:t xml:space="preserve">Suggested pricing structure (illustrative, not a financial recommendation)</w:t>
      </w:r>
    </w:p>
    <w:p>
      <w:pPr>
        <w:spacing w:after="160"/>
      </w:pPr>
      <w:r>
        <w:rPr>
          <w:b w:val="false"/>
          <w:bCs w:val="false"/>
          <w:i w:val="false"/>
          <w:iCs w:val="false"/>
          <w:sz w:val="21"/>
          <w:szCs w:val="21"/>
        </w:rPr>
        <w:t xml:space="preserve">A common structure for this delivery model is a one-time setup fee covering discovery, configuration, branding, and deployment, plus a monthly retainer that bundles hosting pass-through, support, and margin. Actual numbers depend on market positioning, vertical, and negotiation — worth pricing out against 2–3 real conversations before treating any figure here as fixed. As a starting anchor, many small-business internal-tools vendors in this space price setup somewhere in the tens of thousands of rupees and retainers modestly above the raw hosting floor above; validate against your own target market rather than treating that as a benchmark.</w:t>
      </w:r>
    </w:p>
    <w:p>
      <w:pPr>
        <w:pStyle w:val="Heading1"/>
        <w:spacing w:after="160" w:before="360"/>
      </w:pPr>
      <w:r>
        <w:rPr>
          <w:b/>
          <w:bCs/>
          <w:color w:val="1F3864"/>
          <w:sz w:val="28"/>
          <w:szCs w:val="28"/>
        </w:rPr>
        <w:t xml:space="preserve">15. Target Verticals &amp; Terminology Mapping</w:t>
      </w:r>
    </w:p>
    <w:p>
      <w:pPr>
        <w:spacing w:after="160"/>
      </w:pPr>
      <w:r>
        <w:rPr>
          <w:b w:val="false"/>
          <w:bCs w:val="false"/>
          <w:i w:val="false"/>
          <w:iCs w:val="false"/>
          <w:sz w:val="21"/>
          <w:szCs w:val="21"/>
        </w:rPr>
        <w:t xml:space="preserve">The same schema and engine, re-labeled. This table is the starting point for any new-client discovery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626"/>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Vertical</w:t>
            </w:r>
          </w:p>
        </w:tc>
        <w:tc>
          <w:tcPr>
            <w:tcW w:type="dxa" w:w="2300"/>
            <w:shd w:fill="1F3864" w:val="clear"/>
            <w:tcMar>
              <w:top w:type="dxa" w:w="80"/>
              <w:left w:type="dxa" w:w="100"/>
              <w:bottom w:type="dxa" w:w="80"/>
              <w:right w:type="dxa" w:w="100"/>
            </w:tcMar>
          </w:tcPr>
          <w:p>
            <w:r>
              <w:rPr>
                <w:b/>
                <w:bCs/>
                <w:color w:val="FFFFFF"/>
                <w:sz w:val="20"/>
                <w:szCs w:val="20"/>
              </w:rPr>
              <w:t xml:space="preserve">“Record” becomes</w:t>
            </w:r>
          </w:p>
        </w:tc>
        <w:tc>
          <w:tcPr>
            <w:tcW w:type="dxa" w:w="2300"/>
            <w:shd w:fill="1F3864" w:val="clear"/>
            <w:tcMar>
              <w:top w:type="dxa" w:w="80"/>
              <w:left w:type="dxa" w:w="100"/>
              <w:bottom w:type="dxa" w:w="80"/>
              <w:right w:type="dxa" w:w="100"/>
            </w:tcMar>
          </w:tcPr>
          <w:p>
            <w:r>
              <w:rPr>
                <w:b/>
                <w:bCs/>
                <w:color w:val="FFFFFF"/>
                <w:sz w:val="20"/>
                <w:szCs w:val="20"/>
              </w:rPr>
              <w:t xml:space="preserve">Unique identifier</w:t>
            </w:r>
          </w:p>
        </w:tc>
        <w:tc>
          <w:tcPr>
            <w:tcW w:type="dxa" w:w="2626"/>
            <w:shd w:fill="1F3864" w:val="clear"/>
            <w:tcMar>
              <w:top w:type="dxa" w:w="80"/>
              <w:left w:type="dxa" w:w="100"/>
              <w:bottom w:type="dxa" w:w="80"/>
              <w:right w:type="dxa" w:w="100"/>
            </w:tcMar>
          </w:tcPr>
          <w:p>
            <w:r>
              <w:rPr>
                <w:b/>
                <w:bCs/>
                <w:color w:val="FFFFFF"/>
                <w:sz w:val="20"/>
                <w:szCs w:val="20"/>
              </w:rPr>
              <w:t xml:space="preserve">Example stages</w:t>
            </w:r>
          </w:p>
        </w:tc>
      </w:tr>
      <w:tr>
        <w:tc>
          <w:tcPr>
            <w:tcW w:type="dxa" w:w="1800"/>
            <w:tcMar>
              <w:top w:type="dxa" w:w="80"/>
              <w:left w:type="dxa" w:w="100"/>
              <w:bottom w:type="dxa" w:w="80"/>
              <w:right w:type="dxa" w:w="100"/>
            </w:tcMar>
          </w:tcPr>
          <w:p>
            <w:r>
              <w:rPr>
                <w:b w:val="false"/>
                <w:bCs w:val="false"/>
                <w:color w:val="000000"/>
                <w:sz w:val="20"/>
                <w:szCs w:val="20"/>
              </w:rPr>
              <w:t xml:space="preserve">Mobile / electronics repair</w:t>
            </w:r>
          </w:p>
        </w:tc>
        <w:tc>
          <w:tcPr>
            <w:tcW w:type="dxa" w:w="2300"/>
            <w:tcMar>
              <w:top w:type="dxa" w:w="80"/>
              <w:left w:type="dxa" w:w="100"/>
              <w:bottom w:type="dxa" w:w="80"/>
              <w:right w:type="dxa" w:w="100"/>
            </w:tcMar>
          </w:tcPr>
          <w:p>
            <w:r>
              <w:rPr>
                <w:b w:val="false"/>
                <w:bCs w:val="false"/>
                <w:color w:val="000000"/>
                <w:sz w:val="20"/>
                <w:szCs w:val="20"/>
              </w:rPr>
              <w:t xml:space="preserve">Job</w:t>
            </w:r>
          </w:p>
        </w:tc>
        <w:tc>
          <w:tcPr>
            <w:tcW w:type="dxa" w:w="2300"/>
            <w:tcMar>
              <w:top w:type="dxa" w:w="80"/>
              <w:left w:type="dxa" w:w="100"/>
              <w:bottom w:type="dxa" w:w="80"/>
              <w:right w:type="dxa" w:w="100"/>
            </w:tcMar>
          </w:tcPr>
          <w:p>
            <w:r>
              <w:rPr>
                <w:b w:val="false"/>
                <w:bCs w:val="false"/>
                <w:color w:val="000000"/>
                <w:sz w:val="20"/>
                <w:szCs w:val="20"/>
              </w:rPr>
              <w:t xml:space="preserve">IMEI / serial number</w:t>
            </w:r>
          </w:p>
        </w:tc>
        <w:tc>
          <w:tcPr>
            <w:tcW w:type="dxa" w:w="2626"/>
            <w:tcMar>
              <w:top w:type="dxa" w:w="80"/>
              <w:left w:type="dxa" w:w="100"/>
              <w:bottom w:type="dxa" w:w="80"/>
              <w:right w:type="dxa" w:w="100"/>
            </w:tcMar>
          </w:tcPr>
          <w:p>
            <w:r>
              <w:rPr>
                <w:b w:val="false"/>
                <w:bCs w:val="false"/>
                <w:color w:val="000000"/>
                <w:sz w:val="20"/>
                <w:szCs w:val="20"/>
              </w:rPr>
              <w:t xml:space="preserve">Received → In Progress → Ready → Delivered</w:t>
            </w:r>
          </w:p>
        </w:tc>
      </w:tr>
      <w:tr>
        <w:tc>
          <w:tcPr>
            <w:tcW w:type="dxa" w:w="1800"/>
            <w:tcMar>
              <w:top w:type="dxa" w:w="80"/>
              <w:left w:type="dxa" w:w="100"/>
              <w:bottom w:type="dxa" w:w="80"/>
              <w:right w:type="dxa" w:w="100"/>
            </w:tcMar>
          </w:tcPr>
          <w:p>
            <w:r>
              <w:rPr>
                <w:b w:val="false"/>
                <w:bCs w:val="false"/>
                <w:color w:val="000000"/>
                <w:sz w:val="20"/>
                <w:szCs w:val="20"/>
              </w:rPr>
              <w:t xml:space="preserve">Salon / spa chain</w:t>
            </w:r>
          </w:p>
        </w:tc>
        <w:tc>
          <w:tcPr>
            <w:tcW w:type="dxa" w:w="2300"/>
            <w:tcMar>
              <w:top w:type="dxa" w:w="80"/>
              <w:left w:type="dxa" w:w="100"/>
              <w:bottom w:type="dxa" w:w="80"/>
              <w:right w:type="dxa" w:w="100"/>
            </w:tcMar>
          </w:tcPr>
          <w:p>
            <w:r>
              <w:rPr>
                <w:b w:val="false"/>
                <w:bCs w:val="false"/>
                <w:color w:val="000000"/>
                <w:sz w:val="20"/>
                <w:szCs w:val="20"/>
              </w:rPr>
              <w:t xml:space="preserve">Appointment</w:t>
            </w:r>
          </w:p>
        </w:tc>
        <w:tc>
          <w:tcPr>
            <w:tcW w:type="dxa" w:w="2300"/>
            <w:tcMar>
              <w:top w:type="dxa" w:w="80"/>
              <w:left w:type="dxa" w:w="100"/>
              <w:bottom w:type="dxa" w:w="80"/>
              <w:right w:type="dxa" w:w="100"/>
            </w:tcMar>
          </w:tcPr>
          <w:p>
            <w:r>
              <w:rPr>
                <w:b w:val="false"/>
                <w:bCs w:val="false"/>
                <w:color w:val="000000"/>
                <w:sz w:val="20"/>
                <w:szCs w:val="20"/>
              </w:rPr>
              <w:t xml:space="preserve">Membership ID / phone</w:t>
            </w:r>
          </w:p>
        </w:tc>
        <w:tc>
          <w:tcPr>
            <w:tcW w:type="dxa" w:w="2626"/>
            <w:tcMar>
              <w:top w:type="dxa" w:w="80"/>
              <w:left w:type="dxa" w:w="100"/>
              <w:bottom w:type="dxa" w:w="80"/>
              <w:right w:type="dxa" w:w="100"/>
            </w:tcMar>
          </w:tcPr>
          <w:p>
            <w:r>
              <w:rPr>
                <w:b w:val="false"/>
                <w:bCs w:val="false"/>
                <w:color w:val="000000"/>
                <w:sz w:val="20"/>
                <w:szCs w:val="20"/>
              </w:rPr>
              <w:t xml:space="preserve">Booked → In Service → Completed</w:t>
            </w:r>
          </w:p>
        </w:tc>
      </w:tr>
      <w:tr>
        <w:tc>
          <w:tcPr>
            <w:tcW w:type="dxa" w:w="1800"/>
            <w:tcMar>
              <w:top w:type="dxa" w:w="80"/>
              <w:left w:type="dxa" w:w="100"/>
              <w:bottom w:type="dxa" w:w="80"/>
              <w:right w:type="dxa" w:w="100"/>
            </w:tcMar>
          </w:tcPr>
          <w:p>
            <w:r>
              <w:rPr>
                <w:b w:val="false"/>
                <w:bCs w:val="false"/>
                <w:color w:val="000000"/>
                <w:sz w:val="20"/>
                <w:szCs w:val="20"/>
              </w:rPr>
              <w:t xml:space="preserve">Dry cleaning / laundry</w:t>
            </w:r>
          </w:p>
        </w:tc>
        <w:tc>
          <w:tcPr>
            <w:tcW w:type="dxa" w:w="2300"/>
            <w:tcMar>
              <w:top w:type="dxa" w:w="80"/>
              <w:left w:type="dxa" w:w="100"/>
              <w:bottom w:type="dxa" w:w="80"/>
              <w:right w:type="dxa" w:w="100"/>
            </w:tcMar>
          </w:tcPr>
          <w:p>
            <w:r>
              <w:rPr>
                <w:b w:val="false"/>
                <w:bCs w:val="false"/>
                <w:color w:val="000000"/>
                <w:sz w:val="20"/>
                <w:szCs w:val="20"/>
              </w:rPr>
              <w:t xml:space="preserve">Order</w:t>
            </w:r>
          </w:p>
        </w:tc>
        <w:tc>
          <w:tcPr>
            <w:tcW w:type="dxa" w:w="2300"/>
            <w:tcMar>
              <w:top w:type="dxa" w:w="80"/>
              <w:left w:type="dxa" w:w="100"/>
              <w:bottom w:type="dxa" w:w="80"/>
              <w:right w:type="dxa" w:w="100"/>
            </w:tcMar>
          </w:tcPr>
          <w:p>
            <w:r>
              <w:rPr>
                <w:b w:val="false"/>
                <w:bCs w:val="false"/>
                <w:color w:val="000000"/>
                <w:sz w:val="20"/>
                <w:szCs w:val="20"/>
              </w:rPr>
              <w:t xml:space="preserve">Order tag number</w:t>
            </w:r>
          </w:p>
        </w:tc>
        <w:tc>
          <w:tcPr>
            <w:tcW w:type="dxa" w:w="2626"/>
            <w:tcMar>
              <w:top w:type="dxa" w:w="80"/>
              <w:left w:type="dxa" w:w="100"/>
              <w:bottom w:type="dxa" w:w="80"/>
              <w:right w:type="dxa" w:w="100"/>
            </w:tcMar>
          </w:tcPr>
          <w:p>
            <w:r>
              <w:rPr>
                <w:b w:val="false"/>
                <w:bCs w:val="false"/>
                <w:color w:val="000000"/>
                <w:sz w:val="20"/>
                <w:szCs w:val="20"/>
              </w:rPr>
              <w:t xml:space="preserve">Dropped Off → In Process → Ready → Collected</w:t>
            </w:r>
          </w:p>
        </w:tc>
      </w:tr>
      <w:tr>
        <w:tc>
          <w:tcPr>
            <w:tcW w:type="dxa" w:w="1800"/>
            <w:tcMar>
              <w:top w:type="dxa" w:w="80"/>
              <w:left w:type="dxa" w:w="100"/>
              <w:bottom w:type="dxa" w:w="80"/>
              <w:right w:type="dxa" w:w="100"/>
            </w:tcMar>
          </w:tcPr>
          <w:p>
            <w:r>
              <w:rPr>
                <w:b w:val="false"/>
                <w:bCs w:val="false"/>
                <w:color w:val="000000"/>
                <w:sz w:val="20"/>
                <w:szCs w:val="20"/>
              </w:rPr>
              <w:t xml:space="preserve">Auto workshop</w:t>
            </w:r>
          </w:p>
        </w:tc>
        <w:tc>
          <w:tcPr>
            <w:tcW w:type="dxa" w:w="2300"/>
            <w:tcMar>
              <w:top w:type="dxa" w:w="80"/>
              <w:left w:type="dxa" w:w="100"/>
              <w:bottom w:type="dxa" w:w="80"/>
              <w:right w:type="dxa" w:w="100"/>
            </w:tcMar>
          </w:tcPr>
          <w:p>
            <w:r>
              <w:rPr>
                <w:b w:val="false"/>
                <w:bCs w:val="false"/>
                <w:color w:val="000000"/>
                <w:sz w:val="20"/>
                <w:szCs w:val="20"/>
              </w:rPr>
              <w:t xml:space="preserve">Job Card</w:t>
            </w:r>
          </w:p>
        </w:tc>
        <w:tc>
          <w:tcPr>
            <w:tcW w:type="dxa" w:w="2300"/>
            <w:tcMar>
              <w:top w:type="dxa" w:w="80"/>
              <w:left w:type="dxa" w:w="100"/>
              <w:bottom w:type="dxa" w:w="80"/>
              <w:right w:type="dxa" w:w="100"/>
            </w:tcMar>
          </w:tcPr>
          <w:p>
            <w:r>
              <w:rPr>
                <w:b w:val="false"/>
                <w:bCs w:val="false"/>
                <w:color w:val="000000"/>
                <w:sz w:val="20"/>
                <w:szCs w:val="20"/>
              </w:rPr>
              <w:t xml:space="preserve">VIN / registration no.</w:t>
            </w:r>
          </w:p>
        </w:tc>
        <w:tc>
          <w:tcPr>
            <w:tcW w:type="dxa" w:w="2626"/>
            <w:tcMar>
              <w:top w:type="dxa" w:w="80"/>
              <w:left w:type="dxa" w:w="100"/>
              <w:bottom w:type="dxa" w:w="80"/>
              <w:right w:type="dxa" w:w="100"/>
            </w:tcMar>
          </w:tcPr>
          <w:p>
            <w:r>
              <w:rPr>
                <w:b w:val="false"/>
                <w:bCs w:val="false"/>
                <w:color w:val="000000"/>
                <w:sz w:val="20"/>
                <w:szCs w:val="20"/>
              </w:rPr>
              <w:t xml:space="preserve">Checked In → Diagnosis → In Repair → Delivered</w:t>
            </w:r>
          </w:p>
        </w:tc>
      </w:tr>
      <w:tr>
        <w:tc>
          <w:tcPr>
            <w:tcW w:type="dxa" w:w="1800"/>
            <w:tcMar>
              <w:top w:type="dxa" w:w="80"/>
              <w:left w:type="dxa" w:w="100"/>
              <w:bottom w:type="dxa" w:w="80"/>
              <w:right w:type="dxa" w:w="100"/>
            </w:tcMar>
          </w:tcPr>
          <w:p>
            <w:r>
              <w:rPr>
                <w:b w:val="false"/>
                <w:bCs w:val="false"/>
                <w:color w:val="000000"/>
                <w:sz w:val="20"/>
                <w:szCs w:val="20"/>
              </w:rPr>
              <w:t xml:space="preserve">Clinic / diagnostic lab</w:t>
            </w:r>
          </w:p>
        </w:tc>
        <w:tc>
          <w:tcPr>
            <w:tcW w:type="dxa" w:w="2300"/>
            <w:tcMar>
              <w:top w:type="dxa" w:w="80"/>
              <w:left w:type="dxa" w:w="100"/>
              <w:bottom w:type="dxa" w:w="80"/>
              <w:right w:type="dxa" w:w="100"/>
            </w:tcMar>
          </w:tcPr>
          <w:p>
            <w:r>
              <w:rPr>
                <w:b w:val="false"/>
                <w:bCs w:val="false"/>
                <w:color w:val="000000"/>
                <w:sz w:val="20"/>
                <w:szCs w:val="20"/>
              </w:rPr>
              <w:t xml:space="preserve">Case</w:t>
            </w:r>
          </w:p>
        </w:tc>
        <w:tc>
          <w:tcPr>
            <w:tcW w:type="dxa" w:w="2300"/>
            <w:tcMar>
              <w:top w:type="dxa" w:w="80"/>
              <w:left w:type="dxa" w:w="100"/>
              <w:bottom w:type="dxa" w:w="80"/>
              <w:right w:type="dxa" w:w="100"/>
            </w:tcMar>
          </w:tcPr>
          <w:p>
            <w:r>
              <w:rPr>
                <w:b w:val="false"/>
                <w:bCs w:val="false"/>
                <w:color w:val="000000"/>
                <w:sz w:val="20"/>
                <w:szCs w:val="20"/>
              </w:rPr>
              <w:t xml:space="preserve">Patient ID</w:t>
            </w:r>
          </w:p>
        </w:tc>
        <w:tc>
          <w:tcPr>
            <w:tcW w:type="dxa" w:w="2626"/>
            <w:tcMar>
              <w:top w:type="dxa" w:w="80"/>
              <w:left w:type="dxa" w:w="100"/>
              <w:bottom w:type="dxa" w:w="80"/>
              <w:right w:type="dxa" w:w="100"/>
            </w:tcMar>
          </w:tcPr>
          <w:p>
            <w:r>
              <w:rPr>
                <w:b w:val="false"/>
                <w:bCs w:val="false"/>
                <w:color w:val="000000"/>
                <w:sz w:val="20"/>
                <w:szCs w:val="20"/>
              </w:rPr>
              <w:t xml:space="preserve">Registered → Sample Collected → In Lab → Report Ready</w:t>
            </w:r>
          </w:p>
        </w:tc>
      </w:tr>
      <w:tr>
        <w:tc>
          <w:tcPr>
            <w:tcW w:type="dxa" w:w="1800"/>
            <w:tcMar>
              <w:top w:type="dxa" w:w="80"/>
              <w:left w:type="dxa" w:w="100"/>
              <w:bottom w:type="dxa" w:w="80"/>
              <w:right w:type="dxa" w:w="100"/>
            </w:tcMar>
          </w:tcPr>
          <w:p>
            <w:r>
              <w:rPr>
                <w:b w:val="false"/>
                <w:bCs w:val="false"/>
                <w:color w:val="000000"/>
                <w:sz w:val="20"/>
                <w:szCs w:val="20"/>
              </w:rPr>
              <w:t xml:space="preserve">Courier / logistics hub</w:t>
            </w:r>
          </w:p>
        </w:tc>
        <w:tc>
          <w:tcPr>
            <w:tcW w:type="dxa" w:w="2300"/>
            <w:tcMar>
              <w:top w:type="dxa" w:w="80"/>
              <w:left w:type="dxa" w:w="100"/>
              <w:bottom w:type="dxa" w:w="80"/>
              <w:right w:type="dxa" w:w="100"/>
            </w:tcMar>
          </w:tcPr>
          <w:p>
            <w:r>
              <w:rPr>
                <w:b w:val="false"/>
                <w:bCs w:val="false"/>
                <w:color w:val="000000"/>
                <w:sz w:val="20"/>
                <w:szCs w:val="20"/>
              </w:rPr>
              <w:t xml:space="preserve">Shipment</w:t>
            </w:r>
          </w:p>
        </w:tc>
        <w:tc>
          <w:tcPr>
            <w:tcW w:type="dxa" w:w="2300"/>
            <w:tcMar>
              <w:top w:type="dxa" w:w="80"/>
              <w:left w:type="dxa" w:w="100"/>
              <w:bottom w:type="dxa" w:w="80"/>
              <w:right w:type="dxa" w:w="100"/>
            </w:tcMar>
          </w:tcPr>
          <w:p>
            <w:r>
              <w:rPr>
                <w:b w:val="false"/>
                <w:bCs w:val="false"/>
                <w:color w:val="000000"/>
                <w:sz w:val="20"/>
                <w:szCs w:val="20"/>
              </w:rPr>
              <w:t xml:space="preserve">Tracking / AWB number</w:t>
            </w:r>
          </w:p>
        </w:tc>
        <w:tc>
          <w:tcPr>
            <w:tcW w:type="dxa" w:w="2626"/>
            <w:tcMar>
              <w:top w:type="dxa" w:w="80"/>
              <w:left w:type="dxa" w:w="100"/>
              <w:bottom w:type="dxa" w:w="80"/>
              <w:right w:type="dxa" w:w="100"/>
            </w:tcMar>
          </w:tcPr>
          <w:p>
            <w:r>
              <w:rPr>
                <w:b w:val="false"/>
                <w:bCs w:val="false"/>
                <w:color w:val="000000"/>
                <w:sz w:val="20"/>
                <w:szCs w:val="20"/>
              </w:rPr>
              <w:t xml:space="preserve">Received → In Transit → At Hub → Delivered</w:t>
            </w:r>
          </w:p>
        </w:tc>
      </w:tr>
      <w:tr>
        <w:tc>
          <w:tcPr>
            <w:tcW w:type="dxa" w:w="1800"/>
            <w:tcMar>
              <w:top w:type="dxa" w:w="80"/>
              <w:left w:type="dxa" w:w="100"/>
              <w:bottom w:type="dxa" w:w="80"/>
              <w:right w:type="dxa" w:w="100"/>
            </w:tcMar>
          </w:tcPr>
          <w:p>
            <w:r>
              <w:rPr>
                <w:b w:val="false"/>
                <w:bCs w:val="false"/>
                <w:color w:val="000000"/>
                <w:sz w:val="20"/>
                <w:szCs w:val="20"/>
              </w:rPr>
              <w:t xml:space="preserve">Print / signage shop</w:t>
            </w:r>
          </w:p>
        </w:tc>
        <w:tc>
          <w:tcPr>
            <w:tcW w:type="dxa" w:w="2300"/>
            <w:tcMar>
              <w:top w:type="dxa" w:w="80"/>
              <w:left w:type="dxa" w:w="100"/>
              <w:bottom w:type="dxa" w:w="80"/>
              <w:right w:type="dxa" w:w="100"/>
            </w:tcMar>
          </w:tcPr>
          <w:p>
            <w:r>
              <w:rPr>
                <w:b w:val="false"/>
                <w:bCs w:val="false"/>
                <w:color w:val="000000"/>
                <w:sz w:val="20"/>
                <w:szCs w:val="20"/>
              </w:rPr>
              <w:t xml:space="preserve">Order</w:t>
            </w:r>
          </w:p>
        </w:tc>
        <w:tc>
          <w:tcPr>
            <w:tcW w:type="dxa" w:w="2300"/>
            <w:tcMar>
              <w:top w:type="dxa" w:w="80"/>
              <w:left w:type="dxa" w:w="100"/>
              <w:bottom w:type="dxa" w:w="80"/>
              <w:right w:type="dxa" w:w="100"/>
            </w:tcMar>
          </w:tcPr>
          <w:p>
            <w:r>
              <w:rPr>
                <w:b w:val="false"/>
                <w:bCs w:val="false"/>
                <w:color w:val="000000"/>
                <w:sz w:val="20"/>
                <w:szCs w:val="20"/>
              </w:rPr>
              <w:t xml:space="preserve">Order number</w:t>
            </w:r>
          </w:p>
        </w:tc>
        <w:tc>
          <w:tcPr>
            <w:tcW w:type="dxa" w:w="2626"/>
            <w:tcMar>
              <w:top w:type="dxa" w:w="80"/>
              <w:left w:type="dxa" w:w="100"/>
              <w:bottom w:type="dxa" w:w="80"/>
              <w:right w:type="dxa" w:w="100"/>
            </w:tcMar>
          </w:tcPr>
          <w:p>
            <w:r>
              <w:rPr>
                <w:b w:val="false"/>
                <w:bCs w:val="false"/>
                <w:color w:val="000000"/>
                <w:sz w:val="20"/>
                <w:szCs w:val="20"/>
              </w:rPr>
              <w:t xml:space="preserve">Received → Design → Production → Collected</w:t>
            </w:r>
          </w:p>
        </w:tc>
      </w:tr>
    </w:tbl>
    <w:p>
      <w:pPr>
        <w:pStyle w:val="Heading1"/>
        <w:spacing w:after="160" w:before="360"/>
      </w:pPr>
      <w:r>
        <w:rPr>
          <w:b/>
          <w:bCs/>
          <w:color w:val="1F3864"/>
          <w:sz w:val="28"/>
          <w:szCs w:val="28"/>
        </w:rPr>
        <w:t xml:space="preserve">16. Next Steps</w:t>
      </w:r>
    </w:p>
    <w:p>
      <w:pPr>
        <w:pStyle w:val="ListParagraph"/>
        <w:numPr>
          <w:ilvl w:val="0"/>
          <w:numId w:val="2"/>
        </w:numPr>
        <w:spacing w:after="100"/>
      </w:pPr>
      <w:r>
        <w:rPr>
          <w:sz w:val="21"/>
          <w:szCs w:val="21"/>
        </w:rPr>
        <w:t xml:space="preserve">Finish Mobile Station as the first production deployment — proof the core works end to end before pitching it as a product.</w:t>
      </w:r>
    </w:p>
    <w:p>
      <w:pPr>
        <w:pStyle w:val="ListParagraph"/>
        <w:numPr>
          <w:ilvl w:val="0"/>
          <w:numId w:val="2"/>
        </w:numPr>
        <w:spacing w:after="100"/>
      </w:pPr>
      <w:r>
        <w:rPr>
          <w:sz w:val="21"/>
          <w:szCs w:val="21"/>
        </w:rPr>
        <w:t xml:space="preserve">Explicitly extract the configuration layer (deployment_config, workflow_stages) so Mobile Station's branding and fields are config-driven, not hardcoded — this is what makes it a template rather than a one-off.</w:t>
      </w:r>
    </w:p>
    <w:p>
      <w:pPr>
        <w:pStyle w:val="ListParagraph"/>
        <w:numPr>
          <w:ilvl w:val="0"/>
          <w:numId w:val="2"/>
        </w:numPr>
        <w:spacing w:after="100"/>
      </w:pPr>
      <w:r>
        <w:rPr>
          <w:sz w:val="21"/>
          <w:szCs w:val="21"/>
        </w:rPr>
        <w:t xml:space="preserve">Write the new-client discovery checklist (mirrors Section 10's configured list) so onboarding is a repeatable questionnaire, not a fresh conversation each time.</w:t>
      </w:r>
    </w:p>
    <w:p>
      <w:pPr>
        <w:pStyle w:val="ListParagraph"/>
        <w:numPr>
          <w:ilvl w:val="0"/>
          <w:numId w:val="2"/>
        </w:numPr>
        <w:spacing w:after="100"/>
      </w:pPr>
      <w:r>
        <w:rPr>
          <w:sz w:val="21"/>
          <w:szCs w:val="21"/>
        </w:rPr>
        <w:t xml:space="preserve">Decide the pricing structure (Section 14) before the first outside sales conversation.</w:t>
      </w:r>
    </w:p>
    <w:p>
      <w:pPr>
        <w:pStyle w:val="ListParagraph"/>
        <w:numPr>
          <w:ilvl w:val="0"/>
          <w:numId w:val="2"/>
        </w:numPr>
        <w:spacing w:after="100"/>
      </w:pPr>
      <w:r>
        <w:rPr>
          <w:sz w:val="21"/>
          <w:szCs w:val="21"/>
        </w:rPr>
        <w:t xml:space="preserve">Identify the first 1–2 target verticals to pitch outside mobile repair (Section 15), based on existing relationships or network access.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2026-08-13T20:01:24.034Z</dcterms:created>
  <dcterms:modified xsi:type="dcterms:W3CDTF">2026-08-13T20:01:24.055Z</dcterms:modified>
</cp:coreProperties>
</file>

<file path=docProps/custom.xml><?xml version="1.0" encoding="utf-8"?>
<Properties xmlns="http://schemas.openxmlformats.org/officeDocument/2006/custom-properties" xmlns:vt="http://schemas.openxmlformats.org/officeDocument/2006/docPropsVTypes"/>
</file>