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  <w:rtl w:val="0"/>
        </w:rPr>
        <w:t xml:space="preserve">Activity 2.5: Multi-View Drawing to Isometric Sketch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390525</wp:posOffset>
            </wp:positionH>
            <wp:positionV relativeFrom="paragraph">
              <wp:posOffset>638175</wp:posOffset>
            </wp:positionV>
            <wp:extent cx="3876675" cy="2736918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7369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3638550</wp:posOffset>
            </wp:positionV>
            <wp:extent cx="4824413" cy="3018152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0181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jc w:val="center"/>
        <w:rPr>
          <w:sz w:val="36"/>
          <w:szCs w:val="36"/>
          <w:u w:val="single"/>
        </w:rPr>
      </w:pPr>
      <w:r w:rsidDel="00000000" w:rsidR="00000000" w:rsidRPr="00000000">
        <w:rPr>
          <w:sz w:val="36"/>
          <w:szCs w:val="36"/>
          <w:u w:val="single"/>
        </w:rPr>
        <w:drawing>
          <wp:inline distB="114300" distT="114300" distL="114300" distR="114300">
            <wp:extent cx="5562390" cy="646271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390" cy="646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