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AF3F0" w:val="clear"/>
        <w:spacing w:after="0"/>
      </w:pPr>
    </w:p>
    <w:p>
      <w:pPr>
        <w:spacing w:after="60" w:before="0"/>
      </w:pPr>
      <w:r>
        <w:rPr>
          <w:b/>
          <w:bCs/>
          <w:color w:val="0F3D33"/>
          <w:sz w:val="40"/>
          <w:szCs w:val="40"/>
        </w:rPr>
        <w:t xml:space="preserve">Customer Retention &amp; Reorder Behavior</w:t>
      </w:r>
    </w:p>
    <w:p>
      <w:pPr>
        <w:spacing w:after="60"/>
      </w:pPr>
      <w:r>
        <w:rPr>
          <w:b/>
          <w:bCs/>
          <w:color w:val="1F6F5C"/>
          <w:sz w:val="26"/>
          <w:szCs w:val="26"/>
        </w:rPr>
        <w:t xml:space="preserve">Insights &amp; Recommendations</w:t>
      </w:r>
    </w:p>
    <w:p>
      <w:pPr>
        <w:spacing w:after="200"/>
      </w:pPr>
      <w:r>
        <w:rPr>
          <w:i/>
          <w:iCs/>
          <w:color w:val="595959"/>
          <w:sz w:val="18"/>
          <w:szCs w:val="18"/>
        </w:rPr>
        <w:t xml:space="preserve">Prepared for: VP of Growth  |  Data: 3.2M+ historical orders, 206,209 customers (Instacart, 2017 snapshot)</w:t>
      </w:r>
    </w:p>
    <w:p>
      <w:pPr>
        <w:pStyle w:val="Heading1"/>
        <w:spacing w:after="100" w:before="240"/>
      </w:pPr>
      <w:r>
        <w:rPr>
          <w:b/>
          <w:bCs/>
          <w:color w:val="0F3D33"/>
        </w:rPr>
        <w:t xml:space="preserve">Executive Summary</w:t>
      </w:r>
    </w:p>
    <w:p>
      <w:pPr>
        <w:spacing w:after="100"/>
      </w:pPr>
      <w:r>
        <w:rPr>
          <w:color w:val="222222"/>
          <w:sz w:val="20"/>
          <w:szCs w:val="20"/>
        </w:rPr>
        <w:t xml:space="preserve">Retention among Instacart's repeat-order customer base holds near 95–97% between consecutive orders for most of a customer's lifecycle — but the data reveals one sharp, specific drop-off point, distinct loyalty patterns by product category, and four behaviorally distinct customer segments. This analysis translates those patterns into five targeted, low-cost interventions.</w:t>
      </w:r>
    </w:p>
    <w:p>
      <w:pPr>
        <w:pStyle w:val="Heading1"/>
        <w:spacing w:after="100" w:before="240"/>
      </w:pPr>
      <w:r>
        <w:rPr>
          <w:b/>
          <w:bCs/>
          <w:color w:val="0F3D33"/>
        </w:rPr>
        <w:t xml:space="preserve">Key Findings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F6F5C"/>
                <w:sz w:val="16"/>
                <w:szCs w:val="16"/>
              </w:rPr>
              <w:t xml:space="preserve">FINDING 1</w:t>
            </w:r>
          </w:p>
          <w:p>
            <w:pPr>
              <w:spacing w:after="40"/>
            </w:pPr>
            <w:r>
              <w:rPr>
                <w:b/>
                <w:bCs/>
                <w:color w:val="0F3D33"/>
                <w:sz w:val="20"/>
                <w:szCs w:val="20"/>
              </w:rPr>
              <w:t xml:space="preserve">Retention Cliff at Order 3→4</w:t>
            </w:r>
          </w:p>
          <w:p>
            <w:pPr>
              <w:spacing w:after="40"/>
            </w:pPr>
            <w:r>
              <w:rPr>
                <w:b/>
                <w:bCs/>
                <w:color w:val="1F6F5C"/>
                <w:sz w:val="28"/>
                <w:szCs w:val="28"/>
              </w:rPr>
              <w:t xml:space="preserve">95.8% → 88.6%</w:t>
            </w:r>
          </w:p>
          <w:p>
            <w:r>
              <w:rPr>
                <w:color w:val="595959"/>
                <w:sz w:val="17"/>
                <w:szCs w:val="17"/>
              </w:rPr>
              <w:t xml:space="preserve">The steepest single drop in the entire retention curve. Every other step-to-step transition stays above 95%.</w:t>
            </w:r>
          </w:p>
        </w:tc>
        <w:tc>
          <w:tcPr>
            <w:tcW w:type="pct" w:w="5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F6F5C"/>
                <w:sz w:val="16"/>
                <w:szCs w:val="16"/>
              </w:rPr>
              <w:t xml:space="preserve">FINDING 2</w:t>
            </w:r>
          </w:p>
          <w:p>
            <w:pPr>
              <w:spacing w:after="40"/>
            </w:pPr>
            <w:r>
              <w:rPr>
                <w:b/>
                <w:bCs/>
                <w:color w:val="0F3D33"/>
                <w:sz w:val="20"/>
                <w:szCs w:val="20"/>
              </w:rPr>
              <w:t xml:space="preserve">Category Loyalty Gap</w:t>
            </w:r>
          </w:p>
          <w:p>
            <w:pPr>
              <w:spacing w:after="40"/>
            </w:pPr>
            <w:r>
              <w:rPr>
                <w:b/>
                <w:bCs/>
                <w:color w:val="1F6F5C"/>
                <w:sz w:val="28"/>
                <w:szCs w:val="28"/>
              </w:rPr>
              <w:t xml:space="preserve">67% vs 58%</w:t>
            </w:r>
          </w:p>
          <w:p>
            <w:r>
              <w:rPr>
                <w:color w:val="595959"/>
                <w:sz w:val="17"/>
                <w:szCs w:val="17"/>
              </w:rPr>
              <w:t xml:space="preserve">Dairy &amp; eggs leads reorder rate (67%); lowest departments sit ~9pts behind — a clear promotion target.</w:t>
            </w:r>
          </w:p>
        </w:tc>
      </w:tr>
      <w:tr>
        <w:tc>
          <w:tcPr>
            <w:tcW w:type="pct" w:w="5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F6F5C"/>
                <w:sz w:val="16"/>
                <w:szCs w:val="16"/>
              </w:rPr>
              <w:t xml:space="preserve">FINDING 3</w:t>
            </w:r>
          </w:p>
          <w:p>
            <w:pPr>
              <w:spacing w:after="40"/>
            </w:pPr>
            <w:r>
              <w:rPr>
                <w:b/>
                <w:bCs/>
                <w:color w:val="0F3D33"/>
                <w:sz w:val="20"/>
                <w:szCs w:val="20"/>
              </w:rPr>
              <w:t xml:space="preserve">Four Distinct Segments</w:t>
            </w:r>
          </w:p>
          <w:p>
            <w:pPr>
              <w:spacing w:after="40"/>
            </w:pPr>
            <w:r>
              <w:rPr>
                <w:b/>
                <w:bCs/>
                <w:color w:val="1F6F5C"/>
                <w:sz w:val="28"/>
                <w:szCs w:val="28"/>
              </w:rPr>
              <w:t xml:space="preserve">37.6% Power Loyalists</w:t>
            </w:r>
          </w:p>
          <w:p>
            <w:r>
              <w:rPr>
                <w:color w:val="595959"/>
                <w:sz w:val="17"/>
                <w:szCs w:val="17"/>
              </w:rPr>
              <w:t xml:space="preserve">Customer base splits into Power Loyalists, Steady Regulars, Bulk Buyers, and Dormant/Occasional — each needs different messaging.</w:t>
            </w:r>
          </w:p>
        </w:tc>
        <w:tc>
          <w:tcPr>
            <w:tcW w:type="pct" w:w="5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F6F5C"/>
                <w:sz w:val="16"/>
                <w:szCs w:val="16"/>
              </w:rPr>
              <w:t xml:space="preserve">FINDING 4</w:t>
            </w:r>
          </w:p>
          <w:p>
            <w:pPr>
              <w:spacing w:after="40"/>
            </w:pPr>
            <w:r>
              <w:rPr>
                <w:b/>
                <w:bCs/>
                <w:color w:val="0F3D33"/>
                <w:sz w:val="20"/>
                <w:szCs w:val="20"/>
              </w:rPr>
              <w:t xml:space="preserve">Predictable Ordering Rhythm</w:t>
            </w:r>
          </w:p>
          <w:p>
            <w:pPr>
              <w:spacing w:after="40"/>
            </w:pPr>
            <w:r>
              <w:rPr>
                <w:b/>
                <w:bCs/>
                <w:color w:val="1F6F5C"/>
                <w:sz w:val="28"/>
                <w:szCs w:val="28"/>
              </w:rPr>
              <w:t xml:space="preserve">~7 day median gap</w:t>
            </w:r>
          </w:p>
          <w:p>
            <w:r>
              <w:rPr>
                <w:color w:val="595959"/>
                <w:sz w:val="17"/>
                <w:szCs w:val="17"/>
              </w:rPr>
              <w:t xml:space="preserve">Orders cluster on consistent days/times, enabling proactive reminder timing rather than generic blasts.</w:t>
            </w:r>
          </w:p>
        </w:tc>
      </w:tr>
    </w:tbl>
    <w:p>
      <w:pPr>
        <w:spacing w:after="100"/>
      </w:pPr>
      <w:r>
        <w:rPr>
          <w:i/>
          <w:iCs/>
          <w:color w:val="222222"/>
          <w:sz w:val="18"/>
          <w:szCs w:val="18"/>
        </w:rPr>
        <w:t xml:space="preserve">Finding 5 — Cross-sell signal: Organic Garlic ↔ Organic Yellow Onion and Limes ↔ Large Lemon show 3.35x and 2.41x lift respectively, well above the 1.0x baseline for coincidence.</w:t>
      </w:r>
    </w:p>
    <w:p>
      <w:pPr>
        <w:pStyle w:val="Heading1"/>
        <w:spacing w:after="100" w:before="240"/>
      </w:pPr>
      <w:r>
        <w:rPr>
          <w:b/>
          <w:bCs/>
          <w:color w:val="0F3D33"/>
        </w:rPr>
        <w:t xml:space="preserve">Recommendations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6%"/>
            <w:shd w:fill="1F6F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pct" w:w="22%"/>
            <w:shd w:fill="1F6F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Based On</w:t>
            </w:r>
          </w:p>
        </w:tc>
        <w:tc>
          <w:tcPr>
            <w:tcW w:type="pct" w:w="42%"/>
            <w:shd w:fill="1F6F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Recommendation</w:t>
            </w:r>
          </w:p>
        </w:tc>
        <w:tc>
          <w:tcPr>
            <w:tcW w:type="pct" w:w="30%"/>
            <w:shd w:fill="1F6F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Impact</w:t>
            </w:r>
          </w:p>
        </w:tc>
      </w:tr>
      <w:tr>
        <w:tc>
          <w:tcPr>
            <w:tcW w:type="pct" w:w="6%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6F5C"/>
                <w:sz w:val="18"/>
                <w:szCs w:val="18"/>
              </w:rPr>
              <w:t xml:space="preserve">1</w:t>
            </w:r>
          </w:p>
        </w:tc>
        <w:tc>
          <w:tcPr>
            <w:tcW w:type="pct" w:w="22%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Finding 1 (retention cliff)</w:t>
            </w:r>
          </w:p>
        </w:tc>
        <w:tc>
          <w:tcPr>
            <w:tcW w:type="pct" w:w="42%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Trigger a targeted retention touchpoint (reminder push/email or small incentive) timed to land right before a customer's 4th order window.</w:t>
            </w:r>
          </w:p>
        </w:tc>
        <w:tc>
          <w:tcPr>
            <w:tcW w:type="pct" w:w="30%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Directly targets the single largest observed drop-off point rather than broad, untargeted retention spend.</w:t>
            </w:r>
          </w:p>
        </w:tc>
      </w:tr>
      <w:tr>
        <w:tc>
          <w:tcPr>
            <w:tcW w:type="pct" w:w="6%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6F5C"/>
                <w:sz w:val="18"/>
                <w:szCs w:val="18"/>
              </w:rPr>
              <w:t xml:space="preserve">2</w:t>
            </w:r>
          </w:p>
        </w:tc>
        <w:tc>
          <w:tcPr>
            <w:tcW w:type="pct" w:w="22%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Finding 2 (category loyalty)</w:t>
            </w:r>
          </w:p>
        </w:tc>
        <w:tc>
          <w:tcPr>
            <w:tcW w:type="pct" w:w="42%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Feature high-reorder departments (dairy &amp; eggs, beverages, produce) in subscribe-and-save / auto-reorder prompts.</w:t>
            </w:r>
          </w:p>
        </w:tc>
        <w:tc>
          <w:tcPr>
            <w:tcW w:type="pct" w:w="30%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Leverages categories customers already come back to, improving auto-reorder adoption rates.</w:t>
            </w:r>
          </w:p>
        </w:tc>
      </w:tr>
      <w:tr>
        <w:tc>
          <w:tcPr>
            <w:tcW w:type="pct" w:w="6%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6F5C"/>
                <w:sz w:val="18"/>
                <w:szCs w:val="18"/>
              </w:rPr>
              <w:t xml:space="preserve">3</w:t>
            </w:r>
          </w:p>
        </w:tc>
        <w:tc>
          <w:tcPr>
            <w:tcW w:type="pct" w:w="22%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Finding 3 (segments)</w:t>
            </w:r>
          </w:p>
        </w:tc>
        <w:tc>
          <w:tcPr>
            <w:tcW w:type="pct" w:w="42%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Build segment-specific lifecycle campaigns: referral/loyalty perks for Power Loyalists, win-back offers for Dormant/Occasional, bulk-savings bundles for Bulk Buyers.</w:t>
            </w:r>
          </w:p>
        </w:tc>
        <w:tc>
          <w:tcPr>
            <w:tcW w:type="pct" w:w="30%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Replaces one-size-fits-all marketing with behaviorally targeted spend.</w:t>
            </w:r>
          </w:p>
        </w:tc>
      </w:tr>
      <w:tr>
        <w:tc>
          <w:tcPr>
            <w:tcW w:type="pct" w:w="6%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6F5C"/>
                <w:sz w:val="18"/>
                <w:szCs w:val="18"/>
              </w:rPr>
              <w:t xml:space="preserve">4</w:t>
            </w:r>
          </w:p>
        </w:tc>
        <w:tc>
          <w:tcPr>
            <w:tcW w:type="pct" w:w="22%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Finding 4 (timing)</w:t>
            </w:r>
          </w:p>
        </w:tc>
        <w:tc>
          <w:tcPr>
            <w:tcW w:type="pct" w:w="42%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Align push notifications, staffing, and inventory replenishment to the identified peak order windows.</w:t>
            </w:r>
          </w:p>
        </w:tc>
        <w:tc>
          <w:tcPr>
            <w:tcW w:type="pct" w:w="30%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Reduces missed-reminder waste and smooths operational load against actual demand.</w:t>
            </w:r>
          </w:p>
        </w:tc>
      </w:tr>
      <w:tr>
        <w:tc>
          <w:tcPr>
            <w:tcW w:type="pct" w:w="6%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6F5C"/>
                <w:sz w:val="18"/>
                <w:szCs w:val="18"/>
              </w:rPr>
              <w:t xml:space="preserve">5</w:t>
            </w:r>
          </w:p>
        </w:tc>
        <w:tc>
          <w:tcPr>
            <w:tcW w:type="pct" w:w="22%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Finding 5 (basket affinity)</w:t>
            </w:r>
          </w:p>
        </w:tc>
        <w:tc>
          <w:tcPr>
            <w:tcW w:type="pct" w:w="42%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Surface top cross-sell pairs (e.g. onion↔garlic, lemon↔lime) as "frequently bought together" prompts at checkout.</w:t>
            </w:r>
          </w:p>
        </w:tc>
        <w:tc>
          <w:tcPr>
            <w:tcW w:type="pct" w:w="30%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17"/>
                <w:szCs w:val="17"/>
              </w:rPr>
              <w:t xml:space="preserve">Basket-size lift from a low-cost UI change, using existing purchase-pattern data.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0F3D33"/>
        </w:rPr>
        <w:t xml:space="preserve">Data Limitations &amp; Caveats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3D33"/>
          <w:sz w:val="20"/>
          <w:szCs w:val="20"/>
        </w:rPr>
        <w:t xml:space="preserve">Scope: </w:t>
      </w:r>
      <w:r>
        <w:rPr>
          <w:color w:val="222222"/>
          <w:sz w:val="20"/>
          <w:szCs w:val="20"/>
        </w:rPr>
        <w:t xml:space="preserve">No revenue, pricing, or demographic data exists in this dataset — all impact estimates above are behavioral/directional, not dollarized, and should be validated against live financial data before funding a program.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3D33"/>
          <w:sz w:val="20"/>
          <w:szCs w:val="20"/>
        </w:rPr>
        <w:t xml:space="preserve">Selection bias: </w:t>
      </w:r>
      <w:r>
        <w:rPr>
          <w:color w:val="222222"/>
          <w:sz w:val="20"/>
          <w:szCs w:val="20"/>
        </w:rPr>
        <w:t xml:space="preserve">Every customer in this dataset already has 4+ historical orders (Instacart's own export filter) — this analysis cannot speak to true first-time or second-order churn, only behavior among already-engaged customers.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3D33"/>
          <w:sz w:val="20"/>
          <w:szCs w:val="20"/>
        </w:rPr>
        <w:t xml:space="preserve">Top-coding: </w:t>
      </w:r>
      <w:r>
        <w:rPr>
          <w:color w:val="222222"/>
          <w:sz w:val="20"/>
          <w:szCs w:val="20"/>
        </w:rPr>
        <w:t xml:space="preserve">days_since_prior_order is capped at 30 days — true gaps for lapsed customers are understated in any average.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3D33"/>
          <w:sz w:val="20"/>
          <w:szCs w:val="20"/>
        </w:rPr>
        <w:t xml:space="preserve">Small-sample noise: </w:t>
      </w:r>
      <w:r>
        <w:rPr>
          <w:color w:val="222222"/>
          <w:sz w:val="20"/>
          <w:szCs w:val="20"/>
        </w:rPr>
        <w:t xml:space="preserve">The apparent dip near order #100 in the retention curve reflects a very small number of customers at that order depth and should be treated as noise, not signal.</w:t>
      </w:r>
    </w:p>
    <w:p>
      <w:pPr>
        <w:pStyle w:val="Heading1"/>
        <w:spacing w:after="100" w:before="240"/>
      </w:pPr>
      <w:r>
        <w:rPr>
          <w:b/>
          <w:bCs/>
          <w:color w:val="0F3D33"/>
        </w:rPr>
        <w:t xml:space="preserve">Suggested Next Steps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Run an A/B test on the order-3-to-4 retention touchpoint (Recommendation 1) before wider rollout.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Partner with Finance to attach margin/revenue data to segments and cross-sell pairs, converting directional findings into dollar-impact projections.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0"/>
          <w:szCs w:val="20"/>
        </w:rPr>
        <w:t xml:space="preserve">Refresh this analysis quarterly as new order data becomes available, to monitor whether the order-3-to-4 cliff shifts after interventions are deployed.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6"/>
        <w:szCs w:val="16"/>
      </w:rPr>
      <w:t xml:space="preserve">Instacart Customer Analytics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2026-09-09T14:21:47.402Z</dcterms:created>
  <dcterms:modified xsi:type="dcterms:W3CDTF">2026-09-09T14:21:47.416Z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