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2D3E8F"/>
          <w:sz w:val="64"/>
          <w:szCs w:val="64"/>
        </w:rPr>
        <w:t xml:space="preserve">Customer Shopping Behavior</w:t>
      </w:r>
    </w:p>
    <w:p>
      <w:pPr>
        <w:spacing w:after="160"/>
        <w:jc w:val="center"/>
      </w:pPr>
      <w:r>
        <w:rPr>
          <w:rFonts w:ascii="Arial" w:cs="Arial" w:eastAsia="Arial" w:hAnsi="Arial"/>
          <w:b/>
          <w:bCs/>
          <w:color w:val="C0392B"/>
          <w:sz w:val="48"/>
          <w:szCs w:val="48"/>
        </w:rPr>
        <w:t xml:space="preserve">Analysis &amp; Revenue Insights Report</w:t>
      </w:r>
    </w:p>
    <w:p>
      <w:pPr>
        <w:spacing w:after="600"/>
        <w:jc w:val="center"/>
      </w:pPr>
      <w:r>
        <w:rPr>
          <w:rFonts w:ascii="Arial" w:cs="Arial" w:eastAsia="Arial" w:hAnsi="Arial"/>
          <w:color w:val="666666"/>
          <w:sz w:val="22"/>
          <w:szCs w:val="22"/>
        </w:rPr>
        <w:t xml:space="preserve">Dataset: 3,900 Transactions</w:t>
      </w:r>
    </w:p>
    <w:p>
      <w:pPr>
        <w:pBdr>
          <w:bottom w:val="single" w:color="2D3E8F" w:sz="8"/>
        </w:pBdr>
      </w:pPr>
      <w:r>
        <w:t xml:space="preserve"/>
      </w:r>
    </w:p>
    <w:p>
      <w:pPr>
        <w:spacing w:after="100" w:before="100"/>
      </w:pPr>
      <w:r>
        <w:t xml:space="preserve"/>
      </w:r>
    </w:p>
    <w:p>
      <w:pPr>
        <w:pStyle w:val="Heading1"/>
        <w:pBdr>
          <w:bottom w:val="single" w:color="2D3E8F" w:sz="4" w:space="4"/>
        </w:pBdr>
        <w:spacing w:after="160" w:before="360"/>
      </w:pPr>
      <w:r>
        <w:rPr>
          <w:rFonts w:ascii="Arial" w:cs="Arial" w:eastAsia="Arial" w:hAnsi="Arial"/>
          <w:b/>
          <w:bCs/>
          <w:color w:val="2D3E8F"/>
          <w:sz w:val="32"/>
          <w:szCs w:val="32"/>
        </w:rPr>
        <w:t xml:space="preserve">Executive Summary</w:t>
      </w:r>
    </w:p>
    <w:p>
      <w:pPr>
        <w:spacing w:after="80" w:before="80"/>
      </w:pPr>
      <w:r>
        <w:rPr>
          <w:rFonts w:ascii="Arial" w:cs="Arial" w:eastAsia="Arial" w:hAnsi="Arial"/>
          <w:sz w:val="20"/>
          <w:szCs w:val="20"/>
        </w:rPr>
        <w:t xml:space="preserve">This report presents a comprehensive analysis of customer shopping behavior using transactional data from 3,900 purchases across multiple product categories. The study encompasses revenue analysis, product ratings, shipping preferences, subscription behavior, category performance, and demographic insights — delivering actionable intelligence for strategic business decisions.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6E4F7" w:val="clear"/>
            <w:tcMar>
              <w:top w:type="dxa" w:w="140"/>
              <w:left w:type="dxa" w:w="160"/>
              <w:bottom w:type="dxa" w:w="140"/>
              <w:right w:type="dxa" w:w="160"/>
            </w:tcMar>
            <w:vAlign w:val="center"/>
          </w:tcPr>
          <w:p>
            <w:pPr>
              <w:jc w:val="center"/>
            </w:pPr>
            <w:r>
              <w:rPr>
                <w:rFonts w:ascii="Arial" w:cs="Arial" w:eastAsia="Arial" w:hAnsi="Arial"/>
                <w:b/>
                <w:bCs/>
                <w:color w:val="2D3E8F"/>
                <w:sz w:val="36"/>
                <w:szCs w:val="36"/>
              </w:rPr>
              <w:t xml:space="preserve">3,900</w:t>
            </w:r>
          </w:p>
          <w:p>
            <w:pPr>
              <w:jc w:val="center"/>
            </w:pPr>
            <w:r>
              <w:rPr>
                <w:rFonts w:ascii="Arial" w:cs="Arial" w:eastAsia="Arial" w:hAnsi="Arial"/>
                <w:color w:val="555555"/>
                <w:sz w:val="18"/>
                <w:szCs w:val="18"/>
              </w:rPr>
              <w:t xml:space="preserve">Total Customers</w:t>
            </w:r>
          </w:p>
        </w:tc>
        <w:tc>
          <w:tcPr>
            <w:tcW w:type="dxa" w:w="3120"/>
            <w:tcBorders>
              <w:top w:val="single" w:color="CCCCCC" w:sz="1"/>
              <w:left w:val="single" w:color="CCCCCC" w:sz="1"/>
              <w:bottom w:val="single" w:color="CCCCCC" w:sz="1"/>
              <w:right w:val="single" w:color="CCCCCC" w:sz="1"/>
            </w:tcBorders>
            <w:shd w:fill="D6E4F7" w:val="clear"/>
            <w:tcMar>
              <w:top w:type="dxa" w:w="140"/>
              <w:left w:type="dxa" w:w="160"/>
              <w:bottom w:type="dxa" w:w="140"/>
              <w:right w:type="dxa" w:w="160"/>
            </w:tcMar>
            <w:vAlign w:val="center"/>
          </w:tcPr>
          <w:p>
            <w:pPr>
              <w:jc w:val="center"/>
            </w:pPr>
            <w:r>
              <w:rPr>
                <w:rFonts w:ascii="Arial" w:cs="Arial" w:eastAsia="Arial" w:hAnsi="Arial"/>
                <w:b/>
                <w:bCs/>
                <w:color w:val="C0392B"/>
                <w:sz w:val="36"/>
                <w:szCs w:val="36"/>
              </w:rPr>
              <w:t xml:space="preserve">$59.76</w:t>
            </w:r>
          </w:p>
          <w:p>
            <w:pPr>
              <w:jc w:val="center"/>
            </w:pPr>
            <w:r>
              <w:rPr>
                <w:rFonts w:ascii="Arial" w:cs="Arial" w:eastAsia="Arial" w:hAnsi="Arial"/>
                <w:color w:val="555555"/>
                <w:sz w:val="18"/>
                <w:szCs w:val="18"/>
              </w:rPr>
              <w:t xml:space="preserve">Avg Purchase Amount</w:t>
            </w:r>
          </w:p>
        </w:tc>
        <w:tc>
          <w:tcPr>
            <w:tcW w:type="dxa" w:w="3120"/>
            <w:tcBorders>
              <w:top w:val="single" w:color="CCCCCC" w:sz="1"/>
              <w:left w:val="single" w:color="CCCCCC" w:sz="1"/>
              <w:bottom w:val="single" w:color="CCCCCC" w:sz="1"/>
              <w:right w:val="single" w:color="CCCCCC" w:sz="1"/>
            </w:tcBorders>
            <w:shd w:fill="D6E4F7" w:val="clear"/>
            <w:tcMar>
              <w:top w:type="dxa" w:w="140"/>
              <w:left w:type="dxa" w:w="160"/>
              <w:bottom w:type="dxa" w:w="140"/>
              <w:right w:type="dxa" w:w="160"/>
            </w:tcMar>
            <w:vAlign w:val="center"/>
          </w:tcPr>
          <w:p>
            <w:pPr>
              <w:jc w:val="center"/>
            </w:pPr>
            <w:r>
              <w:rPr>
                <w:rFonts w:ascii="Arial" w:cs="Arial" w:eastAsia="Arial" w:hAnsi="Arial"/>
                <w:b/>
                <w:bCs/>
                <w:color w:val="27AE60"/>
                <w:sz w:val="36"/>
                <w:szCs w:val="36"/>
              </w:rPr>
              <w:t xml:space="preserve">3.75 / 5</w:t>
            </w:r>
          </w:p>
          <w:p>
            <w:pPr>
              <w:jc w:val="center"/>
            </w:pPr>
            <w:r>
              <w:rPr>
                <w:rFonts w:ascii="Arial" w:cs="Arial" w:eastAsia="Arial" w:hAnsi="Arial"/>
                <w:color w:val="555555"/>
                <w:sz w:val="18"/>
                <w:szCs w:val="18"/>
              </w:rPr>
              <w:t xml:space="preserve">Avg Review Rating</w:t>
            </w:r>
          </w:p>
        </w:tc>
      </w:tr>
    </w:tbl>
    <w:p>
      <w:pPr>
        <w:spacing w:after="100" w:before="100"/>
      </w:pPr>
      <w:r>
        <w:t xml:space="preserve"/>
      </w:r>
    </w:p>
    <w:p>
      <w:pPr>
        <w:pStyle w:val="Heading1"/>
        <w:pBdr>
          <w:bottom w:val="single" w:color="2D3E8F" w:sz="4" w:space="4"/>
        </w:pBdr>
        <w:spacing w:after="160" w:before="360"/>
      </w:pPr>
      <w:r>
        <w:rPr>
          <w:rFonts w:ascii="Arial" w:cs="Arial" w:eastAsia="Arial" w:hAnsi="Arial"/>
          <w:b/>
          <w:bCs/>
          <w:color w:val="2D3E8F"/>
          <w:sz w:val="32"/>
          <w:szCs w:val="32"/>
        </w:rPr>
        <w:t xml:space="preserve">1. Project Overview</w:t>
      </w:r>
    </w:p>
    <w:p>
      <w:pPr>
        <w:spacing w:after="80" w:before="80"/>
      </w:pPr>
      <w:r>
        <w:rPr>
          <w:rFonts w:ascii="Arial" w:cs="Arial" w:eastAsia="Arial" w:hAnsi="Arial"/>
          <w:sz w:val="20"/>
          <w:szCs w:val="20"/>
        </w:rPr>
        <w:t xml:space="preserve">This project analyzes customer shopping behavior using transactional data from 3,900 purchases across various product categories. The goal is to uncover insights into spending patterns, customer segments, product preferences, and subscription behavior to guide strategic business decisions.</w:t>
      </w:r>
    </w:p>
    <w:p>
      <w:pPr>
        <w:spacing w:after="100" w:before="100"/>
      </w:pPr>
      <w:r>
        <w:t xml:space="preserve"/>
      </w:r>
    </w:p>
    <w:p>
      <w:pPr>
        <w:pStyle w:val="Heading1"/>
        <w:pBdr>
          <w:bottom w:val="single" w:color="2D3E8F" w:sz="4" w:space="4"/>
        </w:pBdr>
        <w:spacing w:after="160" w:before="360"/>
      </w:pPr>
      <w:r>
        <w:rPr>
          <w:rFonts w:ascii="Arial" w:cs="Arial" w:eastAsia="Arial" w:hAnsi="Arial"/>
          <w:b/>
          <w:bCs/>
          <w:color w:val="2D3E8F"/>
          <w:sz w:val="32"/>
          <w:szCs w:val="32"/>
        </w:rPr>
        <w:t xml:space="preserve">2. Dataset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D3E8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Attribute</w:t>
            </w:r>
          </w:p>
        </w:tc>
        <w:tc>
          <w:tcPr>
            <w:tcW w:type="dxa" w:w="5760"/>
            <w:tcBorders>
              <w:top w:val="single" w:color="CCCCCC" w:sz="1"/>
              <w:left w:val="single" w:color="CCCCCC" w:sz="1"/>
              <w:bottom w:val="single" w:color="CCCCCC" w:sz="1"/>
              <w:right w:val="single" w:color="CCCCCC" w:sz="1"/>
            </w:tcBorders>
            <w:shd w:fill="2D3E8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Details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Total Rows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3,900</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Total Columns</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18</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Customer Demographics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Age, Gender, Location, Subscription Status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Purchase Details</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Item, Category, Amount, Season, Size, Color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Shopping Behavior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Discount, Promo Code, Previous Purchases, Review Rating, Shipping Type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Missing Data</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37 values in Review Rating column (imputed using median per category)</w:t>
            </w:r>
          </w:p>
        </w:tc>
      </w:tr>
    </w:tbl>
    <w:p>
      <w:pPr>
        <w:spacing w:after="100" w:before="100"/>
      </w:pPr>
      <w:r>
        <w:t xml:space="preserve"/>
      </w:r>
    </w:p>
    <w:p>
      <w:pPr>
        <w:pStyle w:val="Heading1"/>
        <w:pBdr>
          <w:bottom w:val="single" w:color="2D3E8F" w:sz="4" w:space="4"/>
        </w:pBdr>
        <w:spacing w:after="160" w:before="360"/>
      </w:pPr>
      <w:r>
        <w:rPr>
          <w:rFonts w:ascii="Arial" w:cs="Arial" w:eastAsia="Arial" w:hAnsi="Arial"/>
          <w:b/>
          <w:bCs/>
          <w:color w:val="2D3E8F"/>
          <w:sz w:val="32"/>
          <w:szCs w:val="32"/>
        </w:rPr>
        <w:t xml:space="preserve">3. Exploratory Data Analysis &amp; Data Preparation</w:t>
      </w:r>
    </w:p>
    <w:p>
      <w:pPr>
        <w:spacing w:after="80" w:before="80"/>
      </w:pPr>
      <w:r>
        <w:rPr>
          <w:rFonts w:ascii="Arial" w:cs="Arial" w:eastAsia="Arial" w:hAnsi="Arial"/>
          <w:sz w:val="20"/>
          <w:szCs w:val="20"/>
        </w:rPr>
        <w:t xml:space="preserve">Data preparation was performed using Python with the pandas library. The following steps were carried out: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2D3E8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Step</w:t>
            </w:r>
          </w:p>
        </w:tc>
        <w:tc>
          <w:tcPr>
            <w:tcW w:type="dxa" w:w="6480"/>
            <w:tcBorders>
              <w:top w:val="single" w:color="CCCCCC" w:sz="1"/>
              <w:left w:val="single" w:color="CCCCCC" w:sz="1"/>
              <w:bottom w:val="single" w:color="CCCCCC" w:sz="1"/>
              <w:right w:val="single" w:color="CCCCCC" w:sz="1"/>
            </w:tcBorders>
            <w:shd w:fill="2D3E8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Action Taken</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Data Loading</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Imported the dataset using pandas</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Initial Exploration</w:t>
            </w:r>
          </w:p>
        </w:tc>
        <w:tc>
          <w:tcPr>
            <w:tcW w:type="dxa" w:w="6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Used df.info() and .describe() to check structure and summary statistics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Missing Data Handling</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Null values in Review Rating imputed using median rating per product category</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Column Standardization</w:t>
            </w:r>
          </w:p>
        </w:tc>
        <w:tc>
          <w:tcPr>
            <w:tcW w:type="dxa" w:w="6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Renamed all columns to snake_case for readability and documentation</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Feature Engineering</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Created age_group (by binning ages) and purchase_frequency_days columns</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Data Consistency Check</w:t>
            </w:r>
          </w:p>
        </w:tc>
        <w:tc>
          <w:tcPr>
            <w:tcW w:type="dxa" w:w="6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Verified discount_applied and promo_code_used were redundant; dropped promo_code_used</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Database Integration</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Connected Python script to PostgreSQL and loaded cleaned DataFrame for SQL analysis</w:t>
            </w:r>
          </w:p>
        </w:tc>
      </w:tr>
    </w:tbl>
    <w:p>
      <w:pPr>
        <w:spacing w:after="100" w:before="100"/>
      </w:pPr>
      <w:r>
        <w:t xml:space="preserve"/>
      </w:r>
    </w:p>
    <w:p>
      <w:pPr>
        <w:pStyle w:val="Heading1"/>
        <w:pBdr>
          <w:bottom w:val="single" w:color="2D3E8F" w:sz="4" w:space="4"/>
        </w:pBdr>
        <w:spacing w:after="160" w:before="360"/>
      </w:pPr>
      <w:r>
        <w:rPr>
          <w:rFonts w:ascii="Arial" w:cs="Arial" w:eastAsia="Arial" w:hAnsi="Arial"/>
          <w:b/>
          <w:bCs/>
          <w:color w:val="2D3E8F"/>
          <w:sz w:val="32"/>
          <w:szCs w:val="32"/>
        </w:rPr>
        <w:t xml:space="preserve">4. SQL Analysis – Key Findings</w:t>
      </w:r>
    </w:p>
    <w:p>
      <w:pPr>
        <w:spacing w:after="80" w:before="80"/>
      </w:pPr>
      <w:r>
        <w:rPr>
          <w:rFonts w:ascii="Arial" w:cs="Arial" w:eastAsia="Arial" w:hAnsi="Arial"/>
          <w:sz w:val="20"/>
          <w:szCs w:val="20"/>
        </w:rPr>
        <w:t xml:space="preserve">Eight analytical SQL queries were executed on the cleaned dataset to extract the following insights:</w:t>
      </w:r>
    </w:p>
    <w:p>
      <w:pPr>
        <w:spacing w:after="100" w:before="100"/>
      </w:pPr>
      <w:r>
        <w:t xml:space="preserve"/>
      </w:r>
    </w:p>
    <w:p>
      <w:pPr>
        <w:pStyle w:val="Heading2"/>
        <w:spacing w:after="100" w:before="240"/>
      </w:pPr>
      <w:r>
        <w:rPr>
          <w:rFonts w:ascii="Arial" w:cs="Arial" w:eastAsia="Arial" w:hAnsi="Arial"/>
          <w:b/>
          <w:bCs/>
          <w:color w:val="C0392B"/>
          <w:sz w:val="24"/>
          <w:szCs w:val="24"/>
        </w:rPr>
        <w:t xml:space="preserve">Q1. Revenue by Gender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D3E8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Gender</w:t>
            </w:r>
          </w:p>
        </w:tc>
        <w:tc>
          <w:tcPr>
            <w:tcW w:type="dxa" w:w="3120"/>
            <w:tcBorders>
              <w:top w:val="single" w:color="CCCCCC" w:sz="1"/>
              <w:left w:val="single" w:color="CCCCCC" w:sz="1"/>
              <w:bottom w:val="single" w:color="CCCCCC" w:sz="1"/>
              <w:right w:val="single" w:color="CCCCCC" w:sz="1"/>
            </w:tcBorders>
            <w:shd w:fill="2D3E8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Total Revenue</w:t>
            </w:r>
          </w:p>
        </w:tc>
        <w:tc>
          <w:tcPr>
            <w:tcW w:type="dxa" w:w="3120"/>
            <w:tcBorders>
              <w:top w:val="single" w:color="CCCCCC" w:sz="1"/>
              <w:left w:val="single" w:color="CCCCCC" w:sz="1"/>
              <w:bottom w:val="single" w:color="CCCCCC" w:sz="1"/>
              <w:right w:val="single" w:color="CCCCCC" w:sz="1"/>
            </w:tcBorders>
            <w:shd w:fill="2D3E8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Revenue Share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Male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$1,57,890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~68%</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Female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$75,191</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~32%</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120"/>
              <w:left w:type="dxa" w:w="200"/>
              <w:bottom w:type="dxa" w:w="120"/>
              <w:right w:type="dxa" w:w="200"/>
            </w:tcMar>
          </w:tcPr>
          <w:p>
            <w:r>
              <w:rPr>
                <w:rFonts w:ascii="Arial" w:cs="Arial" w:eastAsia="Arial" w:hAnsi="Arial"/>
                <w:b/>
                <w:bCs/>
                <w:color w:val="2D3E8F"/>
                <w:sz w:val="20"/>
                <w:szCs w:val="20"/>
              </w:rPr>
              <w:t xml:space="preserve">💡 Insight: </w:t>
            </w:r>
            <w:r>
              <w:rPr>
                <w:rFonts w:ascii="Arial" w:cs="Arial" w:eastAsia="Arial" w:hAnsi="Arial"/>
                <w:color w:val="1A1A2E"/>
                <w:sz w:val="20"/>
                <w:szCs w:val="20"/>
              </w:rPr>
              <w:t xml:space="preserve">Male customers generated significantly higher revenue ($1,57,890) compared to female customers ($75,191), contributing nearly 68% of total revenue.</w:t>
            </w:r>
          </w:p>
        </w:tc>
      </w:tr>
    </w:tbl>
    <w:p>
      <w:pPr>
        <w:spacing w:after="100" w:before="100"/>
      </w:pPr>
      <w:r>
        <w:t xml:space="preserve"/>
      </w:r>
    </w:p>
    <w:p>
      <w:pPr>
        <w:pStyle w:val="Heading2"/>
        <w:spacing w:after="100" w:before="240"/>
      </w:pPr>
      <w:r>
        <w:rPr>
          <w:rFonts w:ascii="Arial" w:cs="Arial" w:eastAsia="Arial" w:hAnsi="Arial"/>
          <w:b/>
          <w:bCs/>
          <w:color w:val="C0392B"/>
          <w:sz w:val="24"/>
          <w:szCs w:val="24"/>
        </w:rPr>
        <w:t xml:space="preserve">Q2. Top 5 Products by Average Review Rating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4680"/>
        <w:gridCol w:w="3120"/>
      </w:tblGrid>
      <w:tr>
        <w:tc>
          <w:tcPr>
            <w:tcW w:type="dxa" w:w="1560"/>
            <w:tcBorders>
              <w:top w:val="single" w:color="CCCCCC" w:sz="1"/>
              <w:left w:val="single" w:color="CCCCCC" w:sz="1"/>
              <w:bottom w:val="single" w:color="CCCCCC" w:sz="1"/>
              <w:right w:val="single" w:color="CCCCCC" w:sz="1"/>
            </w:tcBorders>
            <w:shd w:fill="2D3E8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Rank</w:t>
            </w:r>
          </w:p>
        </w:tc>
        <w:tc>
          <w:tcPr>
            <w:tcW w:type="dxa" w:w="4680"/>
            <w:tcBorders>
              <w:top w:val="single" w:color="CCCCCC" w:sz="1"/>
              <w:left w:val="single" w:color="CCCCCC" w:sz="1"/>
              <w:bottom w:val="single" w:color="CCCCCC" w:sz="1"/>
              <w:right w:val="single" w:color="CCCCCC" w:sz="1"/>
            </w:tcBorders>
            <w:shd w:fill="2D3E8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Product</w:t>
            </w:r>
          </w:p>
        </w:tc>
        <w:tc>
          <w:tcPr>
            <w:tcW w:type="dxa" w:w="3120"/>
            <w:tcBorders>
              <w:top w:val="single" w:color="CCCCCC" w:sz="1"/>
              <w:left w:val="single" w:color="CCCCCC" w:sz="1"/>
              <w:bottom w:val="single" w:color="CCCCCC" w:sz="1"/>
              <w:right w:val="single" w:color="CCCCCC" w:sz="1"/>
            </w:tcBorders>
            <w:shd w:fill="2D3E8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Avg Review Rating</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Gloves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3.86</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2</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Sandals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3.84</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3</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Boots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3.82</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4</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Hat</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3.80</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Skirt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3.78</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120"/>
              <w:left w:type="dxa" w:w="200"/>
              <w:bottom w:type="dxa" w:w="120"/>
              <w:right w:type="dxa" w:w="200"/>
            </w:tcMar>
          </w:tcPr>
          <w:p>
            <w:r>
              <w:rPr>
                <w:rFonts w:ascii="Arial" w:cs="Arial" w:eastAsia="Arial" w:hAnsi="Arial"/>
                <w:b/>
                <w:bCs/>
                <w:color w:val="2D3E8F"/>
                <w:sz w:val="20"/>
                <w:szCs w:val="20"/>
              </w:rPr>
              <w:t xml:space="preserve">💡 Insight: </w:t>
            </w:r>
            <w:r>
              <w:rPr>
                <w:rFonts w:ascii="Arial" w:cs="Arial" w:eastAsia="Arial" w:hAnsi="Arial"/>
                <w:color w:val="1A1A2E"/>
                <w:sz w:val="20"/>
                <w:szCs w:val="20"/>
              </w:rPr>
              <w:t xml:space="preserve">All top-rated products have ratings between 3.78–3.86, indicating consistently high quality across the top tier. Gloves lead with an average rating of 3.86.</w:t>
            </w:r>
          </w:p>
        </w:tc>
      </w:tr>
    </w:tbl>
    <w:p>
      <w:pPr>
        <w:spacing w:after="100" w:before="100"/>
      </w:pPr>
      <w:r>
        <w:t xml:space="preserve"/>
      </w:r>
    </w:p>
    <w:p>
      <w:pPr>
        <w:pStyle w:val="Heading2"/>
        <w:spacing w:after="100" w:before="240"/>
      </w:pPr>
      <w:r>
        <w:rPr>
          <w:rFonts w:ascii="Arial" w:cs="Arial" w:eastAsia="Arial" w:hAnsi="Arial"/>
          <w:b/>
          <w:bCs/>
          <w:color w:val="C0392B"/>
          <w:sz w:val="24"/>
          <w:szCs w:val="24"/>
        </w:rPr>
        <w:t xml:space="preserve">Q3. Purchase Amount: Standard vs. Express Shipping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D3E8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Shipping Type</w:t>
            </w:r>
          </w:p>
        </w:tc>
        <w:tc>
          <w:tcPr>
            <w:tcW w:type="dxa" w:w="4680"/>
            <w:tcBorders>
              <w:top w:val="single" w:color="CCCCCC" w:sz="1"/>
              <w:left w:val="single" w:color="CCCCCC" w:sz="1"/>
              <w:bottom w:val="single" w:color="CCCCCC" w:sz="1"/>
              <w:right w:val="single" w:color="CCCCCC" w:sz="1"/>
            </w:tcBorders>
            <w:shd w:fill="2D3E8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Average Purchase Amount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Express Shipping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$60.48</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Standard Shipping</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$58.46</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120"/>
              <w:left w:type="dxa" w:w="200"/>
              <w:bottom w:type="dxa" w:w="120"/>
              <w:right w:type="dxa" w:w="200"/>
            </w:tcMar>
          </w:tcPr>
          <w:p>
            <w:r>
              <w:rPr>
                <w:rFonts w:ascii="Arial" w:cs="Arial" w:eastAsia="Arial" w:hAnsi="Arial"/>
                <w:b/>
                <w:bCs/>
                <w:color w:val="2D3E8F"/>
                <w:sz w:val="20"/>
                <w:szCs w:val="20"/>
              </w:rPr>
              <w:t xml:space="preserve">💡 Insight: </w:t>
            </w:r>
            <w:r>
              <w:rPr>
                <w:rFonts w:ascii="Arial" w:cs="Arial" w:eastAsia="Arial" w:hAnsi="Arial"/>
                <w:color w:val="1A1A2E"/>
                <w:sz w:val="20"/>
                <w:szCs w:val="20"/>
              </w:rPr>
              <w:t xml:space="preserve">Express shipping customers spend slightly more on average ($60.48) compared to Standard shipping customers ($58.46), suggesting a minor correlation between shipping urgency and spend level.</w:t>
            </w:r>
          </w:p>
        </w:tc>
      </w:tr>
    </w:tbl>
    <w:p>
      <w:pPr>
        <w:spacing w:after="100" w:before="100"/>
      </w:pPr>
      <w:r>
        <w:t xml:space="preserve"/>
      </w:r>
    </w:p>
    <w:p>
      <w:pPr>
        <w:pStyle w:val="Heading2"/>
        <w:spacing w:after="100" w:before="240"/>
      </w:pPr>
      <w:r>
        <w:rPr>
          <w:rFonts w:ascii="Arial" w:cs="Arial" w:eastAsia="Arial" w:hAnsi="Arial"/>
          <w:b/>
          <w:bCs/>
          <w:color w:val="C0392B"/>
          <w:sz w:val="24"/>
          <w:szCs w:val="24"/>
        </w:rPr>
        <w:t xml:space="preserve">Q4. Subscriber vs. Non-Subscriber Spending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872"/>
        <w:gridCol w:w="2340"/>
        <w:gridCol w:w="2340"/>
      </w:tblGrid>
      <w:tr>
        <w:tc>
          <w:tcPr>
            <w:tcW w:type="dxa" w:w="2808"/>
            <w:tcBorders>
              <w:top w:val="single" w:color="CCCCCC" w:sz="1"/>
              <w:left w:val="single" w:color="CCCCCC" w:sz="1"/>
              <w:bottom w:val="single" w:color="CCCCCC" w:sz="1"/>
              <w:right w:val="single" w:color="CCCCCC" w:sz="1"/>
            </w:tcBorders>
            <w:shd w:fill="2D3E8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Segment</w:t>
            </w:r>
          </w:p>
        </w:tc>
        <w:tc>
          <w:tcPr>
            <w:tcW w:type="dxa" w:w="1872"/>
            <w:tcBorders>
              <w:top w:val="single" w:color="CCCCCC" w:sz="1"/>
              <w:left w:val="single" w:color="CCCCCC" w:sz="1"/>
              <w:bottom w:val="single" w:color="CCCCCC" w:sz="1"/>
              <w:right w:val="single" w:color="CCCCCC" w:sz="1"/>
            </w:tcBorders>
            <w:shd w:fill="2D3E8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Customer Count</w:t>
            </w:r>
          </w:p>
        </w:tc>
        <w:tc>
          <w:tcPr>
            <w:tcW w:type="dxa" w:w="2340"/>
            <w:tcBorders>
              <w:top w:val="single" w:color="CCCCCC" w:sz="1"/>
              <w:left w:val="single" w:color="CCCCCC" w:sz="1"/>
              <w:bottom w:val="single" w:color="CCCCCC" w:sz="1"/>
              <w:right w:val="single" w:color="CCCCCC" w:sz="1"/>
            </w:tcBorders>
            <w:shd w:fill="2D3E8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Total Revenue</w:t>
            </w:r>
          </w:p>
        </w:tc>
        <w:tc>
          <w:tcPr>
            <w:tcW w:type="dxa" w:w="2340"/>
            <w:tcBorders>
              <w:top w:val="single" w:color="CCCCCC" w:sz="1"/>
              <w:left w:val="single" w:color="CCCCCC" w:sz="1"/>
              <w:bottom w:val="single" w:color="CCCCCC" w:sz="1"/>
              <w:right w:val="single" w:color="CCCCCC" w:sz="1"/>
            </w:tcBorders>
            <w:shd w:fill="2D3E8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Avg Spend</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Non-Subscribers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2,847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$1,70,436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$59.87</w:t>
            </w:r>
          </w:p>
        </w:tc>
      </w:tr>
      <w:tr>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Subscribers</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1,053</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$62,645</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$59.49</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120"/>
              <w:left w:type="dxa" w:w="200"/>
              <w:bottom w:type="dxa" w:w="120"/>
              <w:right w:type="dxa" w:w="200"/>
            </w:tcMar>
          </w:tcPr>
          <w:p>
            <w:r>
              <w:rPr>
                <w:rFonts w:ascii="Arial" w:cs="Arial" w:eastAsia="Arial" w:hAnsi="Arial"/>
                <w:b/>
                <w:bCs/>
                <w:color w:val="2D3E8F"/>
                <w:sz w:val="20"/>
                <w:szCs w:val="20"/>
              </w:rPr>
              <w:t xml:space="preserve">💡 Insight: </w:t>
            </w:r>
            <w:r>
              <w:rPr>
                <w:rFonts w:ascii="Arial" w:cs="Arial" w:eastAsia="Arial" w:hAnsi="Arial"/>
                <w:color w:val="1A1A2E"/>
                <w:sz w:val="20"/>
                <w:szCs w:val="20"/>
              </w:rPr>
              <w:t xml:space="preserve">Non-subscribers generate more total revenue ($1,70,436) than subscribers ($62,645) due to the larger base. However, average spend is nearly equal — $59.87 vs. $59.49 — indicating the revenue gap is driven by volume, not individual spending behavior.</w:t>
            </w:r>
          </w:p>
        </w:tc>
      </w:tr>
    </w:tbl>
    <w:p>
      <w:pPr>
        <w:spacing w:after="100" w:before="100"/>
      </w:pPr>
      <w:r>
        <w:t xml:space="preserve"/>
      </w:r>
    </w:p>
    <w:p>
      <w:pPr>
        <w:pStyle w:val="Heading2"/>
        <w:spacing w:after="100" w:before="240"/>
      </w:pPr>
      <w:r>
        <w:rPr>
          <w:rFonts w:ascii="Arial" w:cs="Arial" w:eastAsia="Arial" w:hAnsi="Arial"/>
          <w:b/>
          <w:bCs/>
          <w:color w:val="C0392B"/>
          <w:sz w:val="24"/>
          <w:szCs w:val="24"/>
        </w:rPr>
        <w:t xml:space="preserve">Q5. Total Sales Per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3276"/>
        <w:gridCol w:w="3276"/>
      </w:tblGrid>
      <w:tr>
        <w:tc>
          <w:tcPr>
            <w:tcW w:type="dxa" w:w="2808"/>
            <w:tcBorders>
              <w:top w:val="single" w:color="CCCCCC" w:sz="1"/>
              <w:left w:val="single" w:color="CCCCCC" w:sz="1"/>
              <w:bottom w:val="single" w:color="CCCCCC" w:sz="1"/>
              <w:right w:val="single" w:color="CCCCCC" w:sz="1"/>
            </w:tcBorders>
            <w:shd w:fill="2D3E8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Category</w:t>
            </w:r>
          </w:p>
        </w:tc>
        <w:tc>
          <w:tcPr>
            <w:tcW w:type="dxa" w:w="3276"/>
            <w:tcBorders>
              <w:top w:val="single" w:color="CCCCCC" w:sz="1"/>
              <w:left w:val="single" w:color="CCCCCC" w:sz="1"/>
              <w:bottom w:val="single" w:color="CCCCCC" w:sz="1"/>
              <w:right w:val="single" w:color="CCCCCC" w:sz="1"/>
            </w:tcBorders>
            <w:shd w:fill="2D3E8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Total Sales</w:t>
            </w:r>
          </w:p>
        </w:tc>
        <w:tc>
          <w:tcPr>
            <w:tcW w:type="dxa" w:w="3276"/>
            <w:tcBorders>
              <w:top w:val="single" w:color="CCCCCC" w:sz="1"/>
              <w:left w:val="single" w:color="CCCCCC" w:sz="1"/>
              <w:bottom w:val="single" w:color="CCCCCC" w:sz="1"/>
              <w:right w:val="single" w:color="CCCCCC" w:sz="1"/>
            </w:tcBorders>
            <w:shd w:fill="2D3E8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Share of Total</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Clothing</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$1,04,264</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~44%</w:t>
            </w:r>
          </w:p>
        </w:tc>
      </w:tr>
      <w:tr>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Accessories</w:t>
            </w:r>
          </w:p>
        </w:tc>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$74,200</w:t>
            </w:r>
          </w:p>
        </w:tc>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~31%</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Footwear</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$36,093</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~15%</w:t>
            </w:r>
          </w:p>
        </w:tc>
      </w:tr>
      <w:tr>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Outerwear</w:t>
            </w:r>
          </w:p>
        </w:tc>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$18,524</w:t>
            </w:r>
          </w:p>
        </w:tc>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~8%</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120"/>
              <w:left w:type="dxa" w:w="200"/>
              <w:bottom w:type="dxa" w:w="120"/>
              <w:right w:type="dxa" w:w="200"/>
            </w:tcMar>
          </w:tcPr>
          <w:p>
            <w:r>
              <w:rPr>
                <w:rFonts w:ascii="Arial" w:cs="Arial" w:eastAsia="Arial" w:hAnsi="Arial"/>
                <w:b/>
                <w:bCs/>
                <w:color w:val="2D3E8F"/>
                <w:sz w:val="20"/>
                <w:szCs w:val="20"/>
              </w:rPr>
              <w:t xml:space="preserve">💡 Insight: </w:t>
            </w:r>
            <w:r>
              <w:rPr>
                <w:rFonts w:ascii="Arial" w:cs="Arial" w:eastAsia="Arial" w:hAnsi="Arial"/>
                <w:color w:val="1A1A2E"/>
                <w:sz w:val="20"/>
                <w:szCs w:val="20"/>
              </w:rPr>
              <w:t xml:space="preserve">Clothing is the dominant category, accounting for ~44% of all sales at $1,04,264. Accessories follow at $74,200. Together, these two categories account for ~75% of total revenue.</w:t>
            </w:r>
          </w:p>
        </w:tc>
      </w:tr>
    </w:tbl>
    <w:p>
      <w:pPr>
        <w:spacing w:after="100" w:before="100"/>
      </w:pPr>
      <w:r>
        <w:t xml:space="preserve"/>
      </w:r>
    </w:p>
    <w:p>
      <w:pPr>
        <w:pStyle w:val="Heading2"/>
        <w:spacing w:after="100" w:before="240"/>
      </w:pPr>
      <w:r>
        <w:rPr>
          <w:rFonts w:ascii="Arial" w:cs="Arial" w:eastAsia="Arial" w:hAnsi="Arial"/>
          <w:b/>
          <w:bCs/>
          <w:color w:val="C0392B"/>
          <w:sz w:val="24"/>
          <w:szCs w:val="24"/>
        </w:rPr>
        <w:t xml:space="preserve">Q6. Top 3 Products Within Each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D3E8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Category</w:t>
            </w:r>
          </w:p>
        </w:tc>
        <w:tc>
          <w:tcPr>
            <w:tcW w:type="dxa" w:w="2340"/>
            <w:tcBorders>
              <w:top w:val="single" w:color="CCCCCC" w:sz="1"/>
              <w:left w:val="single" w:color="CCCCCC" w:sz="1"/>
              <w:bottom w:val="single" w:color="CCCCCC" w:sz="1"/>
              <w:right w:val="single" w:color="CCCCCC" w:sz="1"/>
            </w:tcBorders>
            <w:shd w:fill="2D3E8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Rank 1</w:t>
            </w:r>
          </w:p>
        </w:tc>
        <w:tc>
          <w:tcPr>
            <w:tcW w:type="dxa" w:w="2340"/>
            <w:tcBorders>
              <w:top w:val="single" w:color="CCCCCC" w:sz="1"/>
              <w:left w:val="single" w:color="CCCCCC" w:sz="1"/>
              <w:bottom w:val="single" w:color="CCCCCC" w:sz="1"/>
              <w:right w:val="single" w:color="CCCCCC" w:sz="1"/>
            </w:tcBorders>
            <w:shd w:fill="2D3E8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Rank 2</w:t>
            </w:r>
          </w:p>
        </w:tc>
        <w:tc>
          <w:tcPr>
            <w:tcW w:type="dxa" w:w="2340"/>
            <w:tcBorders>
              <w:top w:val="single" w:color="CCCCCC" w:sz="1"/>
              <w:left w:val="single" w:color="CCCCCC" w:sz="1"/>
              <w:bottom w:val="single" w:color="CCCCCC" w:sz="1"/>
              <w:right w:val="single" w:color="CCCCCC" w:sz="1"/>
            </w:tcBorders>
            <w:shd w:fill="2D3E8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Rank 3</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Clothing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Blouse (171)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Pants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Shirt</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Accessories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Jewelry (171)</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Belt</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Sunglasses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Footwear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Sandals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Shoes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Sneakers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Outerwear</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Coat</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Jacket</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Hoodie</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120"/>
              <w:left w:type="dxa" w:w="200"/>
              <w:bottom w:type="dxa" w:w="120"/>
              <w:right w:type="dxa" w:w="200"/>
            </w:tcMar>
          </w:tcPr>
          <w:p>
            <w:r>
              <w:rPr>
                <w:rFonts w:ascii="Arial" w:cs="Arial" w:eastAsia="Arial" w:hAnsi="Arial"/>
                <w:b/>
                <w:bCs/>
                <w:color w:val="2D3E8F"/>
                <w:sz w:val="20"/>
                <w:szCs w:val="20"/>
              </w:rPr>
              <w:t xml:space="preserve">💡 Insight: </w:t>
            </w:r>
            <w:r>
              <w:rPr>
                <w:rFonts w:ascii="Arial" w:cs="Arial" w:eastAsia="Arial" w:hAnsi="Arial"/>
                <w:color w:val="1A1A2E"/>
                <w:sz w:val="20"/>
                <w:szCs w:val="20"/>
              </w:rPr>
              <w:t xml:space="preserve">Jewelry and Blouse are the highest-ordered items with 171 orders each. Competition within each category is close, with orders fairly evenly distributed among the top 3 products.</w:t>
            </w:r>
          </w:p>
        </w:tc>
      </w:tr>
    </w:tbl>
    <w:p>
      <w:pPr>
        <w:spacing w:after="100" w:before="100"/>
      </w:pPr>
      <w:r>
        <w:t xml:space="preserve"/>
      </w:r>
    </w:p>
    <w:p>
      <w:pPr>
        <w:pStyle w:val="Heading2"/>
        <w:spacing w:after="100" w:before="240"/>
      </w:pPr>
      <w:r>
        <w:rPr>
          <w:rFonts w:ascii="Arial" w:cs="Arial" w:eastAsia="Arial" w:hAnsi="Arial"/>
          <w:b/>
          <w:bCs/>
          <w:color w:val="C0392B"/>
          <w:sz w:val="24"/>
          <w:szCs w:val="24"/>
        </w:rPr>
        <w:t xml:space="preserve">Q7. Repeat Buyers and Subscription Likelihood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CCCCCC" w:sz="1"/>
              <w:left w:val="single" w:color="CCCCCC" w:sz="1"/>
              <w:bottom w:val="single" w:color="CCCCCC" w:sz="1"/>
              <w:right w:val="single" w:color="CCCCCC" w:sz="1"/>
            </w:tcBorders>
            <w:shd w:fill="2D3E8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Buyer Type</w:t>
            </w:r>
          </w:p>
        </w:tc>
        <w:tc>
          <w:tcPr>
            <w:tcW w:type="dxa" w:w="2880"/>
            <w:tcBorders>
              <w:top w:val="single" w:color="CCCCCC" w:sz="1"/>
              <w:left w:val="single" w:color="CCCCCC" w:sz="1"/>
              <w:bottom w:val="single" w:color="CCCCCC" w:sz="1"/>
              <w:right w:val="single" w:color="CCCCCC" w:sz="1"/>
            </w:tcBorders>
            <w:shd w:fill="2D3E8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Non-Subscribers</w:t>
            </w:r>
          </w:p>
        </w:tc>
        <w:tc>
          <w:tcPr>
            <w:tcW w:type="dxa" w:w="2880"/>
            <w:tcBorders>
              <w:top w:val="single" w:color="CCCCCC" w:sz="1"/>
              <w:left w:val="single" w:color="CCCCCC" w:sz="1"/>
              <w:bottom w:val="single" w:color="CCCCCC" w:sz="1"/>
              <w:right w:val="single" w:color="CCCCCC" w:sz="1"/>
            </w:tcBorders>
            <w:shd w:fill="2D3E8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Subscribers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Repeat Buyers (&gt;5 purchases)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2,518</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958</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120"/>
              <w:left w:type="dxa" w:w="200"/>
              <w:bottom w:type="dxa" w:w="120"/>
              <w:right w:type="dxa" w:w="200"/>
            </w:tcMar>
          </w:tcPr>
          <w:p>
            <w:r>
              <w:rPr>
                <w:rFonts w:ascii="Arial" w:cs="Arial" w:eastAsia="Arial" w:hAnsi="Arial"/>
                <w:b/>
                <w:bCs/>
                <w:color w:val="2D3E8F"/>
                <w:sz w:val="20"/>
                <w:szCs w:val="20"/>
              </w:rPr>
              <w:t xml:space="preserve">💡 Insight: </w:t>
            </w:r>
            <w:r>
              <w:rPr>
                <w:rFonts w:ascii="Arial" w:cs="Arial" w:eastAsia="Arial" w:hAnsi="Arial"/>
                <w:color w:val="1A1A2E"/>
                <w:sz w:val="20"/>
                <w:szCs w:val="20"/>
              </w:rPr>
              <w:t xml:space="preserve">Among repeat buyers (&gt;5 previous purchases), a large majority (2,518) are non-subscribers, while only 958 have a subscription. This suggests that repeat buying behavior does not strongly drive subscription sign-ups — a potential opportunity for targeted subscription conversion campaigns.</w:t>
            </w:r>
          </w:p>
        </w:tc>
      </w:tr>
    </w:tbl>
    <w:p>
      <w:pPr>
        <w:spacing w:after="100" w:before="100"/>
      </w:pPr>
      <w:r>
        <w:t xml:space="preserve"/>
      </w:r>
    </w:p>
    <w:p>
      <w:pPr>
        <w:pStyle w:val="Heading2"/>
        <w:spacing w:after="100" w:before="240"/>
      </w:pPr>
      <w:r>
        <w:rPr>
          <w:rFonts w:ascii="Arial" w:cs="Arial" w:eastAsia="Arial" w:hAnsi="Arial"/>
          <w:b/>
          <w:bCs/>
          <w:color w:val="C0392B"/>
          <w:sz w:val="24"/>
          <w:szCs w:val="24"/>
        </w:rPr>
        <w:t xml:space="preserve">Q8. Revenue Contribution by Age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D3E8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Age Group</w:t>
            </w:r>
          </w:p>
        </w:tc>
        <w:tc>
          <w:tcPr>
            <w:tcW w:type="dxa" w:w="4680"/>
            <w:tcBorders>
              <w:top w:val="single" w:color="CCCCCC" w:sz="1"/>
              <w:left w:val="single" w:color="CCCCCC" w:sz="1"/>
              <w:bottom w:val="single" w:color="CCCCCC" w:sz="1"/>
              <w:right w:val="single" w:color="CCCCCC" w:sz="1"/>
            </w:tcBorders>
            <w:shd w:fill="2D3E8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Total Revenue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Young Adult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$62,143</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Middle-aged</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$59,197</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Adult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$55,978</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Senior</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$55,763</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120"/>
              <w:left w:type="dxa" w:w="200"/>
              <w:bottom w:type="dxa" w:w="120"/>
              <w:right w:type="dxa" w:w="200"/>
            </w:tcMar>
          </w:tcPr>
          <w:p>
            <w:r>
              <w:rPr>
                <w:rFonts w:ascii="Arial" w:cs="Arial" w:eastAsia="Arial" w:hAnsi="Arial"/>
                <w:b/>
                <w:bCs/>
                <w:color w:val="2D3E8F"/>
                <w:sz w:val="20"/>
                <w:szCs w:val="20"/>
              </w:rPr>
              <w:t xml:space="preserve">💡 Insight: </w:t>
            </w:r>
            <w:r>
              <w:rPr>
                <w:rFonts w:ascii="Arial" w:cs="Arial" w:eastAsia="Arial" w:hAnsi="Arial"/>
                <w:color w:val="1A1A2E"/>
                <w:sz w:val="20"/>
                <w:szCs w:val="20"/>
              </w:rPr>
              <w:t xml:space="preserve">Revenue is fairly evenly distributed across all age groups, with Young Adults contributing the most ($62,143). The narrow spread between the highest and lowest groups (&lt; $7,000) suggests no single age demographic dominates spending.</w:t>
            </w:r>
          </w:p>
        </w:tc>
      </w:tr>
    </w:tbl>
    <w:p>
      <w:pPr>
        <w:spacing w:after="100" w:before="100"/>
      </w:pPr>
      <w:r>
        <w:t xml:space="preserve"/>
      </w:r>
    </w:p>
    <w:p>
      <w:pPr>
        <w:pStyle w:val="Heading1"/>
        <w:pBdr>
          <w:bottom w:val="single" w:color="2D3E8F" w:sz="4" w:space="4"/>
        </w:pBdr>
        <w:spacing w:after="160" w:before="360"/>
      </w:pPr>
      <w:r>
        <w:rPr>
          <w:rFonts w:ascii="Arial" w:cs="Arial" w:eastAsia="Arial" w:hAnsi="Arial"/>
          <w:b/>
          <w:bCs/>
          <w:color w:val="2D3E8F"/>
          <w:sz w:val="32"/>
          <w:szCs w:val="32"/>
        </w:rPr>
        <w:t xml:space="preserve">5. Power BI Dashboard Highlights</w:t>
      </w:r>
    </w:p>
    <w:p>
      <w:pPr>
        <w:spacing w:after="80" w:before="80"/>
      </w:pPr>
      <w:r>
        <w:rPr>
          <w:rFonts w:ascii="Arial" w:cs="Arial" w:eastAsia="Arial" w:hAnsi="Arial"/>
          <w:sz w:val="20"/>
          <w:szCs w:val="20"/>
        </w:rPr>
        <w:t xml:space="preserve">A Customer Behavior Dashboard was created in Power BI to enable interactive exploration of the data. Key dashboard components include:</w:t>
      </w:r>
    </w:p>
    <w:p>
      <w:pPr>
        <w:spacing w:after="120" w:before="120"/>
        <w:jc w:val="center"/>
      </w:pPr>
      <w:r>
        <w:drawing>
          <wp:inline xmlns:wp="http://schemas.openxmlformats.org/drawingml/2006/wordprocessingDrawing">
            <wp:extent cx="5943600" cy="3255589"/>
            <wp:effectExtent l="0" t="0" r="0" b="0"/>
            <wp:docPr id="1" name="Dashboard"/>
            <a:graphic xmlns:a="http://schemas.openxmlformats.org/drawingml/2006/main">
              <a:graphicData uri="http://schemas.openxmlformats.org/drawingml/2006/picture">
                <pic:pic xmlns:pic="http://schemas.openxmlformats.org/drawingml/2006/picture">
                  <pic:nvPicPr>
                    <pic:cNvPr id="1" name="Dashboard"/>
                    <pic:cNvPicPr/>
                  </pic:nvPicPr>
                  <pic:blipFill>
                    <a:blip xmlns:r="http://schemas.openxmlformats.org/officeDocument/2006/relationships" r:embed="rId10"/>
                    <a:stretch>
                      <a:fillRect/>
                    </a:stretch>
                  </pic:blipFill>
                  <pic:spPr>
                    <a:xfrm>
                      <a:off x="0" y="0"/>
                      <a:ext cx="5943600" cy="3255589"/>
                    </a:xfrm>
                    <a:prstGeom prst="rect">
                      <a:avLst/>
                    </a:prstGeom>
                  </pic:spPr>
                </pic:pic>
              </a:graphicData>
            </a:graphic>
          </wp:inline>
        </w:drawing>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2160"/>
        <w:gridCol w:w="4680"/>
      </w:tblGrid>
      <w:tr>
        <w:tc>
          <w:tcPr>
            <w:tcW w:type="dxa" w:w="2520"/>
            <w:tcBorders>
              <w:top w:val="single" w:color="CCCCCC" w:sz="1"/>
              <w:left w:val="single" w:color="CCCCCC" w:sz="1"/>
              <w:bottom w:val="single" w:color="CCCCCC" w:sz="1"/>
              <w:right w:val="single" w:color="CCCCCC" w:sz="1"/>
            </w:tcBorders>
            <w:shd w:fill="2D3E8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Dashboard Panel</w:t>
            </w:r>
          </w:p>
        </w:tc>
        <w:tc>
          <w:tcPr>
            <w:tcW w:type="dxa" w:w="2160"/>
            <w:tcBorders>
              <w:top w:val="single" w:color="CCCCCC" w:sz="1"/>
              <w:left w:val="single" w:color="CCCCCC" w:sz="1"/>
              <w:bottom w:val="single" w:color="CCCCCC" w:sz="1"/>
              <w:right w:val="single" w:color="CCCCCC" w:sz="1"/>
            </w:tcBorders>
            <w:shd w:fill="2D3E8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Visualization</w:t>
            </w:r>
          </w:p>
        </w:tc>
        <w:tc>
          <w:tcPr>
            <w:tcW w:type="dxa" w:w="4680"/>
            <w:tcBorders>
              <w:top w:val="single" w:color="CCCCCC" w:sz="1"/>
              <w:left w:val="single" w:color="CCCCCC" w:sz="1"/>
              <w:bottom w:val="single" w:color="CCCCCC" w:sz="1"/>
              <w:right w:val="single" w:color="CCCCCC" w:sz="1"/>
            </w:tcBorders>
            <w:shd w:fill="2D3E8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Key Insight</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Revenue By Category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Bar Chart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Clothing leads; Outerwear is lowest</w:t>
            </w:r>
          </w:p>
        </w:tc>
      </w:tr>
      <w:tr>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Subscription Status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Donut Chart</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73% Non-subscribers, 27% Subscribers</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Customer Count by Category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Bar Chart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Clothing has highest customer count (~1,750)</w:t>
            </w:r>
          </w:p>
        </w:tc>
      </w:tr>
      <w:tr>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Revenue By Age Group</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Horizontal Bar</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Young Adults top revenue contributor</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Sales By Age Group</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Horizontal Bar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Young Adults and Middle-aged lead in volume</w:t>
            </w:r>
          </w:p>
        </w:tc>
      </w:tr>
      <w:tr>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KPI Cards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Metric Cards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3.9K customers | $59.76 avg spend | 3.75 avg rating</w:t>
            </w:r>
          </w:p>
        </w:tc>
      </w:tr>
    </w:tbl>
    <w:p>
      <w:pPr>
        <w:spacing w:after="100" w:before="100"/>
      </w:pPr>
      <w:r>
        <w:t xml:space="preserve"/>
      </w:r>
    </w:p>
    <w:p>
      <w:pPr>
        <w:spacing w:after="80" w:before="80"/>
      </w:pPr>
      <w:r>
        <w:rPr>
          <w:rFonts w:ascii="Arial" w:cs="Arial" w:eastAsia="Arial" w:hAnsi="Arial"/>
          <w:sz w:val="20"/>
          <w:szCs w:val="20"/>
        </w:rPr>
        <w:t xml:space="preserve">The dashboard includes interactive filters for Subscription Status, Gender, Category, and Shipping Type, enabling drill-down analysis across all dimensions simultaneously.</w:t>
      </w:r>
    </w:p>
    <w:p>
      <w:pPr>
        <w:spacing w:after="100" w:before="100"/>
      </w:pPr>
      <w:r>
        <w:t xml:space="preserve"/>
      </w:r>
    </w:p>
    <w:p>
      <w:pPr>
        <w:pStyle w:val="Heading1"/>
        <w:pBdr>
          <w:bottom w:val="single" w:color="2D3E8F" w:sz="4" w:space="4"/>
        </w:pBdr>
        <w:spacing w:after="160" w:before="360"/>
      </w:pPr>
      <w:r>
        <w:rPr>
          <w:rFonts w:ascii="Arial" w:cs="Arial" w:eastAsia="Arial" w:hAnsi="Arial"/>
          <w:b/>
          <w:bCs/>
          <w:color w:val="2D3E8F"/>
          <w:sz w:val="32"/>
          <w:szCs w:val="32"/>
        </w:rPr>
        <w:t xml:space="preserve">6. Key Business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4212"/>
        <w:gridCol w:w="4680"/>
      </w:tblGrid>
      <w:tr>
        <w:tc>
          <w:tcPr>
            <w:tcW w:type="dxa" w:w="468"/>
            <w:tcBorders>
              <w:top w:val="single" w:color="CCCCCC" w:sz="1"/>
              <w:left w:val="single" w:color="CCCCCC" w:sz="1"/>
              <w:bottom w:val="single" w:color="CCCCCC" w:sz="1"/>
              <w:right w:val="single" w:color="CCCCCC" w:sz="1"/>
            </w:tcBorders>
            <w:shd w:fill="2D3E8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tcW w:type="dxa" w:w="4212"/>
            <w:tcBorders>
              <w:top w:val="single" w:color="CCCCCC" w:sz="1"/>
              <w:left w:val="single" w:color="CCCCCC" w:sz="1"/>
              <w:bottom w:val="single" w:color="CCCCCC" w:sz="1"/>
              <w:right w:val="single" w:color="CCCCCC" w:sz="1"/>
            </w:tcBorders>
            <w:shd w:fill="2D3E8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Recommendation</w:t>
            </w:r>
          </w:p>
        </w:tc>
        <w:tc>
          <w:tcPr>
            <w:tcW w:type="dxa" w:w="4680"/>
            <w:tcBorders>
              <w:top w:val="single" w:color="CCCCCC" w:sz="1"/>
              <w:left w:val="single" w:color="CCCCCC" w:sz="1"/>
              <w:bottom w:val="single" w:color="CCCCCC" w:sz="1"/>
              <w:right w:val="single" w:color="CCCCCC" w:sz="1"/>
            </w:tcBorders>
            <w:shd w:fill="2D3E8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Basis</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1</w:t>
            </w:r>
          </w:p>
        </w:tc>
        <w:tc>
          <w:tcPr>
            <w:tcW w:type="dxa" w:w="4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Target male customers with premium product lines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Males drive 68% of revenue</w:t>
            </w:r>
          </w:p>
        </w:tc>
      </w:tr>
      <w:tr>
        <w:tc>
          <w:tcPr>
            <w:tcW w:type="dxa" w:w="46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2</w:t>
            </w:r>
          </w:p>
        </w:tc>
        <w:tc>
          <w:tcPr>
            <w:tcW w:type="dxa" w:w="421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Prioritize Clothing and Accessories inventory</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Combined ~75% of total sales</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3</w:t>
            </w:r>
          </w:p>
        </w:tc>
        <w:tc>
          <w:tcPr>
            <w:tcW w:type="dxa" w:w="4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Launch subscription conversion campaigns for repeat buyers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Repeat buyers largely unsubscribed</w:t>
            </w:r>
          </w:p>
        </w:tc>
      </w:tr>
      <w:tr>
        <w:tc>
          <w:tcPr>
            <w:tcW w:type="dxa" w:w="46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4</w:t>
            </w:r>
          </w:p>
        </w:tc>
        <w:tc>
          <w:tcPr>
            <w:tcW w:type="dxa" w:w="421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Offer express shipping upsells at checkout</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Express buyers spend more on average</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5</w:t>
            </w:r>
          </w:p>
        </w:tc>
        <w:tc>
          <w:tcPr>
            <w:tcW w:type="dxa" w:w="4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Invest in cross-age marketing — all groups spend similarly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Balanced revenue across all age bands</w:t>
            </w:r>
          </w:p>
        </w:tc>
      </w:tr>
      <w:tr>
        <w:tc>
          <w:tcPr>
            <w:tcW w:type="dxa" w:w="46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6</w:t>
            </w:r>
          </w:p>
        </w:tc>
        <w:tc>
          <w:tcPr>
            <w:tcW w:type="dxa" w:w="421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Focus on maintaining quality in Gloves, Sandals, and Boots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Consistently highest-rated products</w:t>
            </w:r>
          </w:p>
        </w:tc>
      </w:tr>
    </w:tbl>
    <w:p>
      <w:pPr>
        <w:spacing w:after="100" w:before="100"/>
      </w:pPr>
      <w:r>
        <w:t xml:space="preserve"/>
      </w:r>
    </w:p>
    <w:p>
      <w:pPr>
        <w:pStyle w:val="Heading1"/>
        <w:pBdr>
          <w:bottom w:val="single" w:color="2D3E8F" w:sz="4" w:space="4"/>
        </w:pBdr>
        <w:spacing w:after="160" w:before="360"/>
      </w:pPr>
      <w:r>
        <w:rPr>
          <w:rFonts w:ascii="Arial" w:cs="Arial" w:eastAsia="Arial" w:hAnsi="Arial"/>
          <w:b/>
          <w:bCs/>
          <w:color w:val="2D3E8F"/>
          <w:sz w:val="32"/>
          <w:szCs w:val="32"/>
        </w:rPr>
        <w:t xml:space="preserve">Conclusion</w:t>
      </w:r>
    </w:p>
    <w:p>
      <w:pPr>
        <w:spacing w:after="80" w:before="80"/>
      </w:pPr>
      <w:r>
        <w:rPr>
          <w:rFonts w:ascii="Arial" w:cs="Arial" w:eastAsia="Arial" w:hAnsi="Arial"/>
          <w:sz w:val="20"/>
          <w:szCs w:val="20"/>
        </w:rPr>
        <w:t xml:space="preserve">This end-to-end analysis of 3,900 customer transactions — from raw data cleaning in Python, through SQL querying in PostgreSQL, to visual storytelling in Power BI — reveals a business where clothing dominates sales, male customers drive the majority of revenue, and subscription adoption remains an underutilized growth lever. The insights and recommendations in this report can directly inform product, marketing, and customer retention strategies.</w:t>
      </w:r>
    </w:p>
    <w:p>
      <w:pPr>
        <w:spacing w:after="100" w:before="100"/>
      </w:pPr>
      <w:r>
        <w:t xml:space="preserve"/>
      </w:r>
    </w:p>
    <w:p>
      <w:pPr>
        <w:pBdr>
          <w:top w:val="single" w:color="2D3E8F" w:sz="6"/>
        </w:pBdr>
        <w:spacing w:after="80" w:before="240"/>
        <w:jc w:val="center"/>
      </w:pPr>
      <w:r>
        <w:rPr>
          <w:rFonts w:ascii="Arial" w:cs="Arial" w:eastAsia="Arial" w:hAnsi="Arial"/>
          <w:i/>
          <w:iCs/>
          <w:color w:val="888888"/>
          <w:sz w:val="18"/>
          <w:szCs w:val="18"/>
        </w:rPr>
        <w:t xml:space="preserve">— End of Report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 Confidential –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3E8F" w:sz="4" w:space="4"/>
      </w:pBdr>
      <w:tabs>
        <w:tab w:val="right" w:pos="9026"/>
      </w:tabs>
    </w:pPr>
    <w:r>
      <w:rPr>
        <w:rFonts w:ascii="Arial" w:cs="Arial" w:eastAsia="Arial" w:hAnsi="Arial"/>
        <w:b/>
        <w:bCs/>
        <w:color w:val="2D3E8F"/>
        <w:sz w:val="20"/>
        <w:szCs w:val="20"/>
      </w:rPr>
      <w:t xml:space="preserve">Customer Shopping Behavior Analysis Report</w:t>
    </w:r>
    <w:r>
      <w:rPr>
        <w:rFonts w:ascii="Arial" w:cs="Arial" w:eastAsia="Arial" w:hAnsi="Arial"/>
        <w:color w:val="888888"/>
        <w:sz w:val="18"/>
        <w:szCs w:val="18"/>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2D3E8F"/>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C0392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dashboard.jp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2026-04-15T19:43:50.791Z</dcterms:created>
  <dcterms:modified xsi:type="dcterms:W3CDTF">2026-04-15T19:43:50.792Z</dcterms:modified>
</cp:coreProperties>
</file>

<file path=docProps/custom.xml><?xml version="1.0" encoding="utf-8"?>
<Properties xmlns="http://schemas.openxmlformats.org/officeDocument/2006/custom-properties" xmlns:vt="http://schemas.openxmlformats.org/officeDocument/2006/docPropsVTypes"/>
</file>