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C4607A"/>
          <w:sz w:val="40"/>
          <w:szCs w:val="40"/>
          <w:rtl/>
        </w:rPr>
        <w:t xml:space="preserve">מדריך ראיון מטפל/ת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i/>
          <w:iCs/>
          <w:color w:val="8A7A74"/>
          <w:sz w:val="20"/>
          <w:szCs w:val="20"/>
          <w:rtl/>
        </w:rPr>
        <w:t xml:space="preserve">שער שלב 0 · בדיקת סיכון הערך · Mom-Test</w:t>
      </w:r>
    </w:p>
    <w:p>
      <w:pPr>
        <w:bidi/>
        <w:spacing w:after="200" w:before="0" w:line="300"/>
        <w:jc w:val="right"/>
      </w:pPr>
      <w:r>
        <w:rPr>
          <w:rFonts w:ascii="Arial" w:cs="Arial" w:eastAsia="Arial" w:hAnsi="Arial"/>
          <w:color w:val="8A7A74"/>
          <w:sz w:val="18"/>
          <w:szCs w:val="18"/>
          <w:rtl/>
        </w:rPr>
        <w:t xml:space="preserve">Between — התייעצות חולפת · 01.07.2026</w:t>
      </w:r>
    </w:p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לפני שמתחילים — 3 חוקי ברזל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אל תזכירי את Between.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אל תתארי פתרון. עד סוף הראיון — אם בכלל.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שואלים על עבר והתנהגות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— לא על עתיד ולא על דעות. “מה עשית”, לא “היית משתמשת”.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3. 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אם שמעת את עצמך אומרת “היית משתמשת בכלי ש...” — עצרי. קיבלת נימוס, לא אמת.</w:t>
      </w:r>
    </w:p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פתיחה — מילה במילה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C4607A" w:sz="24"/>
            </w:tcBorders>
            <w:shd w:fill="FDF0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i/>
                <w:iCs/>
                <w:color w:val="2D2420"/>
                <w:sz w:val="22"/>
                <w:szCs w:val="22"/>
                <w:rtl/>
              </w:rPr>
              <w:t xml:space="preserve">“אני חוקרת איך מטפלים מתמודדים עם מקרים תקועים. אין לי מוצר למכור לך — אני רק רוצה לשמוע איך זה עובד אצלך בפועל. אפשר?”</w:t>
            </w:r>
          </w:p>
        </w:tc>
      </w:tr>
    </w:tbl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4 השאלות — לפי הסדר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ספר/י לי על הפעם האחרונה שהיית תקוע/ה על מקרה — לא ידעת מה קורה בחדר.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מה עשית?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כמה פעמים בחודש זה קורה? ומה את/ה עושה כשהסופרוויז'ן הבא רחוק?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3. 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ניסית פעם להיעזר במשהו — קולגה, ספר, ChatGPT?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מה יצא מזה?</w:t>
      </w:r>
    </w:p>
    <w:p>
      <w:pPr>
        <w:bidi/>
        <w:spacing w:after="140" w:before="0" w:line="300"/>
        <w:ind w:right="300"/>
        <w:jc w:val="right"/>
      </w:pPr>
      <w:r>
        <w:rPr>
          <w:rFonts w:ascii="Arial" w:cs="Arial" w:eastAsia="Arial" w:hAnsi="Arial"/>
          <w:color w:val="8A7A74"/>
          <w:sz w:val="20"/>
          <w:szCs w:val="20"/>
          <w:rtl/>
        </w:rPr>
        <w:t xml:space="preserve">אם אמרו ChatGPT: “זה נתן זווית אמיתית או תשובה גנרית? דוגמה אחת.”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4. 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כמה את/ה משלמ/ת על סופרוויז'ן, וכל כמה זמן?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אילו מקרים פשוט לא מגיעים לשם?</w:t>
      </w:r>
    </w:p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סגירה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“מה עוד היית רוצה שאשאל ולא שאלתי?”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 ואז לשתוק. הזהב מגיע בשקט.</w:t>
      </w:r>
    </w:p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מה מקשיבים לו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תקיעוּת ספונטנית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— מזהה את התקיעוּת/הבדידות המקצועית בעצמו/ה, בלי שדחפת.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התנהגות מפצה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— כבר מנסה לפתור (קולגה / ChatGPT / ספרים). הסימן החזק ביותר לכאב אמיתי.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color w:val="C4607A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ארנק פתוח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— מי שכבר משלם על סופרוויז'ן יקר מסמן נכונות לשלם על הקטגוריה.</w:t>
      </w:r>
    </w:p>
    <w:p>
      <w:pPr>
        <w:pageBreakBefore/>
      </w:pPr>
    </w:p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טבלת קליטה — למלא מיד אחרי כל ראיון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00"/>
        <w:gridCol w:w="1500"/>
        <w:gridCol w:w="2200"/>
        <w:gridCol w:w="1300"/>
        <w:gridCol w:w="2140"/>
      </w:tblGrid>
      <w:tr>
        <w:trPr>
          <w:tblHeader/>
        </w:trPr>
        <w:tc>
          <w:tcPr>
            <w:tcW w:type="dxa" w:w="820"/>
            <w:shd w:fill="C4607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400"/>
            <w:shd w:fill="C4607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שם / ר״ת</w:t>
            </w:r>
          </w:p>
        </w:tc>
        <w:tc>
          <w:tcPr>
            <w:tcW w:type="dxa" w:w="1500"/>
            <w:shd w:fill="C4607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תקיעוּת ספונטנית?</w:t>
            </w:r>
          </w:p>
        </w:tc>
        <w:tc>
          <w:tcPr>
            <w:tcW w:type="dxa" w:w="2200"/>
            <w:shd w:fill="C4607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התנהגות מפצה? (מה ניסה/תה)</w:t>
            </w:r>
          </w:p>
        </w:tc>
        <w:tc>
          <w:tcPr>
            <w:tcW w:type="dxa" w:w="1300"/>
            <w:shd w:fill="C4607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משלם/ת על סופרוויז'ן?</w:t>
            </w:r>
          </w:p>
        </w:tc>
        <w:tc>
          <w:tcPr>
            <w:tcW w:type="dxa" w:w="2140"/>
            <w:shd w:fill="C4607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ציטוט אחד חד</w:t>
            </w:r>
          </w:p>
        </w:tc>
      </w:tr>
      <w:tr>
        <w:tc>
          <w:tcPr>
            <w:tcW w:type="dxa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82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82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82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4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shd w:fill="FBF6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8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spacing w:line="2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bidi/>
        <w:spacing w:after="20" w:before="120" w:line="300"/>
        <w:jc w:val="right"/>
      </w:pPr>
      <w:r>
        <w:rPr>
          <w:rFonts w:ascii="Arial" w:cs="Arial" w:eastAsia="Arial" w:hAnsi="Arial"/>
          <w:color w:val="8A7A74"/>
          <w:sz w:val="20"/>
          <w:szCs w:val="20"/>
          <w:rtl/>
        </w:rPr>
        <w:t xml:space="preserve">עמודת “עובר” אחרונה למלא ידנית: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8A7A74" w:sz="24"/>
            </w:tcBorders>
            <w:shd w:fill="FBF6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D2420"/>
                <w:sz w:val="22"/>
                <w:szCs w:val="22"/>
                <w:rtl/>
              </w:rPr>
              <w:t xml:space="preserve">“עובר” = ✅ רק אם </w:t>
            </w:r>
            <w:r>
              <w:rPr>
                <w:rFonts w:ascii="Arial" w:cs="Arial" w:eastAsia="Arial" w:hAnsi="Arial"/>
                <w:b/>
                <w:bCs/>
                <w:color w:val="C4607A"/>
                <w:sz w:val="22"/>
                <w:szCs w:val="22"/>
                <w:rtl/>
              </w:rPr>
              <w:t xml:space="preserve">גם</w:t>
            </w:r>
            <w:r>
              <w:rPr>
                <w:rFonts w:ascii="Arial" w:cs="Arial" w:eastAsia="Arial" w:hAnsi="Arial"/>
                <w:color w:val="2D2420"/>
                <w:sz w:val="22"/>
                <w:szCs w:val="22"/>
                <w:rtl/>
              </w:rPr>
              <w:t xml:space="preserve"> זיהה/תה תקיעוּת בעצמו/ה (בלי שדחפת) </w:t>
            </w:r>
            <w:r>
              <w:rPr>
                <w:rFonts w:ascii="Arial" w:cs="Arial" w:eastAsia="Arial" w:hAnsi="Arial"/>
                <w:b/>
                <w:bCs/>
                <w:color w:val="C4607A"/>
                <w:sz w:val="22"/>
                <w:szCs w:val="22"/>
                <w:rtl/>
              </w:rPr>
              <w:t xml:space="preserve">וגם</w:t>
            </w:r>
            <w:r>
              <w:rPr>
                <w:rFonts w:ascii="Arial" w:cs="Arial" w:eastAsia="Arial" w:hAnsi="Arial"/>
                <w:color w:val="2D2420"/>
                <w:sz w:val="22"/>
                <w:szCs w:val="22"/>
                <w:rtl/>
              </w:rPr>
              <w:t xml:space="preserve"> כבר מנסה לפתור. שני התנאים — לא אחד.</w:t>
            </w:r>
          </w:p>
        </w:tc>
      </w:tr>
    </w:tbl>
    <w:p>
      <w:pPr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C4607A"/>
          <w:sz w:val="28"/>
          <w:szCs w:val="28"/>
          <w:rtl/>
        </w:rPr>
        <w:t xml:space="preserve">השער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5–7 ראיונות. סף מעבר: </w:t>
      </w:r>
      <w:r>
        <w:rPr>
          <w:rFonts w:ascii="Arial" w:cs="Arial" w:eastAsia="Arial" w:hAnsi="Arial"/>
          <w:b/>
          <w:bCs/>
          <w:color w:val="2D2420"/>
          <w:sz w:val="22"/>
          <w:szCs w:val="22"/>
          <w:rtl/>
        </w:rPr>
        <w:t xml:space="preserve">4+ עם ✅</w:t>
      </w:r>
      <w:r>
        <w:rPr>
          <w:rFonts w:ascii="Arial" w:cs="Arial" w:eastAsia="Arial" w:hAnsi="Arial"/>
          <w:color w:val="2D2420"/>
          <w:sz w:val="22"/>
          <w:szCs w:val="22"/>
          <w:rtl/>
        </w:rPr>
        <w:t xml:space="preserve"> → לתזה יש רגליים, ממשיכים לחלק 2. פחות — חסכנו חודשי בנייה.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color w:val="8A7A74"/>
          <w:sz w:val="20"/>
          <w:szCs w:val="20"/>
          <w:rtl/>
        </w:rPr>
        <w:t xml:space="preserve">אסור לקבע מחיר לפני ששני החלקים עוברים (חלק 2 = חזרה בפועל + churn &lt; 7%).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2026-07-01T19:14:31.658Z</dcterms:created>
  <dcterms:modified xsi:type="dcterms:W3CDTF">2026-07-01T19:14:31.658Z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