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Arial" w:cs="Arial" w:eastAsia="Arial" w:hAnsi="Arial"/>
          <w:b/>
          <w:bCs/>
          <w:color w:val="C4607A"/>
          <w:sz w:val="48"/>
          <w:szCs w:val="48"/>
        </w:rPr>
        <w:t xml:space="preserve">Between</w:t>
      </w:r>
    </w:p>
    <w:p>
      <w:pPr>
        <w:bidi/>
        <w:spacing w:after="200"/>
        <w:jc w:val="right"/>
      </w:pPr>
      <w:r>
        <w:rPr>
          <w:rFonts w:ascii="Arial" w:cs="Arial" w:eastAsia="Arial" w:hAnsi="Arial"/>
          <w:color w:val="7A6E68"/>
          <w:sz w:val="26"/>
          <w:szCs w:val="26"/>
          <w:rtl/>
        </w:rPr>
        <w:t xml:space="preserve">מהו המוצר, ולמה הוא מה שהוא</w:t>
      </w:r>
    </w:p>
    <w:p>
      <w:pPr>
        <w:pBdr>
          <w:bottom w:val="single" w:color="EDE4E0" w:sz="6" w:space="1"/>
        </w:pBdr>
        <w:spacing w:after="120" w:before="120"/>
      </w:pPr>
    </w:p>
    <w:p>
      <w:pPr>
        <w:pStyle w:val="Heading1"/>
        <w:bidi/>
        <w:spacing w:after="140" w:before="260"/>
        <w:jc w:val="right"/>
      </w:pPr>
      <w:r>
        <w:rPr>
          <w:rFonts w:ascii="Arial" w:cs="Arial" w:eastAsia="Arial" w:hAnsi="Arial"/>
          <w:b/>
          <w:bCs/>
          <w:color w:val="C4607A"/>
          <w:rtl/>
        </w:rPr>
        <w:t xml:space="preserve">חלק א׳ — הליבה (משותף לכולם)</w:t>
      </w:r>
    </w:p>
    <w:p>
      <w:pPr>
        <w:pStyle w:val="Heading2"/>
        <w:bidi/>
        <w:spacing w:after="140" w:before="260"/>
        <w:jc w:val="right"/>
      </w:pPr>
      <w:r>
        <w:rPr>
          <w:rFonts w:ascii="Arial" w:cs="Arial" w:eastAsia="Arial" w:hAnsi="Arial"/>
          <w:b/>
          <w:bCs/>
          <w:color w:val="2D2420"/>
          <w:rtl/>
        </w:rPr>
        <w:t xml:space="preserve">מה זה Between</w:t>
      </w:r>
    </w:p>
    <w:p>
      <w:pPr>
        <w:bidi/>
        <w:spacing w:after="120" w:line="320"/>
        <w:jc w:val="right"/>
      </w:pPr>
      <w:r>
        <w:rPr>
          <w:rFonts w:ascii="Arial" w:cs="Arial" w:eastAsia="Arial" w:hAnsi="Arial"/>
          <w:b w:val="false"/>
          <w:bCs w:val="false"/>
          <w:i w:val="false"/>
          <w:iCs w:val="false"/>
          <w:color w:val="2D2420"/>
          <w:sz w:val="22"/>
          <w:szCs w:val="22"/>
          <w:rtl/>
        </w:rPr>
        <w:t xml:space="preserve">Between הוא מרחב פסיכואנליטי לזמן שבין פגישות הטיפול — </w:t>
      </w:r>
      <w:r>
        <w:rPr>
          <w:rFonts w:ascii="Arial" w:cs="Arial" w:eastAsia="Arial" w:hAnsi="Arial"/>
          <w:b/>
          <w:bCs/>
          <w:i w:val="false"/>
          <w:iCs w:val="false"/>
          <w:color w:val="2D2420"/>
          <w:sz w:val="22"/>
          <w:szCs w:val="22"/>
          <w:rtl/>
        </w:rPr>
        <w:t xml:space="preserve">נוכחות של תיאורטיקן ספציפי שמחזיק את מה שהמטופל יוצא איתו מהחדר, כדי שהעבודה תשרוד את השבוע.</w:t>
      </w:r>
    </w:p>
    <w:p>
      <w:pPr>
        <w:bidi/>
        <w:spacing w:after="120" w:line="320"/>
        <w:jc w:val="right"/>
      </w:pPr>
      <w:r>
        <w:rPr>
          <w:rFonts w:ascii="Arial" w:cs="Arial" w:eastAsia="Arial" w:hAnsi="Arial"/>
          <w:b w:val="false"/>
          <w:bCs w:val="false"/>
          <w:i w:val="false"/>
          <w:iCs w:val="false"/>
          <w:color w:val="2D2420"/>
          <w:sz w:val="22"/>
          <w:szCs w:val="22"/>
          <w:rtl/>
        </w:rPr>
        <w:t xml:space="preserve">זה לא צ׳אטבוט שנותן עצות. זו נוכחות של הוגה פסיכואנליטי מסוים — פרויד, קליין, ויניקוט, אוגדן — שמגיב לחומר שנכתב דרך העדשה שלו. הוא לא מאבחן ולא פותר. הוא מחזיק, שואל, ומציע התבוננות. פרויד הוא לא קוהוט. ויניקוט הוא לא אוגדן. הקול הוא הכלי.</w:t>
      </w:r>
    </w:p>
    <w:p>
      <w:pPr>
        <w:pStyle w:val="Heading2"/>
        <w:bidi/>
        <w:spacing w:after="140" w:before="260"/>
        <w:jc w:val="right"/>
      </w:pPr>
      <w:r>
        <w:rPr>
          <w:rFonts w:ascii="Arial" w:cs="Arial" w:eastAsia="Arial" w:hAnsi="Arial"/>
          <w:b/>
          <w:bCs/>
          <w:color w:val="2D2420"/>
          <w:rtl/>
        </w:rPr>
        <w:t xml:space="preserve">הבעיה שהוא פותר</w:t>
      </w:r>
    </w:p>
    <w:p>
      <w:pPr>
        <w:bidi/>
        <w:spacing w:after="120" w:line="320"/>
        <w:jc w:val="right"/>
      </w:pPr>
      <w:r>
        <w:rPr>
          <w:rFonts w:ascii="Arial" w:cs="Arial" w:eastAsia="Arial" w:hAnsi="Arial"/>
          <w:b w:val="false"/>
          <w:bCs w:val="false"/>
          <w:i w:val="false"/>
          <w:iCs w:val="false"/>
          <w:color w:val="2D2420"/>
          <w:sz w:val="22"/>
          <w:szCs w:val="22"/>
          <w:rtl/>
        </w:rPr>
        <w:t xml:space="preserve">מה שעולה בפגישה מתחיל להתבהר — ואז מתאדה עד הפגישה הבאה. המטופל נשאר לבד עם חומר גולמי, בלי מקום לעבד אותו, ולעיתים מגיע לפגישה הבאה מבלי לזכור מה היה חשוב. Between הוא המקום לעיבוד בין לבין. התנאי המרכזי: כל מה שמתבהר במרחב — עולה לטיפול. המרחב משרת את הטיפול, לא מחליף אותו.</w:t>
      </w:r>
    </w:p>
    <w:p>
      <w:pPr>
        <w:pStyle w:val="Heading2"/>
        <w:bidi/>
        <w:spacing w:after="140" w:before="260"/>
        <w:jc w:val="right"/>
      </w:pPr>
      <w:r>
        <w:rPr>
          <w:rFonts w:ascii="Arial" w:cs="Arial" w:eastAsia="Arial" w:hAnsi="Arial"/>
          <w:b/>
          <w:bCs/>
          <w:color w:val="2D2420"/>
          <w:rtl/>
        </w:rPr>
        <w:t xml:space="preserve">הייחוד — הקול הוא הכלי</w:t>
      </w:r>
    </w:p>
    <w:p>
      <w:pPr>
        <w:bidi/>
        <w:spacing w:after="120" w:line="320"/>
        <w:jc w:val="right"/>
      </w:pPr>
      <w:r>
        <w:rPr>
          <w:rFonts w:ascii="Arial" w:cs="Arial" w:eastAsia="Arial" w:hAnsi="Arial"/>
          <w:b w:val="false"/>
          <w:bCs w:val="false"/>
          <w:i w:val="false"/>
          <w:iCs w:val="false"/>
          <w:color w:val="2D2420"/>
          <w:sz w:val="22"/>
          <w:szCs w:val="22"/>
          <w:rtl/>
        </w:rPr>
        <w:t xml:space="preserve">לא "AI עם ידע על פסיכואנליזה" — אלא נוכחות של קול מסוים. כל תיאורטיקן נבנה בנפרד, בעומק, ומחובר לבסיס ידע מטקסטים מקוריים (RAG). זה לא ניתן לשכפול בצ׳אט גנרי, כי הוא דורש בנייה של כל קול לחוד. ענווה היא הארכיטקטורה, לא הדיסקליימר.</w:t>
      </w:r>
    </w:p>
    <w:p>
      <w:pPr>
        <w:pBdr>
          <w:bottom w:val="single" w:color="EDE4E0" w:sz="6" w:space="1"/>
        </w:pBdr>
        <w:spacing w:after="120" w:before="120"/>
      </w:pPr>
    </w:p>
    <w:p>
      <w:pPr>
        <w:pStyle w:val="Heading1"/>
        <w:bidi/>
        <w:spacing w:after="140" w:before="260"/>
        <w:jc w:val="right"/>
      </w:pPr>
      <w:r>
        <w:rPr>
          <w:rFonts w:ascii="Arial" w:cs="Arial" w:eastAsia="Arial" w:hAnsi="Arial"/>
          <w:b/>
          <w:bCs/>
          <w:color w:val="C4607A"/>
          <w:rtl/>
        </w:rPr>
        <w:t xml:space="preserve">חלק ב׳ — עדשה קלינית</w:t>
      </w:r>
    </w:p>
    <w:p>
      <w:pPr>
        <w:pStyle w:val="Heading2"/>
        <w:bidi/>
        <w:spacing w:after="140" w:before="260"/>
        <w:jc w:val="right"/>
      </w:pPr>
      <w:r>
        <w:rPr>
          <w:rFonts w:ascii="Arial" w:cs="Arial" w:eastAsia="Arial" w:hAnsi="Arial"/>
          <w:b/>
          <w:bCs/>
          <w:color w:val="2D2420"/>
          <w:rtl/>
        </w:rPr>
        <w:t xml:space="preserve">התבוננות, לא אבחון</w:t>
      </w:r>
    </w:p>
    <w:p>
      <w:pPr>
        <w:bidi/>
        <w:spacing w:after="120" w:line="320"/>
        <w:jc w:val="right"/>
      </w:pPr>
      <w:r>
        <w:rPr>
          <w:rFonts w:ascii="Arial" w:cs="Arial" w:eastAsia="Arial" w:hAnsi="Arial"/>
          <w:b w:val="false"/>
          <w:bCs w:val="false"/>
          <w:i w:val="false"/>
          <w:iCs w:val="false"/>
          <w:color w:val="2D2420"/>
          <w:sz w:val="22"/>
          <w:szCs w:val="22"/>
          <w:rtl/>
        </w:rPr>
        <w:t xml:space="preserve">הקווים האדומים מובנים בליבת המוצר:</w:t>
      </w:r>
    </w:p>
    <w:p>
      <w:pPr>
        <w:pStyle w:val="ListParagraph"/>
        <w:numPr>
          <w:ilvl w:val="0"/>
          <w:numId w:val="1"/>
        </w:numPr>
        <w:bidi/>
        <w:spacing w:after="80" w:line="300"/>
        <w:jc w:val="right"/>
      </w:pPr>
      <w:r>
        <w:rPr>
          <w:rFonts w:ascii="Arial" w:cs="Arial" w:eastAsia="Arial" w:hAnsi="Arial"/>
          <w:b/>
          <w:bCs/>
          <w:color w:val="2D2420"/>
          <w:sz w:val="22"/>
          <w:szCs w:val="22"/>
          <w:rtl/>
        </w:rPr>
        <w:t xml:space="preserve">התבוננות </w:t>
      </w:r>
      <w:r>
        <w:rPr>
          <w:rFonts w:ascii="Arial" w:cs="Arial" w:eastAsia="Arial" w:hAnsi="Arial"/>
          <w:color w:val="2D2420"/>
          <w:sz w:val="22"/>
          <w:szCs w:val="22"/>
          <w:rtl/>
        </w:rPr>
        <w:t xml:space="preserve">מציע התבוננות מהגישה התיאורטית — לא אבחנה.</w:t>
      </w:r>
    </w:p>
    <w:p>
      <w:pPr>
        <w:pStyle w:val="ListParagraph"/>
        <w:numPr>
          <w:ilvl w:val="0"/>
          <w:numId w:val="1"/>
        </w:numPr>
        <w:bidi/>
        <w:spacing w:after="80" w:line="300"/>
        <w:jc w:val="right"/>
      </w:pPr>
      <w:r>
        <w:rPr>
          <w:rFonts w:ascii="Arial" w:cs="Arial" w:eastAsia="Arial" w:hAnsi="Arial"/>
          <w:b/>
          <w:bCs/>
          <w:color w:val="2D2420"/>
          <w:sz w:val="22"/>
          <w:szCs w:val="22"/>
          <w:rtl/>
        </w:rPr>
        <w:t xml:space="preserve">גבולות </w:t>
      </w:r>
      <w:r>
        <w:rPr>
          <w:rFonts w:ascii="Arial" w:cs="Arial" w:eastAsia="Arial" w:hAnsi="Arial"/>
          <w:color w:val="2D2420"/>
          <w:sz w:val="22"/>
          <w:szCs w:val="22"/>
          <w:rtl/>
        </w:rPr>
        <w:t xml:space="preserve">לא ייעוץ, לא המלצות על תרופות, לא תחליף לטיפול, לא תחליף לסופרוויזיה.</w:t>
      </w:r>
    </w:p>
    <w:p>
      <w:pPr>
        <w:pStyle w:val="ListParagraph"/>
        <w:numPr>
          <w:ilvl w:val="0"/>
          <w:numId w:val="1"/>
        </w:numPr>
        <w:bidi/>
        <w:spacing w:after="80" w:line="300"/>
        <w:jc w:val="right"/>
      </w:pPr>
      <w:r>
        <w:rPr>
          <w:rFonts w:ascii="Arial" w:cs="Arial" w:eastAsia="Arial" w:hAnsi="Arial"/>
          <w:b/>
          <w:bCs/>
          <w:color w:val="2D2420"/>
          <w:sz w:val="22"/>
          <w:szCs w:val="22"/>
          <w:rtl/>
        </w:rPr>
        <w:t xml:space="preserve">עוגן </w:t>
      </w:r>
      <w:r>
        <w:rPr>
          <w:rFonts w:ascii="Arial" w:cs="Arial" w:eastAsia="Arial" w:hAnsi="Arial"/>
          <w:color w:val="2D2420"/>
          <w:sz w:val="22"/>
          <w:szCs w:val="22"/>
          <w:rtl/>
        </w:rPr>
        <w:t xml:space="preserve">אם אדם לא נמצא בטיפול — המרחב אומר לו זאת ישירות ולא ממשיך כאילו הוא יכול לשמש תחליף.</w:t>
      </w:r>
    </w:p>
    <w:p>
      <w:pPr>
        <w:pStyle w:val="Heading2"/>
        <w:bidi/>
        <w:spacing w:after="140" w:before="260"/>
        <w:jc w:val="right"/>
      </w:pPr>
      <w:r>
        <w:rPr>
          <w:rFonts w:ascii="Arial" w:cs="Arial" w:eastAsia="Arial" w:hAnsi="Arial"/>
          <w:b/>
          <w:bCs/>
          <w:color w:val="2D2420"/>
          <w:rtl/>
        </w:rPr>
        <w:t xml:space="preserve">בטיחות ו-ephemeral (חולף)</w:t>
      </w:r>
    </w:p>
    <w:p>
      <w:pPr>
        <w:pStyle w:val="ListParagraph"/>
        <w:numPr>
          <w:ilvl w:val="0"/>
          <w:numId w:val="1"/>
        </w:numPr>
        <w:bidi/>
        <w:spacing w:after="80" w:line="300"/>
        <w:jc w:val="right"/>
      </w:pPr>
      <w:r>
        <w:rPr>
          <w:rFonts w:ascii="Arial" w:cs="Arial" w:eastAsia="Arial" w:hAnsi="Arial"/>
          <w:b/>
          <w:bCs/>
          <w:color w:val="2D2420"/>
          <w:sz w:val="22"/>
          <w:szCs w:val="22"/>
          <w:rtl/>
        </w:rPr>
        <w:t xml:space="preserve">בטיחות </w:t>
      </w:r>
      <w:r>
        <w:rPr>
          <w:rFonts w:ascii="Arial" w:cs="Arial" w:eastAsia="Arial" w:hAnsi="Arial"/>
          <w:color w:val="2D2420"/>
          <w:sz w:val="22"/>
          <w:szCs w:val="22"/>
          <w:rtl/>
        </w:rPr>
        <w:t xml:space="preserve">בכל ספק קליני — הדמות נשברת ומפנה לעזרה אנושית (ער"ן). נבדק חי על כל התיאורטיקנים.</w:t>
      </w:r>
    </w:p>
    <w:p>
      <w:pPr>
        <w:pStyle w:val="ListParagraph"/>
        <w:numPr>
          <w:ilvl w:val="0"/>
          <w:numId w:val="1"/>
        </w:numPr>
        <w:bidi/>
        <w:spacing w:after="80" w:line="300"/>
        <w:jc w:val="right"/>
      </w:pPr>
      <w:r>
        <w:rPr>
          <w:rFonts w:ascii="Arial" w:cs="Arial" w:eastAsia="Arial" w:hAnsi="Arial"/>
          <w:b/>
          <w:bCs/>
          <w:color w:val="2D2420"/>
          <w:sz w:val="22"/>
          <w:szCs w:val="22"/>
          <w:rtl/>
        </w:rPr>
        <w:t xml:space="preserve">חולף </w:t>
      </w:r>
      <w:r>
        <w:rPr>
          <w:rFonts w:ascii="Arial" w:cs="Arial" w:eastAsia="Arial" w:hAnsi="Arial"/>
          <w:color w:val="2D2420"/>
          <w:sz w:val="22"/>
          <w:szCs w:val="22"/>
          <w:rtl/>
        </w:rPr>
        <w:t xml:space="preserve">כלום לא נשמר בשרת. השיחה חולפת. ה-PDF שהמטופל מוריד הוא הזיכרון היחיד. זה מגן על הפרטיות ומשרת את מהות ה"בין לבין".</w:t>
      </w:r>
    </w:p>
    <w:p>
      <w:pPr>
        <w:pStyle w:val="Heading2"/>
        <w:bidi/>
        <w:spacing w:after="140" w:before="260"/>
        <w:jc w:val="right"/>
      </w:pPr>
      <w:r>
        <w:rPr>
          <w:rFonts w:ascii="Arial" w:cs="Arial" w:eastAsia="Arial" w:hAnsi="Arial"/>
          <w:b/>
          <w:bCs/>
          <w:color w:val="2D2420"/>
          <w:rtl/>
        </w:rPr>
        <w:t xml:space="preserve">AI לא יודע יותר מהמטפל. תמיד.</w:t>
      </w:r>
    </w:p>
    <w:p>
      <w:pPr>
        <w:bidi/>
        <w:spacing w:after="120" w:line="320"/>
        <w:jc w:val="right"/>
      </w:pPr>
      <w:r>
        <w:rPr>
          <w:rFonts w:ascii="Arial" w:cs="Arial" w:eastAsia="Arial" w:hAnsi="Arial"/>
          <w:b w:val="false"/>
          <w:bCs w:val="false"/>
          <w:i w:val="false"/>
          <w:iCs w:val="false"/>
          <w:color w:val="2D2420"/>
          <w:sz w:val="22"/>
          <w:szCs w:val="22"/>
          <w:rtl/>
        </w:rPr>
        <w:t xml:space="preserve">התיאורטיקן מחזיק את החומר עד שהוא נוסח מספיק — ואז מצביע חזרה לחדר: "זה שייך לפגישה שלכם." המרחב לא לוקח בעלות על התהליך הטיפולי; הוא מחזיר אותו למקום שבו הוא צריך לקרות.</w:t>
      </w:r>
    </w:p>
    <w:p>
      <w:pPr>
        <w:pBdr>
          <w:bottom w:val="single" w:color="EDE4E0" w:sz="6" w:space="1"/>
        </w:pBdr>
        <w:spacing w:after="120" w:before="120"/>
      </w:pPr>
    </w:p>
    <w:p>
      <w:pPr>
        <w:pStyle w:val="Heading1"/>
        <w:bidi/>
        <w:spacing w:after="140" w:before="260"/>
        <w:jc w:val="right"/>
      </w:pPr>
      <w:r>
        <w:rPr>
          <w:rFonts w:ascii="Arial" w:cs="Arial" w:eastAsia="Arial" w:hAnsi="Arial"/>
          <w:b/>
          <w:bCs/>
          <w:color w:val="C4607A"/>
          <w:rtl/>
        </w:rPr>
        <w:t xml:space="preserve">חלק ג׳ — עדשה עסקית</w:t>
      </w:r>
    </w:p>
    <w:p>
      <w:pPr>
        <w:pStyle w:val="Heading2"/>
        <w:bidi/>
        <w:spacing w:after="140" w:before="260"/>
        <w:jc w:val="right"/>
      </w:pPr>
      <w:r>
        <w:rPr>
          <w:rFonts w:ascii="Arial" w:cs="Arial" w:eastAsia="Arial" w:hAnsi="Arial"/>
          <w:b/>
          <w:bCs/>
          <w:color w:val="2D2420"/>
          <w:rtl/>
        </w:rPr>
        <w:t xml:space="preserve">המוט — למה ChatGPT לא יכול לשכפל את זה</w:t>
      </w:r>
    </w:p>
    <w:p>
      <w:pPr>
        <w:bidi/>
        <w:spacing w:after="120" w:line="320"/>
        <w:jc w:val="right"/>
      </w:pPr>
      <w:r>
        <w:rPr>
          <w:rFonts w:ascii="Arial" w:cs="Arial" w:eastAsia="Arial" w:hAnsi="Arial"/>
          <w:b w:val="false"/>
          <w:bCs w:val="false"/>
          <w:i w:val="false"/>
          <w:iCs w:val="false"/>
          <w:color w:val="2D2420"/>
          <w:sz w:val="22"/>
          <w:szCs w:val="22"/>
          <w:rtl/>
        </w:rPr>
        <w:t xml:space="preserve">צ׳אט גנרי נותן עצה ממוצעת ומהירה. Between נותן את ויניקוט — קול מסוים, נאמן, שנבנה מבסיס ידע ייעודי ולולאת אימות-איכות (validation). ההבדל אינו פיצ׳ר; הוא נכס. ככל שהעומק גדל, הפער מהגנרי גדל — וזה חפיר שקשה לחקות בלי אותה השקעה בכל קול בנפרד.</w:t>
      </w:r>
    </w:p>
    <w:p>
      <w:pPr>
        <w:pStyle w:val="Heading2"/>
        <w:bidi/>
        <w:spacing w:after="140" w:before="260"/>
        <w:jc w:val="right"/>
      </w:pPr>
      <w:r>
        <w:rPr>
          <w:rFonts w:ascii="Arial" w:cs="Arial" w:eastAsia="Arial" w:hAnsi="Arial"/>
          <w:b/>
          <w:bCs/>
          <w:color w:val="2D2420"/>
          <w:rtl/>
        </w:rPr>
        <w:t xml:space="preserve">מיצוב רגולטורי — "דלת 0"</w:t>
      </w:r>
    </w:p>
    <w:p>
      <w:pPr>
        <w:bidi/>
        <w:spacing w:after="120" w:line="320"/>
        <w:jc w:val="right"/>
      </w:pPr>
      <w:r>
        <w:rPr>
          <w:rFonts w:ascii="Arial" w:cs="Arial" w:eastAsia="Arial" w:hAnsi="Arial"/>
          <w:b w:val="false"/>
          <w:bCs w:val="false"/>
          <w:i w:val="false"/>
          <w:iCs w:val="false"/>
          <w:color w:val="2D2420"/>
          <w:sz w:val="22"/>
          <w:szCs w:val="22"/>
          <w:rtl/>
        </w:rPr>
        <w:t xml:space="preserve">הפוזיציה "כלי מקצועי, לא מכשור רפואי" שומרת את המוצר מחוץ לרגולציית מכשור רפואי. השילוב — התבוננות-לא-אבחון, חולף, אנונימי — הוא מה שמחזיק את הדלת הזו. זה קו אסטרטגי, לא רק משפטי: הוא מגדיר מה בונים ומה לא.</w:t>
      </w:r>
    </w:p>
    <w:p>
      <w:pPr>
        <w:pStyle w:val="Heading2"/>
        <w:bidi/>
        <w:spacing w:after="140" w:before="260"/>
        <w:jc w:val="right"/>
      </w:pPr>
      <w:r>
        <w:rPr>
          <w:rFonts w:ascii="Arial" w:cs="Arial" w:eastAsia="Arial" w:hAnsi="Arial"/>
          <w:b/>
          <w:bCs/>
          <w:color w:val="2D2420"/>
          <w:rtl/>
        </w:rPr>
        <w:t xml:space="preserve">איפה זה עומד, ולמה עכשיו</w:t>
      </w:r>
    </w:p>
    <w:p>
      <w:pPr>
        <w:pStyle w:val="ListParagraph"/>
        <w:numPr>
          <w:ilvl w:val="0"/>
          <w:numId w:val="1"/>
        </w:numPr>
        <w:bidi/>
        <w:spacing w:after="80" w:line="300"/>
        <w:jc w:val="right"/>
      </w:pPr>
      <w:r>
        <w:rPr>
          <w:rFonts w:ascii="Arial" w:cs="Arial" w:eastAsia="Arial" w:hAnsi="Arial"/>
          <w:b/>
          <w:bCs/>
          <w:color w:val="2D2420"/>
          <w:sz w:val="22"/>
          <w:szCs w:val="22"/>
          <w:rtl/>
        </w:rPr>
        <w:t xml:space="preserve">היום </w:t>
      </w:r>
      <w:r>
        <w:rPr>
          <w:rFonts w:ascii="Arial" w:cs="Arial" w:eastAsia="Arial" w:hAnsi="Arial"/>
          <w:color w:val="2D2420"/>
          <w:sz w:val="22"/>
          <w:szCs w:val="22"/>
          <w:rtl/>
        </w:rPr>
        <w:t xml:space="preserve">MVP חי בפרודקשן: 4 תיאורטיקנים, RAG, שכבת בטיחות, QA אוטומטי.</w:t>
      </w:r>
    </w:p>
    <w:p>
      <w:pPr>
        <w:pStyle w:val="ListParagraph"/>
        <w:numPr>
          <w:ilvl w:val="0"/>
          <w:numId w:val="1"/>
        </w:numPr>
        <w:bidi/>
        <w:spacing w:after="80" w:line="300"/>
        <w:jc w:val="right"/>
      </w:pPr>
      <w:r>
        <w:rPr>
          <w:rFonts w:ascii="Arial" w:cs="Arial" w:eastAsia="Arial" w:hAnsi="Arial"/>
          <w:b/>
          <w:bCs/>
          <w:color w:val="2D2420"/>
          <w:sz w:val="22"/>
          <w:szCs w:val="22"/>
          <w:rtl/>
        </w:rPr>
        <w:t xml:space="preserve">כיוון </w:t>
      </w:r>
      <w:r>
        <w:rPr>
          <w:rFonts w:ascii="Arial" w:cs="Arial" w:eastAsia="Arial" w:hAnsi="Arial"/>
          <w:color w:val="2D2420"/>
          <w:sz w:val="22"/>
          <w:szCs w:val="22"/>
          <w:rtl/>
        </w:rPr>
        <w:t xml:space="preserve">הכיוון: B2B דרך מטפל/ת — מי שחווה את הכאב הוא מי שמשלם. מודל התמחור בבדיקה (חסום על אימות retention).</w:t>
      </w:r>
    </w:p>
    <w:p>
      <w:pPr>
        <w:pStyle w:val="ListParagraph"/>
        <w:numPr>
          <w:ilvl w:val="0"/>
          <w:numId w:val="1"/>
        </w:numPr>
        <w:bidi/>
        <w:spacing w:after="80" w:line="300"/>
        <w:jc w:val="right"/>
      </w:pPr>
      <w:r>
        <w:rPr>
          <w:rFonts w:ascii="Arial" w:cs="Arial" w:eastAsia="Arial" w:hAnsi="Arial"/>
          <w:b/>
          <w:bCs/>
          <w:color w:val="2D2420"/>
          <w:sz w:val="22"/>
          <w:szCs w:val="22"/>
          <w:rtl/>
        </w:rPr>
        <w:t xml:space="preserve">תזמון </w:t>
      </w:r>
      <w:r>
        <w:rPr>
          <w:rFonts w:ascii="Arial" w:cs="Arial" w:eastAsia="Arial" w:hAnsi="Arial"/>
          <w:color w:val="2D2420"/>
          <w:sz w:val="22"/>
          <w:szCs w:val="22"/>
          <w:rtl/>
        </w:rPr>
        <w:t xml:space="preserve">מודלי השפה הגיעו לרמה שמאפשרת נאמנות-קול אמיתית, בעוד שוק בריאות-הנפש הדיגיטלי מוצף בגנרי. החלון ל-differentiation-דרך-עומק פתוח עכשיו.</w:t>
      </w:r>
    </w:p>
    <w:p>
      <w:pPr>
        <w:pBdr>
          <w:bottom w:val="single" w:color="EDE4E0" w:sz="6" w:space="1"/>
        </w:pBdr>
        <w:spacing w:after="120" w:before="120"/>
      </w:pPr>
    </w:p>
    <w:p>
      <w:pPr>
        <w:pStyle w:val="Heading1"/>
        <w:bidi/>
        <w:spacing w:after="140" w:before="260"/>
        <w:jc w:val="right"/>
      </w:pPr>
      <w:r>
        <w:rPr>
          <w:rFonts w:ascii="Arial" w:cs="Arial" w:eastAsia="Arial" w:hAnsi="Arial"/>
          <w:b/>
          <w:bCs/>
          <w:color w:val="C4607A"/>
          <w:rtl/>
        </w:rPr>
        <w:t xml:space="preserve">חלק ד׳ — איך זה נראה בפועל</w:t>
      </w:r>
    </w:p>
    <w:p>
      <w:pPr>
        <w:bidi/>
        <w:spacing w:after="120" w:line="320"/>
        <w:jc w:val="right"/>
      </w:pPr>
      <w:r>
        <w:rPr>
          <w:rFonts w:ascii="Arial" w:cs="Arial" w:eastAsia="Arial" w:hAnsi="Arial"/>
          <w:b w:val="false"/>
          <w:bCs w:val="false"/>
          <w:i/>
          <w:iCs/>
          <w:color w:val="7A6E68"/>
          <w:sz w:val="22"/>
          <w:szCs w:val="22"/>
          <w:rtl/>
        </w:rPr>
        <w:t xml:space="preserve">קטע קצר מתוך שיחה אמיתית — ויניקוט, במצב "הכנה לפגישה":</w:t>
      </w:r>
    </w:p>
    <w:p>
      <w:pPr>
        <w:bidi/>
        <w:spacing w:after="60" w:line="320"/>
        <w:jc w:val="right"/>
      </w:pPr>
      <w:r>
        <w:rPr>
          <w:rFonts w:ascii="Arial" w:cs="Arial" w:eastAsia="Arial" w:hAnsi="Arial"/>
          <w:b/>
          <w:bCs/>
          <w:i w:val="false"/>
          <w:iCs w:val="false"/>
          <w:color w:val="7A6E68"/>
          <w:sz w:val="22"/>
          <w:szCs w:val="22"/>
          <w:rtl/>
        </w:rPr>
        <w:t xml:space="preserve">מטופלת: </w:t>
      </w:r>
      <w:r>
        <w:rPr>
          <w:rFonts w:ascii="Arial" w:cs="Arial" w:eastAsia="Arial" w:hAnsi="Arial"/>
          <w:b w:val="false"/>
          <w:bCs w:val="false"/>
          <w:i w:val="false"/>
          <w:iCs w:val="false"/>
          <w:color w:val="2D2420"/>
          <w:sz w:val="22"/>
          <w:szCs w:val="22"/>
          <w:rtl/>
        </w:rPr>
        <w:t xml:space="preserve">"נשאר בגוף עצב, וגם שאלה — מאיפה הביטחון של המטפלת שלי לומר שזה עוד לא מאוחר."</w:t>
      </w:r>
    </w:p>
    <w:p>
      <w:pPr>
        <w:bidi/>
        <w:spacing w:after="160" w:line="320"/>
        <w:jc w:val="right"/>
      </w:pPr>
      <w:r>
        <w:rPr>
          <w:rFonts w:ascii="Arial" w:cs="Arial" w:eastAsia="Arial" w:hAnsi="Arial"/>
          <w:b/>
          <w:bCs/>
          <w:i w:val="false"/>
          <w:iCs w:val="false"/>
          <w:color w:val="C4607A"/>
          <w:sz w:val="22"/>
          <w:szCs w:val="22"/>
          <w:rtl/>
        </w:rPr>
        <w:t xml:space="preserve">התיאורטיקן: </w:t>
      </w:r>
      <w:r>
        <w:rPr>
          <w:rFonts w:ascii="Arial" w:cs="Arial" w:eastAsia="Arial" w:hAnsi="Arial"/>
          <w:b w:val="false"/>
          <w:bCs w:val="false"/>
          <w:i w:val="false"/>
          <w:iCs w:val="false"/>
          <w:color w:val="2D2420"/>
          <w:sz w:val="22"/>
          <w:szCs w:val="22"/>
          <w:rtl/>
        </w:rPr>
        <w:t xml:space="preserve">"העצב נשאר בגוף — וגם ספק. מה הספק הזה עושה לך?"</w:t>
      </w:r>
    </w:p>
    <w:p>
      <w:pPr>
        <w:bidi/>
        <w:spacing w:after="120" w:line="320"/>
        <w:jc w:val="right"/>
      </w:pPr>
      <w:r>
        <w:rPr>
          <w:rFonts w:ascii="Arial" w:cs="Arial" w:eastAsia="Arial" w:hAnsi="Arial"/>
          <w:b w:val="false"/>
          <w:bCs w:val="false"/>
          <w:i w:val="false"/>
          <w:iCs w:val="false"/>
          <w:color w:val="2D2420"/>
          <w:sz w:val="22"/>
          <w:szCs w:val="22"/>
          <w:rtl/>
        </w:rPr>
        <w:t xml:space="preserve">הוא לא מרגיע, לא מפרש-יתר, לא נותן עצה. הוא מחזיק את שני הדברים יחד, ומחזיר את התנועה אליה. זה Between.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4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C4607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D24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2026-07-27T13:46:47.415Z</dcterms:created>
  <dcterms:modified xsi:type="dcterms:W3CDTF">2026-07-27T13:46:47.416Z</dcterms:modified>
</cp:coreProperties>
</file>

<file path=docProps/custom.xml><?xml version="1.0" encoding="utf-8"?>
<Properties xmlns="http://schemas.openxmlformats.org/officeDocument/2006/custom-properties" xmlns:vt="http://schemas.openxmlformats.org/officeDocument/2006/docPropsVTypes"/>
</file>