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a8948e"/>
          <w:sz w:val="20"/>
          <w:szCs w:val="20"/>
          <w:rtl/>
        </w:rPr>
        <w:t xml:space="preserve">01</w:t>
      </w:r>
    </w:p>
    <w:p>
      <w:pPr>
        <w:bidi/>
        <w:spacing w:after="1200" w:before="0"/>
      </w:pPr>
    </w:p>
    <w:p>
      <w:pPr>
        <w:bidi/>
        <w:spacing w:after="40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d2420"/>
          <w:sz w:val="96"/>
          <w:szCs w:val="96"/>
          <w:rtl/>
        </w:rPr>
        <w:t xml:space="preserve">הפגישה נגמרת</w:t>
      </w:r>
    </w:p>
    <w:p>
      <w:pPr>
        <w:bidi/>
        <w:spacing w:after="300" w:before="0"/>
        <w:jc w:val="center"/>
      </w:pPr>
      <w:r>
        <w:rPr>
          <w:rFonts w:ascii="Arial" w:cs="Arial" w:eastAsia="Arial" w:hAnsi="Arial"/>
          <w:b w:val="false"/>
          <w:bCs w:val="false"/>
          <w:color w:val="a8948e"/>
          <w:sz w:val="32"/>
          <w:szCs w:val="32"/>
          <w:rtl/>
        </w:rPr>
        <w:t xml:space="preserve">מה קורה לתהליך בין הפגישה לפגישה הבאה?</w:t>
      </w:r>
    </w:p>
    <w:p>
      <w:pPr>
        <w:sectPr>
          <w:pgSz w:w="16838" w:h="11906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bidi/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a8948e"/>
          <w:sz w:val="20"/>
          <w:szCs w:val="20"/>
          <w:rtl/>
        </w:rPr>
        <w:t xml:space="preserve">02</w:t>
      </w:r>
    </w:p>
    <w:p>
      <w:pPr>
        <w:bidi/>
        <w:spacing w:after="600" w:before="0"/>
      </w:pPr>
    </w:p>
    <w:p>
      <w:pPr>
        <w:bidi/>
        <w:spacing w:after="200" w:before="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color w:val="2d2420"/>
          <w:sz w:val="52"/>
          <w:szCs w:val="52"/>
          <w:rtl/>
        </w:rPr>
        <w:t xml:space="preserve">הזמן שבין</w:t>
      </w:r>
    </w:p>
    <w:p>
      <w:pPr>
        <w:pBdr>
          <w:bottom w:val="single" w:color="c4607a" w:sz="4" w:space="1"/>
        </w:pBdr>
        <w:bidi/>
        <w:spacing w:after="320" w:before="120"/>
      </w:pPr>
    </w:p>
    <w:p>
      <w:pPr>
        <w:bidi/>
        <w:spacing w:after="0" w:before="0"/>
        <w:jc w:val="right"/>
      </w:pPr>
      <w:r>
        <w:rPr>
          <w:rFonts w:ascii="Arial" w:cs="Arial" w:eastAsia="Arial" w:hAnsi="Arial"/>
          <w:color w:val="2d2420"/>
          <w:sz w:val="30"/>
          <w:szCs w:val="30"/>
          <w:rtl/>
        </w:rPr>
        <w:t xml:space="preserve">מה שעלה בחדר ולא הספיק להבשיל — </w:t>
      </w:r>
      <w:r>
        <w:rPr>
          <w:rFonts w:ascii="Arial" w:cs="Arial" w:eastAsia="Arial" w:hAnsi="Arial"/>
          <w:color w:val="c4607a"/>
          <w:sz w:val="30"/>
          <w:szCs w:val="30"/>
          <w:rtl/>
        </w:rPr>
        <w:t xml:space="preserve">נעלם</w:t>
      </w:r>
      <w:r>
        <w:rPr>
          <w:rFonts w:ascii="Arial" w:cs="Arial" w:eastAsia="Arial" w:hAnsi="Arial"/>
          <w:color w:val="2d2420"/>
          <w:sz w:val="30"/>
          <w:szCs w:val="30"/>
          <w:rtl/>
        </w:rPr>
        <w:t xml:space="preserve">. לא כי המטופל לא רוצה לעבד. כי אין לאן.</w:t>
      </w:r>
    </w:p>
    <w:p>
      <w:pPr>
        <w:sectPr>
          <w:pgSz w:w="16838" w:h="11906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bidi/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a8948e"/>
          <w:sz w:val="20"/>
          <w:szCs w:val="20"/>
          <w:rtl/>
        </w:rPr>
        <w:t xml:space="preserve">03</w:t>
      </w:r>
    </w:p>
    <w:p>
      <w:pPr>
        <w:bidi/>
        <w:spacing w:after="1200" w:before="0"/>
      </w:pPr>
    </w:p>
    <w:p>
      <w:pPr>
        <w:bidi/>
        <w:spacing w:after="40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d2420"/>
          <w:sz w:val="96"/>
          <w:szCs w:val="96"/>
          <w:rtl/>
        </w:rPr>
        <w:t xml:space="preserve">Between</w:t>
      </w:r>
    </w:p>
    <w:p>
      <w:pPr>
        <w:bidi/>
        <w:spacing w:after="300" w:before="0"/>
        <w:jc w:val="center"/>
      </w:pPr>
      <w:r>
        <w:rPr>
          <w:rFonts w:ascii="Arial" w:cs="Arial" w:eastAsia="Arial" w:hAnsi="Arial"/>
          <w:b w:val="false"/>
          <w:bCs w:val="false"/>
          <w:color w:val="a8948e"/>
          <w:sz w:val="32"/>
          <w:szCs w:val="32"/>
          <w:rtl/>
        </w:rPr>
        <w:t xml:space="preserve">מרחב שיחה למטופלים בין פגישות — לעיבוד מה שעלה, לחשיבה על מה שיגיע.</w:t>
      </w:r>
    </w:p>
    <w:p>
      <w:pPr>
        <w:sectPr>
          <w:pgSz w:w="16838" w:h="11906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bidi/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a8948e"/>
          <w:sz w:val="20"/>
          <w:szCs w:val="20"/>
          <w:rtl/>
        </w:rPr>
        <w:t xml:space="preserve">04</w:t>
      </w:r>
    </w:p>
    <w:p>
      <w:pPr>
        <w:bidi/>
        <w:spacing w:after="600" w:before="0"/>
      </w:pPr>
    </w:p>
    <w:p>
      <w:pPr>
        <w:bidi/>
        <w:spacing w:after="200" w:before="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color w:val="2d2420"/>
          <w:sz w:val="52"/>
          <w:szCs w:val="52"/>
          <w:rtl/>
        </w:rPr>
        <w:t xml:space="preserve">לא AI שיודע — </w:t>
      </w:r>
      <w:r>
        <w:rPr>
          <w:rFonts w:ascii="Times New Roman" w:cs="Times New Roman" w:eastAsia="Times New Roman" w:hAnsi="Times New Roman"/>
          <w:b w:val="false"/>
          <w:bCs w:val="false"/>
          <w:color w:val="c4607a"/>
          <w:sz w:val="52"/>
          <w:szCs w:val="52"/>
          <w:rtl/>
        </w:rPr>
        <w:t xml:space="preserve">נוכחויות</w:t>
      </w:r>
    </w:p>
    <w:p>
      <w:pPr>
        <w:pBdr>
          <w:bottom w:val="single" w:color="c4607a" w:sz="4" w:space="1"/>
        </w:pBdr>
        <w:bidi/>
        <w:spacing w:after="320" w:before="120"/>
      </w:pPr>
    </w:p>
    <w:p>
      <w:pPr>
        <w:bidi/>
        <w:spacing w:after="0" w:before="0"/>
        <w:jc w:val="right"/>
      </w:pPr>
      <w:r>
        <w:rPr>
          <w:rFonts w:ascii="Arial" w:cs="Arial" w:eastAsia="Arial" w:hAnsi="Arial"/>
          <w:color w:val="2d2420"/>
          <w:sz w:val="30"/>
          <w:szCs w:val="30"/>
          <w:rtl/>
        </w:rPr>
        <w:t xml:space="preserve">פרויד לא קוהוט. קליין לא ויניקוט. כל קול נבנה לעומק מהטקסטים המקוריים — לא ידע כללי, קול ספציפי.</w:t>
      </w:r>
    </w:p>
    <w:p>
      <w:pPr>
        <w:sectPr>
          <w:pgSz w:w="16838" w:h="11906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bidi/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a8948e"/>
          <w:sz w:val="20"/>
          <w:szCs w:val="20"/>
          <w:rtl/>
        </w:rPr>
        <w:t xml:space="preserve">05</w:t>
      </w:r>
    </w:p>
    <w:p>
      <w:pPr>
        <w:bidi/>
        <w:spacing w:after="300" w:before="0"/>
      </w:pPr>
    </w:p>
    <w:p>
      <w:pPr>
        <w:bidi/>
        <w:spacing w:after="20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a8948e"/>
          <w:sz w:val="52"/>
          <w:szCs w:val="52"/>
          <w:rtl/>
        </w:rPr>
        <w:t xml:space="preserve">[הדמו]</w:t>
      </w:r>
    </w:p>
    <w:p>
      <w:pPr>
        <w:bidi/>
        <w:spacing w:after="400" w:before="0"/>
        <w:jc w:val="center"/>
      </w:pPr>
      <w:r>
        <w:rPr>
          <w:rFonts w:ascii="Arial" w:cs="Arial" w:eastAsia="Arial" w:hAnsi="Arial"/>
          <w:color w:val="a8948e"/>
          <w:sz w:val="30"/>
          <w:szCs w:val="30"/>
          <w:rtl/>
        </w:rPr>
        <w:t xml:space="preserve">שיחה אמיתית — חיה או מוקלטת</w:t>
      </w:r>
    </w:p>
    <w:p>
      <w:pPr>
        <w:spacing w:after="0" w:before="0"/>
        <w:jc w:val="center"/>
      </w:pPr>
    </w:p>
    <w:tbl>
      <w:tblPr>
        <w:tblW w:type="dxa" w:w="107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78"/>
      </w:tblGrid>
      <w:tr>
        <w:trPr>
          <w:trHeight w:val="3600" w:hRule="exact"/>
        </w:trPr>
        <w:tc>
          <w:tcPr>
            <w:tcW w:type="dxa" w:w="10778"/>
            <w:tcBorders>
              <w:top w:val="single" w:color="c4607a" w:sz="8"/>
              <w:left w:val="single" w:color="c4607a" w:sz="8"/>
              <w:bottom w:val="single" w:color="c4607a" w:sz="8"/>
              <w:right w:val="single" w:color="c4607a" w:sz="8"/>
            </w:tcBorders>
            <w:shd w:fill="f9f3f0" w:val="clear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4607a"/>
                <w:sz w:val="60"/>
                <w:szCs w:val="60"/>
              </w:rPr>
              <w:t xml:space="preserve">▶</w:t>
            </w:r>
          </w:p>
        </w:tc>
      </w:tr>
    </w:tbl>
    <w:p>
      <w:pPr>
        <w:bidi/>
        <w:spacing w:after="300" w:before="0"/>
      </w:pPr>
    </w:p>
    <w:p>
      <w:pPr>
        <w:bidi/>
        <w:spacing w:after="0" w:before="0"/>
        <w:jc w:val="center"/>
      </w:pPr>
      <w:r>
        <w:rPr>
          <w:rFonts w:ascii="Arial" w:cs="Arial" w:eastAsia="Arial" w:hAnsi="Arial"/>
          <w:i/>
          <w:iCs/>
          <w:color w:val="a8948e"/>
          <w:sz w:val="20"/>
          <w:szCs w:val="20"/>
          <w:rtl/>
        </w:rPr>
        <w:t xml:space="preserve">שיחה אמיתית עם ויניקוט — עיבוד חומר מהפגישה האחרונה</w:t>
      </w:r>
    </w:p>
    <w:p>
      <w:pPr>
        <w:sectPr>
          <w:pgSz w:w="16838" w:h="11906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bidi/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a8948e"/>
          <w:sz w:val="20"/>
          <w:szCs w:val="20"/>
          <w:rtl/>
        </w:rPr>
        <w:t xml:space="preserve">06</w:t>
      </w:r>
    </w:p>
    <w:p>
      <w:pPr>
        <w:bidi/>
        <w:spacing w:after="600" w:before="0"/>
      </w:pPr>
    </w:p>
    <w:p>
      <w:pPr>
        <w:bidi/>
        <w:spacing w:after="200" w:before="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color w:val="2d2420"/>
          <w:sz w:val="52"/>
          <w:szCs w:val="52"/>
          <w:rtl/>
        </w:rPr>
        <w:t xml:space="preserve">מה שמגן על הטיפול</w:t>
      </w:r>
    </w:p>
    <w:p>
      <w:pPr>
        <w:pBdr>
          <w:bottom w:val="single" w:color="c4607a" w:sz="4" w:space="1"/>
        </w:pBdr>
        <w:bidi/>
        <w:spacing w:after="320" w:before="120"/>
      </w:pPr>
    </w:p>
    <w:p>
      <w:pPr>
        <w:bidi/>
        <w:spacing w:after="0" w:before="0"/>
        <w:jc w:val="right"/>
      </w:pPr>
      <w:r>
        <w:rPr>
          <w:rFonts w:ascii="Arial" w:cs="Arial" w:eastAsia="Arial" w:hAnsi="Arial"/>
          <w:color w:val="2d2420"/>
          <w:sz w:val="30"/>
          <w:szCs w:val="30"/>
          <w:rtl/>
        </w:rPr>
        <w:t xml:space="preserve">Between לא יכול לפעול בלי מטפל. הגבולות לא רק משפטיים — הם </w:t>
      </w:r>
      <w:r>
        <w:rPr>
          <w:rFonts w:ascii="Arial" w:cs="Arial" w:eastAsia="Arial" w:hAnsi="Arial"/>
          <w:color w:val="c4607a"/>
          <w:sz w:val="30"/>
          <w:szCs w:val="30"/>
          <w:rtl/>
        </w:rPr>
        <w:t xml:space="preserve">ארכיטקטוניים</w:t>
      </w:r>
      <w:r>
        <w:rPr>
          <w:rFonts w:ascii="Arial" w:cs="Arial" w:eastAsia="Arial" w:hAnsi="Arial"/>
          <w:color w:val="2d2420"/>
          <w:sz w:val="30"/>
          <w:szCs w:val="30"/>
          <w:rtl/>
        </w:rPr>
        <w:t xml:space="preserve">.</w:t>
      </w:r>
    </w:p>
    <w:p>
      <w:pPr>
        <w:sectPr>
          <w:pgSz w:w="16838" w:h="11906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bidi/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a8948e"/>
          <w:sz w:val="20"/>
          <w:szCs w:val="20"/>
          <w:rtl/>
        </w:rPr>
        <w:t xml:space="preserve">07</w:t>
      </w:r>
    </w:p>
    <w:p>
      <w:pPr>
        <w:bidi/>
        <w:spacing w:after="600" w:before="0"/>
      </w:pPr>
    </w:p>
    <w:p>
      <w:pPr>
        <w:bidi/>
        <w:spacing w:after="200" w:before="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color w:val="2d2420"/>
          <w:sz w:val="52"/>
          <w:szCs w:val="52"/>
          <w:rtl/>
        </w:rPr>
        <w:t xml:space="preserve">הדרך לשוק</w:t>
      </w:r>
    </w:p>
    <w:p>
      <w:pPr>
        <w:pBdr>
          <w:bottom w:val="single" w:color="c4607a" w:sz="4" w:space="1"/>
        </w:pBdr>
        <w:bidi/>
        <w:spacing w:after="320" w:before="120"/>
      </w:pPr>
    </w:p>
    <w:p>
      <w:pPr>
        <w:bidi/>
        <w:spacing w:after="0" w:before="0"/>
        <w:jc w:val="right"/>
      </w:pPr>
      <w:r>
        <w:rPr>
          <w:rFonts w:ascii="Arial" w:cs="Arial" w:eastAsia="Arial" w:hAnsi="Arial"/>
          <w:color w:val="2d2420"/>
          <w:sz w:val="30"/>
          <w:szCs w:val="30"/>
          <w:rtl/>
        </w:rPr>
        <w:t xml:space="preserve">מטפל שמאמין → מטפל ממליץ → מטופל משתמש. לא מודעות. לא App Store. </w:t>
      </w:r>
      <w:r>
        <w:rPr>
          <w:rFonts w:ascii="Arial" w:cs="Arial" w:eastAsia="Arial" w:hAnsi="Arial"/>
          <w:color w:val="c4607a"/>
          <w:sz w:val="30"/>
          <w:szCs w:val="30"/>
          <w:rtl/>
        </w:rPr>
        <w:t xml:space="preserve">אמון</w:t>
      </w:r>
      <w:r>
        <w:rPr>
          <w:rFonts w:ascii="Arial" w:cs="Arial" w:eastAsia="Arial" w:hAnsi="Arial"/>
          <w:color w:val="2d2420"/>
          <w:sz w:val="30"/>
          <w:szCs w:val="30"/>
          <w:rtl/>
        </w:rPr>
        <w:t xml:space="preserve">.</w:t>
      </w:r>
    </w:p>
    <w:p>
      <w:pPr>
        <w:sectPr>
          <w:pgSz w:w="16838" w:h="11906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bidi/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a8948e"/>
          <w:sz w:val="20"/>
          <w:szCs w:val="20"/>
          <w:rtl/>
        </w:rPr>
        <w:t xml:space="preserve">08</w:t>
      </w:r>
    </w:p>
    <w:p>
      <w:pPr>
        <w:bidi/>
        <w:spacing w:after="600" w:before="0"/>
      </w:pPr>
    </w:p>
    <w:p>
      <w:pPr>
        <w:bidi/>
        <w:spacing w:after="200" w:before="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color w:val="2d2420"/>
          <w:sz w:val="52"/>
          <w:szCs w:val="52"/>
          <w:rtl/>
        </w:rPr>
        <w:t xml:space="preserve">הנכס שלא ניתן לשכפול</w:t>
      </w:r>
    </w:p>
    <w:p>
      <w:pPr>
        <w:pBdr>
          <w:bottom w:val="single" w:color="c4607a" w:sz="4" w:space="1"/>
        </w:pBdr>
        <w:bidi/>
        <w:spacing w:after="320" w:before="120"/>
      </w:pPr>
    </w:p>
    <w:p>
      <w:pPr>
        <w:bidi/>
        <w:spacing w:after="0" w:before="0"/>
        <w:jc w:val="right"/>
      </w:pPr>
      <w:r>
        <w:rPr>
          <w:rFonts w:ascii="Arial" w:cs="Arial" w:eastAsia="Arial" w:hAnsi="Arial"/>
          <w:color w:val="2d2420"/>
          <w:sz w:val="30"/>
          <w:szCs w:val="30"/>
          <w:rtl/>
        </w:rPr>
        <w:t xml:space="preserve">כל קול נבנה בנפרד. ChatGPT יכול לספר על ויניקוט — לא להיות ויניקוט בשיחה.</w:t>
      </w:r>
    </w:p>
    <w:p>
      <w:pPr>
        <w:sectPr>
          <w:pgSz w:w="16838" w:h="11906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bidi/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a8948e"/>
          <w:sz w:val="20"/>
          <w:szCs w:val="20"/>
          <w:rtl/>
        </w:rPr>
        <w:t xml:space="preserve">09</w:t>
      </w:r>
    </w:p>
    <w:p>
      <w:pPr>
        <w:bidi/>
        <w:spacing w:after="600" w:before="0"/>
      </w:pPr>
    </w:p>
    <w:p>
      <w:pPr>
        <w:bidi/>
        <w:spacing w:after="200" w:before="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color w:val="2d2420"/>
          <w:sz w:val="52"/>
          <w:szCs w:val="52"/>
          <w:rtl/>
        </w:rPr>
        <w:t xml:space="preserve">היכן אנחנו עומדים</w:t>
      </w:r>
    </w:p>
    <w:p>
      <w:pPr>
        <w:pBdr>
          <w:bottom w:val="single" w:color="c4607a" w:sz="4" w:space="1"/>
        </w:pBdr>
        <w:bidi/>
        <w:spacing w:after="320" w:before="120"/>
      </w:pPr>
    </w:p>
    <w:p>
      <w:pPr>
        <w:bidi/>
        <w:spacing w:after="0" w:before="0"/>
        <w:jc w:val="right"/>
      </w:pPr>
      <w:r>
        <w:rPr>
          <w:rFonts w:ascii="Arial" w:cs="Arial" w:eastAsia="Arial" w:hAnsi="Arial"/>
          <w:color w:val="2d2420"/>
          <w:sz w:val="30"/>
          <w:szCs w:val="30"/>
          <w:rtl/>
        </w:rPr>
        <w:t xml:space="preserve">4 תיאורטיקנים חיים, QA יומי אוטומטי, Safety interceptor מאומת — MVP </w:t>
      </w:r>
      <w:r>
        <w:rPr>
          <w:rFonts w:ascii="Arial" w:cs="Arial" w:eastAsia="Arial" w:hAnsi="Arial"/>
          <w:color w:val="c4607a"/>
          <w:sz w:val="30"/>
          <w:szCs w:val="30"/>
          <w:rtl/>
        </w:rPr>
        <w:t xml:space="preserve">בפרודקשן</w:t>
      </w:r>
      <w:r>
        <w:rPr>
          <w:rFonts w:ascii="Arial" w:cs="Arial" w:eastAsia="Arial" w:hAnsi="Arial"/>
          <w:color w:val="2d2420"/>
          <w:sz w:val="30"/>
          <w:szCs w:val="30"/>
          <w:rtl/>
        </w:rPr>
        <w:t xml:space="preserve">.</w:t>
      </w:r>
    </w:p>
    <w:p>
      <w:pPr>
        <w:sectPr>
          <w:pgSz w:w="16838" w:h="11906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bidi/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a8948e"/>
          <w:sz w:val="20"/>
          <w:szCs w:val="20"/>
          <w:rtl/>
        </w:rPr>
        <w:t xml:space="preserve">10</w:t>
      </w:r>
    </w:p>
    <w:p>
      <w:pPr>
        <w:bidi/>
        <w:spacing w:after="1200" w:before="0"/>
      </w:pPr>
    </w:p>
    <w:p>
      <w:pPr>
        <w:bidi/>
        <w:spacing w:after="40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d2420"/>
          <w:sz w:val="96"/>
          <w:szCs w:val="96"/>
          <w:rtl/>
        </w:rPr>
        <w:t xml:space="preserve">הצעד הבא</w:t>
      </w:r>
    </w:p>
    <w:p>
      <w:pPr>
        <w:bidi/>
        <w:spacing w:after="300" w:before="0"/>
        <w:jc w:val="center"/>
      </w:pPr>
      <w:r>
        <w:rPr>
          <w:rFonts w:ascii="Arial" w:cs="Arial" w:eastAsia="Arial" w:hAnsi="Arial"/>
          <w:b w:val="false"/>
          <w:bCs w:val="false"/>
          <w:color w:val="a8948e"/>
          <w:sz w:val="32"/>
          <w:szCs w:val="32"/>
          <w:rtl/>
        </w:rPr>
        <w:t xml:space="preserve">"אני רוצה שתנסה שבוע. תגיד לי מה הרגשת."</w:t>
      </w:r>
    </w:p>
    <w:p>
      <w:pPr>
        <w:bidi/>
        <w:spacing w:after="300" w:before="0"/>
      </w:pPr>
    </w:p>
    <w:p>
      <w:pPr>
        <w:bidi/>
        <w:spacing w:after="0" w:before="0"/>
        <w:jc w:val="center"/>
      </w:pPr>
      <w:r>
        <w:rPr>
          <w:rFonts w:ascii="Arial" w:cs="Arial" w:eastAsia="Arial" w:hAnsi="Arial"/>
          <w:i/>
          <w:iCs/>
          <w:color w:val="a8948e"/>
          <w:sz w:val="20"/>
          <w:szCs w:val="20"/>
          <w:rtl/>
        </w:rPr>
        <w:t xml:space="preserve">[למשקיע — TBD]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420"/>
        <w:sz w:val="30"/>
        <w:szCs w:val="30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2026-05-15T14:03:48.308Z</dcterms:created>
  <dcterms:modified xsi:type="dcterms:W3CDTF">2026-05-15T14:03:48.309Z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