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Times New Roman" w:cs="Times New Roman" w:eastAsia="Times New Roman" w:hAnsi="Times New Roman"/>
          <w:b/>
          <w:bCs/>
          <w:sz w:val="52"/>
          <w:szCs w:val="52"/>
        </w:rPr>
        <w:t xml:space="preserve">Experimental Setup</w:t>
      </w:r>
    </w:p>
    <w:p>
      <w:pPr>
        <w:spacing w:after="360"/>
      </w:pPr>
      <w:r>
        <w:rPr>
          <w:rFonts w:ascii="Times New Roman" w:cs="Times New Roman" w:eastAsia="Times New Roman" w:hAnsi="Times New Roman"/>
          <w:i/>
          <w:iCs/>
          <w:sz w:val="22"/>
          <w:szCs w:val="22"/>
        </w:rPr>
        <w:t xml:space="preserve">AnxioSense — EECS 4080 Undergraduate Research Project · York University</w:t>
      </w:r>
    </w:p>
    <w:p>
      <w:pPr>
        <w:pStyle w:val="Heading1"/>
        <w:spacing w:after="160" w:before="320"/>
      </w:pPr>
      <w:r>
        <w:t xml:space="preserve">1. Research Questions</w:t>
      </w:r>
    </w:p>
    <w:p>
      <w:pPr>
        <w:spacing w:after="120"/>
      </w:pPr>
      <w:r>
        <w:rPr>
          <w:rFonts w:ascii="Times New Roman" w:cs="Times New Roman" w:eastAsia="Times New Roman" w:hAnsi="Times New Roman"/>
          <w:b/>
          <w:bCs/>
          <w:sz w:val="22"/>
          <w:szCs w:val="22"/>
        </w:rPr>
        <w:t xml:space="preserve">RQ1.  </w:t>
      </w:r>
      <w:r>
        <w:rPr>
          <w:rFonts w:ascii="Times New Roman" w:cs="Times New Roman" w:eastAsia="Times New Roman" w:hAnsi="Times New Roman"/>
          <w:sz w:val="22"/>
          <w:szCs w:val="22"/>
        </w:rPr>
        <w:t xml:space="preserve">Across five open-weight large language models, which model achieves the highest symptom extraction precision and anxiety severity classification accuracy within the AnxioSense multi-agent pipeline?</w:t>
      </w:r>
    </w:p>
    <w:p>
      <w:pPr>
        <w:spacing w:after="120"/>
      </w:pPr>
      <w:r>
        <w:rPr>
          <w:rFonts w:ascii="Times New Roman" w:cs="Times New Roman" w:eastAsia="Times New Roman" w:hAnsi="Times New Roman"/>
          <w:b/>
          <w:bCs/>
          <w:sz w:val="22"/>
          <w:szCs w:val="22"/>
        </w:rPr>
        <w:t xml:space="preserve">RQ2.  </w:t>
      </w:r>
      <w:r>
        <w:rPr>
          <w:rFonts w:ascii="Times New Roman" w:cs="Times New Roman" w:eastAsia="Times New Roman" w:hAnsi="Times New Roman"/>
          <w:sz w:val="22"/>
          <w:szCs w:val="22"/>
        </w:rPr>
        <w:t xml:space="preserve">How accurately does AnxioSense classify anxiety severity and generate clinically appropriate referral recommendations, as measured by precision, recall, macro-averaged F1, and Cohen's kappa against ground-truth dataset labels?</w:t>
      </w:r>
    </w:p>
    <w:p>
      <w:pPr>
        <w:spacing w:after="120"/>
      </w:pPr>
      <w:r>
        <w:rPr>
          <w:rFonts w:ascii="Times New Roman" w:cs="Times New Roman" w:eastAsia="Times New Roman" w:hAnsi="Times New Roman"/>
          <w:b/>
          <w:bCs/>
          <w:sz w:val="22"/>
          <w:szCs w:val="22"/>
        </w:rPr>
        <w:t xml:space="preserve">RQ3.  </w:t>
      </w:r>
      <w:r>
        <w:rPr>
          <w:rFonts w:ascii="Times New Roman" w:cs="Times New Roman" w:eastAsia="Times New Roman" w:hAnsi="Times New Roman"/>
          <w:sz w:val="22"/>
          <w:szCs w:val="22"/>
        </w:rPr>
        <w:t xml:space="preserve">Among zero-shot, zero-shot with chain-of-thought, and one-shot with chain-of-thought prompting strategies, which configuration minimises false positive symptom extractions while maintaining recall across five repeated runs?</w:t>
      </w:r>
    </w:p>
    <w:p>
      <w:pPr>
        <w:spacing w:after="120"/>
      </w:pPr>
      <w:r>
        <w:rPr>
          <w:rFonts w:ascii="Times New Roman" w:cs="Times New Roman" w:eastAsia="Times New Roman" w:hAnsi="Times New Roman"/>
          <w:b/>
          <w:bCs/>
          <w:sz w:val="22"/>
          <w:szCs w:val="22"/>
        </w:rPr>
        <w:t xml:space="preserve">RQ4.  </w:t>
      </w:r>
      <w:r>
        <w:rPr>
          <w:rFonts w:ascii="Times New Roman" w:cs="Times New Roman" w:eastAsia="Times New Roman" w:hAnsi="Times New Roman"/>
          <w:sz w:val="22"/>
          <w:szCs w:val="22"/>
        </w:rPr>
        <w:t xml:space="preserve">To what extent do AnxioSense's screening outputs align with established anxiety-screening frameworks (GAD-7 severity thresholds, DSM-5 diagnostic criteria, ICD-11 anxiety disorder classifications) and clinically expected referral levels?</w:t>
      </w:r>
    </w:p>
    <w:p>
      <w:pPr>
        <w:spacing w:after="120"/>
      </w:pPr>
      <w:r>
        <w:rPr>
          <w:rFonts w:ascii="Times New Roman" w:cs="Times New Roman" w:eastAsia="Times New Roman" w:hAnsi="Times New Roman"/>
          <w:b/>
          <w:bCs/>
          <w:sz w:val="22"/>
          <w:szCs w:val="22"/>
        </w:rPr>
        <w:t xml:space="preserve">RQ5.  </w:t>
      </w:r>
      <w:r>
        <w:rPr>
          <w:rFonts w:ascii="Times New Roman" w:cs="Times New Roman" w:eastAsia="Times New Roman" w:hAnsi="Times New Roman"/>
          <w:sz w:val="22"/>
          <w:szCs w:val="22"/>
        </w:rPr>
        <w:t xml:space="preserve">How effectively does AnxioSense generate explainable, evidence-grounded, and safety-appropriate screening reports, as measured by hallucination rate, claim support rate, and safety override precision and recall?</w:t>
      </w:r>
    </w:p>
    <w:p>
      <w:pPr>
        <w:spacing w:after="80"/>
      </w:pPr>
    </w:p>
    <w:p>
      <w:pPr>
        <w:pStyle w:val="Heading1"/>
        <w:spacing w:after="160" w:before="320"/>
      </w:pPr>
      <w:r>
        <w:t xml:space="preserve">2. Evaluation Metrics</w:t>
      </w:r>
    </w:p>
    <w:p>
      <w:pPr>
        <w:spacing w:after="120"/>
      </w:pPr>
      <w:r>
        <w:rPr>
          <w:rFonts w:ascii="Times New Roman" w:cs="Times New Roman" w:eastAsia="Times New Roman" w:hAnsi="Times New Roman"/>
          <w:sz w:val="22"/>
          <w:szCs w:val="22"/>
        </w:rPr>
        <w:t xml:space="preserve">All metrics are computed per experimental run and aggregated across five repeated runs. Mean and standard deviation are reported for every metric to capture LLM output variability.</w:t>
      </w:r>
    </w:p>
    <w:p>
      <w:pPr>
        <w:spacing w:after="80"/>
      </w:pPr>
    </w:p>
    <w:p>
      <w:pPr>
        <w:pStyle w:val="Heading2"/>
        <w:spacing w:after="100" w:before="200"/>
      </w:pPr>
      <w:r>
        <w:t xml:space="preserve">2.1  Classification Metrics (Primary)</w:t>
      </w:r>
    </w:p>
    <w:tbl>
      <w:tblPr>
        <w:tblW w:type="dxa" w:w="7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2600"/>
        <w:gridCol w:w="2800"/>
        <w:gridCol w:w="2520"/>
      </w:tblGrid>
      <w:tr>
        <w:trPr>
          <w:tblHeader/>
        </w:trPr>
        <w:tc>
          <w:tcPr>
            <w:tcW w:type="dxa" w:w="2600"/>
            <w:shd w:fill="D9E1F2" w:color="auto" w:val="clear"/>
          </w:tcPr>
          <w:p>
            <w:pPr>
              <w:jc w:val="center"/>
            </w:pPr>
            <w:r>
              <w:rPr>
                <w:rFonts w:ascii="Times New Roman" w:cs="Times New Roman" w:eastAsia="Times New Roman" w:hAnsi="Times New Roman"/>
                <w:b/>
                <w:bCs/>
                <w:sz w:val="19"/>
                <w:szCs w:val="19"/>
              </w:rPr>
              <w:t xml:space="preserve">Metric</w:t>
            </w:r>
          </w:p>
        </w:tc>
        <w:tc>
          <w:tcPr>
            <w:tcW w:type="dxa" w:w="2800"/>
            <w:shd w:fill="D9E1F2" w:color="auto" w:val="clear"/>
          </w:tcPr>
          <w:p>
            <w:pPr>
              <w:jc w:val="center"/>
            </w:pPr>
            <w:r>
              <w:rPr>
                <w:rFonts w:ascii="Times New Roman" w:cs="Times New Roman" w:eastAsia="Times New Roman" w:hAnsi="Times New Roman"/>
                <w:b/>
                <w:bCs/>
                <w:sz w:val="19"/>
                <w:szCs w:val="19"/>
              </w:rPr>
              <w:t xml:space="preserve">Applies To</w:t>
            </w:r>
          </w:p>
        </w:tc>
        <w:tc>
          <w:tcPr>
            <w:tcW w:type="dxa" w:w="2520"/>
            <w:shd w:fill="D9E1F2" w:color="auto" w:val="clear"/>
          </w:tcPr>
          <w:p>
            <w:pPr>
              <w:jc w:val="center"/>
            </w:pPr>
            <w:r>
              <w:rPr>
                <w:rFonts w:ascii="Times New Roman" w:cs="Times New Roman" w:eastAsia="Times New Roman" w:hAnsi="Times New Roman"/>
                <w:b/>
                <w:bCs/>
                <w:sz w:val="19"/>
                <w:szCs w:val="19"/>
              </w:rPr>
              <w:t xml:space="preserve">Reported As</w:t>
            </w:r>
          </w:p>
        </w:tc>
      </w:tr>
      <w:tr>
        <w:tc>
          <w:tcPr>
            <w:tcW w:type="dxa" w:w="2600"/>
            <w:shd w:fill="FFFFFF" w:color="auto" w:val="clear"/>
          </w:tcPr>
          <w:p>
            <w:r>
              <w:rPr>
                <w:rFonts w:ascii="Times New Roman" w:cs="Times New Roman" w:eastAsia="Times New Roman" w:hAnsi="Times New Roman"/>
                <w:sz w:val="18"/>
                <w:szCs w:val="18"/>
              </w:rPr>
              <w:t xml:space="preserve">Precision (per class)</w:t>
            </w:r>
          </w:p>
        </w:tc>
        <w:tc>
          <w:tcPr>
            <w:tcW w:type="dxa" w:w="2800"/>
            <w:shd w:fill="FFFFFF" w:color="auto" w:val="clear"/>
          </w:tcPr>
          <w:p>
            <w:r>
              <w:rPr>
                <w:rFonts w:ascii="Times New Roman" w:cs="Times New Roman" w:eastAsia="Times New Roman" w:hAnsi="Times New Roman"/>
                <w:sz w:val="18"/>
                <w:szCs w:val="18"/>
              </w:rPr>
              <w:t xml:space="preserve">Symptom extraction; referral level classification</w:t>
            </w:r>
          </w:p>
        </w:tc>
        <w:tc>
          <w:tcPr>
            <w:tcW w:type="dxa" w:w="2520"/>
            <w:shd w:fill="FFFFFF" w:color="auto" w:val="clear"/>
          </w:tcPr>
          <w:p>
            <w:r>
              <w:rPr>
                <w:rFonts w:ascii="Times New Roman" w:cs="Times New Roman" w:eastAsia="Times New Roman" w:hAnsi="Times New Roman"/>
                <w:sz w:val="18"/>
                <w:szCs w:val="18"/>
              </w:rPr>
              <w:t xml:space="preserve">Mean ± SD across 5 runs</w:t>
            </w:r>
          </w:p>
        </w:tc>
      </w:tr>
      <w:tr>
        <w:tc>
          <w:tcPr>
            <w:tcW w:type="dxa" w:w="2600"/>
            <w:shd w:fill="F2F2F2" w:color="auto" w:val="clear"/>
          </w:tcPr>
          <w:p>
            <w:r>
              <w:rPr>
                <w:rFonts w:ascii="Times New Roman" w:cs="Times New Roman" w:eastAsia="Times New Roman" w:hAnsi="Times New Roman"/>
                <w:sz w:val="18"/>
                <w:szCs w:val="18"/>
              </w:rPr>
              <w:t xml:space="preserve">Recall (per class)</w:t>
            </w:r>
          </w:p>
        </w:tc>
        <w:tc>
          <w:tcPr>
            <w:tcW w:type="dxa" w:w="2800"/>
            <w:shd w:fill="F2F2F2" w:color="auto" w:val="clear"/>
          </w:tcPr>
          <w:p>
            <w:r>
              <w:rPr>
                <w:rFonts w:ascii="Times New Roman" w:cs="Times New Roman" w:eastAsia="Times New Roman" w:hAnsi="Times New Roman"/>
                <w:sz w:val="18"/>
                <w:szCs w:val="18"/>
              </w:rPr>
              <w:t xml:space="preserve">Symptom extraction; referral level classification</w:t>
            </w:r>
          </w:p>
        </w:tc>
        <w:tc>
          <w:tcPr>
            <w:tcW w:type="dxa" w:w="2520"/>
            <w:shd w:fill="F2F2F2" w:color="auto" w:val="clear"/>
          </w:tcPr>
          <w:p>
            <w:r>
              <w:rPr>
                <w:rFonts w:ascii="Times New Roman" w:cs="Times New Roman" w:eastAsia="Times New Roman" w:hAnsi="Times New Roman"/>
                <w:sz w:val="18"/>
                <w:szCs w:val="18"/>
              </w:rPr>
              <w:t xml:space="preserve">Mean ± SD across 5 runs</w:t>
            </w:r>
          </w:p>
        </w:tc>
      </w:tr>
      <w:tr>
        <w:tc>
          <w:tcPr>
            <w:tcW w:type="dxa" w:w="2600"/>
            <w:shd w:fill="FFFFFF" w:color="auto" w:val="clear"/>
          </w:tcPr>
          <w:p>
            <w:r>
              <w:rPr>
                <w:rFonts w:ascii="Times New Roman" w:cs="Times New Roman" w:eastAsia="Times New Roman" w:hAnsi="Times New Roman"/>
                <w:sz w:val="18"/>
                <w:szCs w:val="18"/>
              </w:rPr>
              <w:t xml:space="preserve">Macro-averaged F1</w:t>
            </w:r>
          </w:p>
        </w:tc>
        <w:tc>
          <w:tcPr>
            <w:tcW w:type="dxa" w:w="2800"/>
            <w:shd w:fill="FFFFFF" w:color="auto" w:val="clear"/>
          </w:tcPr>
          <w:p>
            <w:r>
              <w:rPr>
                <w:rFonts w:ascii="Times New Roman" w:cs="Times New Roman" w:eastAsia="Times New Roman" w:hAnsi="Times New Roman"/>
                <w:sz w:val="18"/>
                <w:szCs w:val="18"/>
              </w:rPr>
              <w:t xml:space="preserve">All classification tasks</w:t>
            </w:r>
          </w:p>
        </w:tc>
        <w:tc>
          <w:tcPr>
            <w:tcW w:type="dxa" w:w="2520"/>
            <w:shd w:fill="FFFFFF" w:color="auto" w:val="clear"/>
          </w:tcPr>
          <w:p>
            <w:r>
              <w:rPr>
                <w:rFonts w:ascii="Times New Roman" w:cs="Times New Roman" w:eastAsia="Times New Roman" w:hAnsi="Times New Roman"/>
                <w:sz w:val="18"/>
                <w:szCs w:val="18"/>
              </w:rPr>
              <w:t xml:space="preserve">Mean ± SD across 5 runs</w:t>
            </w:r>
          </w:p>
        </w:tc>
      </w:tr>
      <w:tr>
        <w:tc>
          <w:tcPr>
            <w:tcW w:type="dxa" w:w="2600"/>
            <w:shd w:fill="F2F2F2" w:color="auto" w:val="clear"/>
          </w:tcPr>
          <w:p>
            <w:r>
              <w:rPr>
                <w:rFonts w:ascii="Times New Roman" w:cs="Times New Roman" w:eastAsia="Times New Roman" w:hAnsi="Times New Roman"/>
                <w:sz w:val="18"/>
                <w:szCs w:val="18"/>
              </w:rPr>
              <w:t xml:space="preserve">Accuracy</w:t>
            </w:r>
          </w:p>
        </w:tc>
        <w:tc>
          <w:tcPr>
            <w:tcW w:type="dxa" w:w="2800"/>
            <w:shd w:fill="F2F2F2" w:color="auto" w:val="clear"/>
          </w:tcPr>
          <w:p>
            <w:r>
              <w:rPr>
                <w:rFonts w:ascii="Times New Roman" w:cs="Times New Roman" w:eastAsia="Times New Roman" w:hAnsi="Times New Roman"/>
                <w:sz w:val="18"/>
                <w:szCs w:val="18"/>
              </w:rPr>
              <w:t xml:space="preserve">Referral level and severity band prediction</w:t>
            </w:r>
          </w:p>
        </w:tc>
        <w:tc>
          <w:tcPr>
            <w:tcW w:type="dxa" w:w="2520"/>
            <w:shd w:fill="F2F2F2" w:color="auto" w:val="clear"/>
          </w:tcPr>
          <w:p>
            <w:r>
              <w:rPr>
                <w:rFonts w:ascii="Times New Roman" w:cs="Times New Roman" w:eastAsia="Times New Roman" w:hAnsi="Times New Roman"/>
                <w:sz w:val="18"/>
                <w:szCs w:val="18"/>
              </w:rPr>
              <w:t xml:space="preserve">Mean ± SD across 5 runs</w:t>
            </w:r>
          </w:p>
        </w:tc>
      </w:tr>
      <w:tr>
        <w:tc>
          <w:tcPr>
            <w:tcW w:type="dxa" w:w="2600"/>
            <w:shd w:fill="FFFFFF" w:color="auto" w:val="clear"/>
          </w:tcPr>
          <w:p>
            <w:r>
              <w:rPr>
                <w:rFonts w:ascii="Times New Roman" w:cs="Times New Roman" w:eastAsia="Times New Roman" w:hAnsi="Times New Roman"/>
                <w:sz w:val="18"/>
                <w:szCs w:val="18"/>
              </w:rPr>
              <w:t xml:space="preserve">Cohen's Kappa (weighted)</w:t>
            </w:r>
          </w:p>
        </w:tc>
        <w:tc>
          <w:tcPr>
            <w:tcW w:type="dxa" w:w="2800"/>
            <w:shd w:fill="FFFFFF" w:color="auto" w:val="clear"/>
          </w:tcPr>
          <w:p>
            <w:r>
              <w:rPr>
                <w:rFonts w:ascii="Times New Roman" w:cs="Times New Roman" w:eastAsia="Times New Roman" w:hAnsi="Times New Roman"/>
                <w:sz w:val="18"/>
                <w:szCs w:val="18"/>
              </w:rPr>
              <w:t xml:space="preserve">Severity band classification (4-class ordinal)</w:t>
            </w:r>
          </w:p>
        </w:tc>
        <w:tc>
          <w:tcPr>
            <w:tcW w:type="dxa" w:w="2520"/>
            <w:shd w:fill="FFFFFF" w:color="auto" w:val="clear"/>
          </w:tcPr>
          <w:p>
            <w:r>
              <w:rPr>
                <w:rFonts w:ascii="Times New Roman" w:cs="Times New Roman" w:eastAsia="Times New Roman" w:hAnsi="Times New Roman"/>
                <w:sz w:val="18"/>
                <w:szCs w:val="18"/>
              </w:rPr>
              <w:t xml:space="preserve">Mean ± SD across 5 runs</w:t>
            </w:r>
          </w:p>
        </w:tc>
      </w:tr>
      <w:tr>
        <w:tc>
          <w:tcPr>
            <w:tcW w:type="dxa" w:w="2600"/>
            <w:shd w:fill="F2F2F2" w:color="auto" w:val="clear"/>
          </w:tcPr>
          <w:p>
            <w:r>
              <w:rPr>
                <w:rFonts w:ascii="Times New Roman" w:cs="Times New Roman" w:eastAsia="Times New Roman" w:hAnsi="Times New Roman"/>
                <w:sz w:val="18"/>
                <w:szCs w:val="18"/>
              </w:rPr>
              <w:t xml:space="preserve">Confusion Matrix</w:t>
            </w:r>
          </w:p>
        </w:tc>
        <w:tc>
          <w:tcPr>
            <w:tcW w:type="dxa" w:w="2800"/>
            <w:shd w:fill="F2F2F2" w:color="auto" w:val="clear"/>
          </w:tcPr>
          <w:p>
            <w:r>
              <w:rPr>
                <w:rFonts w:ascii="Times New Roman" w:cs="Times New Roman" w:eastAsia="Times New Roman" w:hAnsi="Times New Roman"/>
                <w:sz w:val="18"/>
                <w:szCs w:val="18"/>
              </w:rPr>
              <w:t xml:space="preserve">Referral level (3×3); severity band (4×4)</w:t>
            </w:r>
          </w:p>
        </w:tc>
        <w:tc>
          <w:tcPr>
            <w:tcW w:type="dxa" w:w="2520"/>
            <w:shd w:fill="F2F2F2" w:color="auto" w:val="clear"/>
          </w:tcPr>
          <w:p>
            <w:r>
              <w:rPr>
                <w:rFonts w:ascii="Times New Roman" w:cs="Times New Roman" w:eastAsia="Times New Roman" w:hAnsi="Times New Roman"/>
                <w:sz w:val="18"/>
                <w:szCs w:val="18"/>
              </w:rPr>
              <w:t xml:space="preserve">Aggregated over 5 runs</w:t>
            </w:r>
          </w:p>
        </w:tc>
      </w:tr>
    </w:tbl>
    <w:p>
      <w:pPr>
        <w:spacing w:after="80"/>
      </w:pPr>
    </w:p>
    <w:p>
      <w:pPr>
        <w:pStyle w:val="Heading2"/>
        <w:spacing w:after="100" w:before="200"/>
      </w:pPr>
      <w:r>
        <w:t xml:space="preserve">2.2  Report Quality Metrics (Secondary)</w:t>
      </w:r>
    </w:p>
    <w:tbl>
      <w:tblPr>
        <w:tblW w:type="dxa" w:w="7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2200"/>
        <w:gridCol w:w="4400"/>
        <w:gridCol w:w="1320"/>
      </w:tblGrid>
      <w:tr>
        <w:trPr>
          <w:tblHeader/>
        </w:trPr>
        <w:tc>
          <w:tcPr>
            <w:tcW w:type="dxa" w:w="2200"/>
            <w:shd w:fill="D9E1F2" w:color="auto" w:val="clear"/>
          </w:tcPr>
          <w:p>
            <w:pPr>
              <w:jc w:val="center"/>
            </w:pPr>
            <w:r>
              <w:rPr>
                <w:rFonts w:ascii="Times New Roman" w:cs="Times New Roman" w:eastAsia="Times New Roman" w:hAnsi="Times New Roman"/>
                <w:b/>
                <w:bCs/>
                <w:sz w:val="19"/>
                <w:szCs w:val="19"/>
              </w:rPr>
              <w:t xml:space="preserve">Metric</w:t>
            </w:r>
          </w:p>
        </w:tc>
        <w:tc>
          <w:tcPr>
            <w:tcW w:type="dxa" w:w="4400"/>
            <w:shd w:fill="D9E1F2" w:color="auto" w:val="clear"/>
          </w:tcPr>
          <w:p>
            <w:pPr>
              <w:jc w:val="center"/>
            </w:pPr>
            <w:r>
              <w:rPr>
                <w:rFonts w:ascii="Times New Roman" w:cs="Times New Roman" w:eastAsia="Times New Roman" w:hAnsi="Times New Roman"/>
                <w:b/>
                <w:bCs/>
                <w:sz w:val="19"/>
                <w:szCs w:val="19"/>
              </w:rPr>
              <w:t xml:space="preserve">Definition</w:t>
            </w:r>
          </w:p>
        </w:tc>
        <w:tc>
          <w:tcPr>
            <w:tcW w:type="dxa" w:w="1320"/>
            <w:shd w:fill="D9E1F2" w:color="auto" w:val="clear"/>
          </w:tcPr>
          <w:p>
            <w:pPr>
              <w:jc w:val="center"/>
            </w:pPr>
            <w:r>
              <w:rPr>
                <w:rFonts w:ascii="Times New Roman" w:cs="Times New Roman" w:eastAsia="Times New Roman" w:hAnsi="Times New Roman"/>
                <w:b/>
                <w:bCs/>
                <w:sz w:val="19"/>
                <w:szCs w:val="19"/>
              </w:rPr>
              <w:t xml:space="preserve">Reported As</w:t>
            </w:r>
          </w:p>
        </w:tc>
      </w:tr>
      <w:tr>
        <w:tc>
          <w:tcPr>
            <w:tcW w:type="dxa" w:w="2200"/>
            <w:shd w:fill="FFFFFF" w:color="auto" w:val="clear"/>
          </w:tcPr>
          <w:p>
            <w:r>
              <w:rPr>
                <w:rFonts w:ascii="Times New Roman" w:cs="Times New Roman" w:eastAsia="Times New Roman" w:hAnsi="Times New Roman"/>
                <w:sz w:val="18"/>
                <w:szCs w:val="18"/>
              </w:rPr>
              <w:t xml:space="preserve">Hallucination Rate</w:t>
            </w:r>
          </w:p>
        </w:tc>
        <w:tc>
          <w:tcPr>
            <w:tcW w:type="dxa" w:w="4400"/>
            <w:shd w:fill="FFFFFF" w:color="auto" w:val="clear"/>
          </w:tcPr>
          <w:p>
            <w:r>
              <w:rPr>
                <w:rFonts w:ascii="Times New Roman" w:cs="Times New Roman" w:eastAsia="Times New Roman" w:hAnsi="Times New Roman"/>
                <w:sz w:val="18"/>
                <w:szCs w:val="18"/>
              </w:rPr>
              <w:t xml:space="preserve">Proportion of generated reports containing at least one claim not traceable to the validated claim set, the referral output, or explicit prompt instructions.</w:t>
            </w:r>
          </w:p>
        </w:tc>
        <w:tc>
          <w:tcPr>
            <w:tcW w:type="dxa" w:w="1320"/>
            <w:shd w:fill="FFFFFF" w:color="auto" w:val="clear"/>
          </w:tcPr>
          <w:p>
            <w:r>
              <w:rPr>
                <w:rFonts w:ascii="Times New Roman" w:cs="Times New Roman" w:eastAsia="Times New Roman" w:hAnsi="Times New Roman"/>
                <w:sz w:val="18"/>
                <w:szCs w:val="18"/>
              </w:rPr>
              <w:t xml:space="preserve">Mean ± SD across 5 runs</w:t>
            </w:r>
          </w:p>
        </w:tc>
      </w:tr>
      <w:tr>
        <w:tc>
          <w:tcPr>
            <w:tcW w:type="dxa" w:w="2200"/>
            <w:shd w:fill="F2F2F2" w:color="auto" w:val="clear"/>
          </w:tcPr>
          <w:p>
            <w:r>
              <w:rPr>
                <w:rFonts w:ascii="Times New Roman" w:cs="Times New Roman" w:eastAsia="Times New Roman" w:hAnsi="Times New Roman"/>
                <w:sz w:val="18"/>
                <w:szCs w:val="18"/>
              </w:rPr>
              <w:t xml:space="preserve">Claim Support Rate</w:t>
            </w:r>
          </w:p>
        </w:tc>
        <w:tc>
          <w:tcPr>
            <w:tcW w:type="dxa" w:w="4400"/>
            <w:shd w:fill="F2F2F2" w:color="auto" w:val="clear"/>
          </w:tcPr>
          <w:p>
            <w:r>
              <w:rPr>
                <w:rFonts w:ascii="Times New Roman" w:cs="Times New Roman" w:eastAsia="Times New Roman" w:hAnsi="Times New Roman"/>
                <w:sz w:val="18"/>
                <w:szCs w:val="18"/>
              </w:rPr>
              <w:t xml:space="preserve">Proportion of extracted claims classified as "supported" (cosine similarity ≥ 0.72) by the validation agent against the clinical knowledge base.</w:t>
            </w:r>
          </w:p>
        </w:tc>
        <w:tc>
          <w:tcPr>
            <w:tcW w:type="dxa" w:w="1320"/>
            <w:shd w:fill="F2F2F2" w:color="auto" w:val="clear"/>
          </w:tcPr>
          <w:p>
            <w:r>
              <w:rPr>
                <w:rFonts w:ascii="Times New Roman" w:cs="Times New Roman" w:eastAsia="Times New Roman" w:hAnsi="Times New Roman"/>
                <w:sz w:val="18"/>
                <w:szCs w:val="18"/>
              </w:rPr>
              <w:t xml:space="preserve">Mean ± SD across 5 runs</w:t>
            </w:r>
          </w:p>
        </w:tc>
      </w:tr>
      <w:tr>
        <w:tc>
          <w:tcPr>
            <w:tcW w:type="dxa" w:w="2200"/>
            <w:shd w:fill="FFFFFF" w:color="auto" w:val="clear"/>
          </w:tcPr>
          <w:p>
            <w:r>
              <w:rPr>
                <w:rFonts w:ascii="Times New Roman" w:cs="Times New Roman" w:eastAsia="Times New Roman" w:hAnsi="Times New Roman"/>
                <w:sz w:val="18"/>
                <w:szCs w:val="18"/>
              </w:rPr>
              <w:t xml:space="preserve">Schema Compliance Rate</w:t>
            </w:r>
          </w:p>
        </w:tc>
        <w:tc>
          <w:tcPr>
            <w:tcW w:type="dxa" w:w="4400"/>
            <w:shd w:fill="FFFFFF" w:color="auto" w:val="clear"/>
          </w:tcPr>
          <w:p>
            <w:r>
              <w:rPr>
                <w:rFonts w:ascii="Times New Roman" w:cs="Times New Roman" w:eastAsia="Times New Roman" w:hAnsi="Times New Roman"/>
                <w:sz w:val="18"/>
                <w:szCs w:val="18"/>
              </w:rPr>
              <w:t xml:space="preserve">Proportion of pipeline runs in which all structured agent outputs conform to their defined JSON schemas without manual repair.</w:t>
            </w:r>
          </w:p>
        </w:tc>
        <w:tc>
          <w:tcPr>
            <w:tcW w:type="dxa" w:w="1320"/>
            <w:shd w:fill="FFFFFF" w:color="auto" w:val="clear"/>
          </w:tcPr>
          <w:p>
            <w:r>
              <w:rPr>
                <w:rFonts w:ascii="Times New Roman" w:cs="Times New Roman" w:eastAsia="Times New Roman" w:hAnsi="Times New Roman"/>
                <w:sz w:val="18"/>
                <w:szCs w:val="18"/>
              </w:rPr>
              <w:t xml:space="preserve">Mean ± SD across 5 runs</w:t>
            </w:r>
          </w:p>
        </w:tc>
      </w:tr>
    </w:tbl>
    <w:p>
      <w:pPr>
        <w:spacing w:after="80"/>
      </w:pPr>
    </w:p>
    <w:p>
      <w:pPr>
        <w:pStyle w:val="Heading2"/>
        <w:spacing w:after="100" w:before="200"/>
      </w:pPr>
      <w:r>
        <w:t xml:space="preserve">2.3  Safety Metrics</w:t>
      </w:r>
    </w:p>
    <w:tbl>
      <w:tblPr>
        <w:tblW w:type="dxa" w:w="7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2400"/>
        <w:gridCol w:w="4200"/>
        <w:gridCol w:w="1320"/>
      </w:tblGrid>
      <w:tr>
        <w:trPr>
          <w:tblHeader/>
        </w:trPr>
        <w:tc>
          <w:tcPr>
            <w:tcW w:type="dxa" w:w="2400"/>
            <w:shd w:fill="D9E1F2" w:color="auto" w:val="clear"/>
          </w:tcPr>
          <w:p>
            <w:pPr>
              <w:jc w:val="center"/>
            </w:pPr>
            <w:r>
              <w:rPr>
                <w:rFonts w:ascii="Times New Roman" w:cs="Times New Roman" w:eastAsia="Times New Roman" w:hAnsi="Times New Roman"/>
                <w:b/>
                <w:bCs/>
                <w:sz w:val="19"/>
                <w:szCs w:val="19"/>
              </w:rPr>
              <w:t xml:space="preserve">Metric</w:t>
            </w:r>
          </w:p>
        </w:tc>
        <w:tc>
          <w:tcPr>
            <w:tcW w:type="dxa" w:w="4200"/>
            <w:shd w:fill="D9E1F2" w:color="auto" w:val="clear"/>
          </w:tcPr>
          <w:p>
            <w:pPr>
              <w:jc w:val="center"/>
            </w:pPr>
            <w:r>
              <w:rPr>
                <w:rFonts w:ascii="Times New Roman" w:cs="Times New Roman" w:eastAsia="Times New Roman" w:hAnsi="Times New Roman"/>
                <w:b/>
                <w:bCs/>
                <w:sz w:val="19"/>
                <w:szCs w:val="19"/>
              </w:rPr>
              <w:t xml:space="preserve">Definition</w:t>
            </w:r>
          </w:p>
        </w:tc>
        <w:tc>
          <w:tcPr>
            <w:tcW w:type="dxa" w:w="1320"/>
            <w:shd w:fill="D9E1F2" w:color="auto" w:val="clear"/>
          </w:tcPr>
          <w:p>
            <w:pPr>
              <w:jc w:val="center"/>
            </w:pPr>
            <w:r>
              <w:rPr>
                <w:rFonts w:ascii="Times New Roman" w:cs="Times New Roman" w:eastAsia="Times New Roman" w:hAnsi="Times New Roman"/>
                <w:b/>
                <w:bCs/>
                <w:sz w:val="19"/>
                <w:szCs w:val="19"/>
              </w:rPr>
              <w:t xml:space="preserve">Reported As</w:t>
            </w:r>
          </w:p>
        </w:tc>
      </w:tr>
      <w:tr>
        <w:tc>
          <w:tcPr>
            <w:tcW w:type="dxa" w:w="2400"/>
            <w:shd w:fill="FFFFFF" w:color="auto" w:val="clear"/>
          </w:tcPr>
          <w:p>
            <w:r>
              <w:rPr>
                <w:rFonts w:ascii="Times New Roman" w:cs="Times New Roman" w:eastAsia="Times New Roman" w:hAnsi="Times New Roman"/>
                <w:sz w:val="18"/>
                <w:szCs w:val="18"/>
              </w:rPr>
              <w:t xml:space="preserve">Safety Override Precision</w:t>
            </w:r>
          </w:p>
        </w:tc>
        <w:tc>
          <w:tcPr>
            <w:tcW w:type="dxa" w:w="4200"/>
            <w:shd w:fill="FFFFFF" w:color="auto" w:val="clear"/>
          </w:tcPr>
          <w:p>
            <w:r>
              <w:rPr>
                <w:rFonts w:ascii="Times New Roman" w:cs="Times New Roman" w:eastAsia="Times New Roman" w:hAnsi="Times New Roman"/>
                <w:sz w:val="18"/>
                <w:szCs w:val="18"/>
              </w:rPr>
              <w:t xml:space="preserve">Proportion of triggered safety overrides that correspond to genuine crisis inputs (true positives / all triggered overrides).</w:t>
            </w:r>
          </w:p>
        </w:tc>
        <w:tc>
          <w:tcPr>
            <w:tcW w:type="dxa" w:w="1320"/>
            <w:shd w:fill="FFFFFF" w:color="auto" w:val="clear"/>
          </w:tcPr>
          <w:p>
            <w:r>
              <w:rPr>
                <w:rFonts w:ascii="Times New Roman" w:cs="Times New Roman" w:eastAsia="Times New Roman" w:hAnsi="Times New Roman"/>
                <w:sz w:val="18"/>
                <w:szCs w:val="18"/>
              </w:rPr>
              <w:t xml:space="preserve">Mean ± SD; 95 % bootstrap CI</w:t>
            </w:r>
          </w:p>
        </w:tc>
      </w:tr>
      <w:tr>
        <w:tc>
          <w:tcPr>
            <w:tcW w:type="dxa" w:w="2400"/>
            <w:shd w:fill="F2F2F2" w:color="auto" w:val="clear"/>
          </w:tcPr>
          <w:p>
            <w:r>
              <w:rPr>
                <w:rFonts w:ascii="Times New Roman" w:cs="Times New Roman" w:eastAsia="Times New Roman" w:hAnsi="Times New Roman"/>
                <w:sz w:val="18"/>
                <w:szCs w:val="18"/>
              </w:rPr>
              <w:t xml:space="preserve">Safety Override Recall</w:t>
            </w:r>
          </w:p>
        </w:tc>
        <w:tc>
          <w:tcPr>
            <w:tcW w:type="dxa" w:w="4200"/>
            <w:shd w:fill="F2F2F2" w:color="auto" w:val="clear"/>
          </w:tcPr>
          <w:p>
            <w:r>
              <w:rPr>
                <w:rFonts w:ascii="Times New Roman" w:cs="Times New Roman" w:eastAsia="Times New Roman" w:hAnsi="Times New Roman"/>
                <w:sz w:val="18"/>
                <w:szCs w:val="18"/>
              </w:rPr>
              <w:t xml:space="preserve">Proportion of genuine crisis inputs that correctly triggered the safety override. Recall is the primary safety statistic.</w:t>
            </w:r>
          </w:p>
        </w:tc>
        <w:tc>
          <w:tcPr>
            <w:tcW w:type="dxa" w:w="1320"/>
            <w:shd w:fill="F2F2F2" w:color="auto" w:val="clear"/>
          </w:tcPr>
          <w:p>
            <w:r>
              <w:rPr>
                <w:rFonts w:ascii="Times New Roman" w:cs="Times New Roman" w:eastAsia="Times New Roman" w:hAnsi="Times New Roman"/>
                <w:sz w:val="18"/>
                <w:szCs w:val="18"/>
              </w:rPr>
              <w:t xml:space="preserve">Mean ± SD; 95 % bootstrap CI</w:t>
            </w:r>
          </w:p>
        </w:tc>
      </w:tr>
      <w:tr>
        <w:tc>
          <w:tcPr>
            <w:tcW w:type="dxa" w:w="2400"/>
            <w:shd w:fill="FFFFFF" w:color="auto" w:val="clear"/>
          </w:tcPr>
          <w:p>
            <w:r>
              <w:rPr>
                <w:rFonts w:ascii="Times New Roman" w:cs="Times New Roman" w:eastAsia="Times New Roman" w:hAnsi="Times New Roman"/>
                <w:sz w:val="18"/>
                <w:szCs w:val="18"/>
              </w:rPr>
              <w:t xml:space="preserve">Safety Override F1</w:t>
            </w:r>
          </w:p>
        </w:tc>
        <w:tc>
          <w:tcPr>
            <w:tcW w:type="dxa" w:w="4200"/>
            <w:shd w:fill="FFFFFF" w:color="auto" w:val="clear"/>
          </w:tcPr>
          <w:p>
            <w:r>
              <w:rPr>
                <w:rFonts w:ascii="Times New Roman" w:cs="Times New Roman" w:eastAsia="Times New Roman" w:hAnsi="Times New Roman"/>
                <w:sz w:val="18"/>
                <w:szCs w:val="18"/>
              </w:rPr>
              <w:t xml:space="preserve">Harmonic mean of precision and recall.</w:t>
            </w:r>
          </w:p>
        </w:tc>
        <w:tc>
          <w:tcPr>
            <w:tcW w:type="dxa" w:w="1320"/>
            <w:shd w:fill="FFFFFF" w:color="auto" w:val="clear"/>
          </w:tcPr>
          <w:p>
            <w:r>
              <w:rPr>
                <w:rFonts w:ascii="Times New Roman" w:cs="Times New Roman" w:eastAsia="Times New Roman" w:hAnsi="Times New Roman"/>
                <w:sz w:val="18"/>
                <w:szCs w:val="18"/>
              </w:rPr>
              <w:t xml:space="preserve">Mean ± SD; 95 % bootstrap CI</w:t>
            </w:r>
          </w:p>
        </w:tc>
      </w:tr>
    </w:tbl>
    <w:p>
      <w:pPr>
        <w:spacing w:after="80"/>
      </w:pPr>
    </w:p>
    <w:p>
      <w:pPr>
        <w:pStyle w:val="Heading2"/>
        <w:spacing w:after="100" w:before="200"/>
      </w:pPr>
      <w:r>
        <w:t xml:space="preserve">2.4  Efficiency Metrics</w:t>
      </w:r>
    </w:p>
    <w:tbl>
      <w:tblPr>
        <w:tblW w:type="dxa" w:w="7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2800"/>
        <w:gridCol w:w="4000"/>
        <w:gridCol w:w="1120"/>
      </w:tblGrid>
      <w:tr>
        <w:trPr>
          <w:tblHeader/>
        </w:trPr>
        <w:tc>
          <w:tcPr>
            <w:tcW w:type="dxa" w:w="2800"/>
            <w:shd w:fill="D9E1F2" w:color="auto" w:val="clear"/>
          </w:tcPr>
          <w:p>
            <w:pPr>
              <w:jc w:val="center"/>
            </w:pPr>
            <w:r>
              <w:rPr>
                <w:rFonts w:ascii="Times New Roman" w:cs="Times New Roman" w:eastAsia="Times New Roman" w:hAnsi="Times New Roman"/>
                <w:b/>
                <w:bCs/>
                <w:sz w:val="19"/>
                <w:szCs w:val="19"/>
              </w:rPr>
              <w:t xml:space="preserve">Metric</w:t>
            </w:r>
          </w:p>
        </w:tc>
        <w:tc>
          <w:tcPr>
            <w:tcW w:type="dxa" w:w="4000"/>
            <w:shd w:fill="D9E1F2" w:color="auto" w:val="clear"/>
          </w:tcPr>
          <w:p>
            <w:pPr>
              <w:jc w:val="center"/>
            </w:pPr>
            <w:r>
              <w:rPr>
                <w:rFonts w:ascii="Times New Roman" w:cs="Times New Roman" w:eastAsia="Times New Roman" w:hAnsi="Times New Roman"/>
                <w:b/>
                <w:bCs/>
                <w:sz w:val="19"/>
                <w:szCs w:val="19"/>
              </w:rPr>
              <w:t xml:space="preserve">Definition</w:t>
            </w:r>
          </w:p>
        </w:tc>
        <w:tc>
          <w:tcPr>
            <w:tcW w:type="dxa" w:w="1120"/>
            <w:shd w:fill="D9E1F2" w:color="auto" w:val="clear"/>
          </w:tcPr>
          <w:p>
            <w:pPr>
              <w:jc w:val="center"/>
            </w:pPr>
            <w:r>
              <w:rPr>
                <w:rFonts w:ascii="Times New Roman" w:cs="Times New Roman" w:eastAsia="Times New Roman" w:hAnsi="Times New Roman"/>
                <w:b/>
                <w:bCs/>
                <w:sz w:val="19"/>
                <w:szCs w:val="19"/>
              </w:rPr>
              <w:t xml:space="preserve">Reported As</w:t>
            </w:r>
          </w:p>
        </w:tc>
      </w:tr>
      <w:tr>
        <w:tc>
          <w:tcPr>
            <w:tcW w:type="dxa" w:w="2800"/>
            <w:shd w:fill="FFFFFF" w:color="auto" w:val="clear"/>
          </w:tcPr>
          <w:p>
            <w:r>
              <w:rPr>
                <w:rFonts w:ascii="Times New Roman" w:cs="Times New Roman" w:eastAsia="Times New Roman" w:hAnsi="Times New Roman"/>
                <w:sz w:val="18"/>
                <w:szCs w:val="18"/>
              </w:rPr>
              <w:t xml:space="preserve">Overall Latency (totalRequestMs)</w:t>
            </w:r>
          </w:p>
        </w:tc>
        <w:tc>
          <w:tcPr>
            <w:tcW w:type="dxa" w:w="4000"/>
            <w:shd w:fill="FFFFFF" w:color="auto" w:val="clear"/>
          </w:tcPr>
          <w:p>
            <w:r>
              <w:rPr>
                <w:rFonts w:ascii="Times New Roman" w:cs="Times New Roman" w:eastAsia="Times New Roman" w:hAnsi="Times New Roman"/>
                <w:sz w:val="18"/>
                <w:szCs w:val="18"/>
              </w:rPr>
              <w:t xml:space="preserve">Wall-clock time from API request receipt to full response delivery.</w:t>
            </w:r>
          </w:p>
        </w:tc>
        <w:tc>
          <w:tcPr>
            <w:tcW w:type="dxa" w:w="1120"/>
            <w:shd w:fill="FFFFFF" w:color="auto" w:val="clear"/>
          </w:tcPr>
          <w:p>
            <w:r>
              <w:rPr>
                <w:rFonts w:ascii="Times New Roman" w:cs="Times New Roman" w:eastAsia="Times New Roman" w:hAnsi="Times New Roman"/>
                <w:sz w:val="18"/>
                <w:szCs w:val="18"/>
              </w:rPr>
              <w:t xml:space="preserve">Mean ± SD in ms</w:t>
            </w:r>
          </w:p>
        </w:tc>
      </w:tr>
      <w:tr>
        <w:tc>
          <w:tcPr>
            <w:tcW w:type="dxa" w:w="2800"/>
            <w:shd w:fill="F2F2F2" w:color="auto" w:val="clear"/>
          </w:tcPr>
          <w:p>
            <w:r>
              <w:rPr>
                <w:rFonts w:ascii="Times New Roman" w:cs="Times New Roman" w:eastAsia="Times New Roman" w:hAnsi="Times New Roman"/>
                <w:sz w:val="18"/>
                <w:szCs w:val="18"/>
              </w:rPr>
              <w:t xml:space="preserve">Pre-assessment Phase (preAssessMs)</w:t>
            </w:r>
          </w:p>
        </w:tc>
        <w:tc>
          <w:tcPr>
            <w:tcW w:type="dxa" w:w="4000"/>
            <w:shd w:fill="F2F2F2" w:color="auto" w:val="clear"/>
          </w:tcPr>
          <w:p>
            <w:r>
              <w:rPr>
                <w:rFonts w:ascii="Times New Roman" w:cs="Times New Roman" w:eastAsia="Times New Roman" w:hAnsi="Times New Roman"/>
                <w:sz w:val="18"/>
                <w:szCs w:val="18"/>
              </w:rPr>
              <w:t xml:space="preserve">Time for input validation, safety check, and GAD-7 scoring.</w:t>
            </w:r>
          </w:p>
        </w:tc>
        <w:tc>
          <w:tcPr>
            <w:tcW w:type="dxa" w:w="1120"/>
            <w:shd w:fill="F2F2F2" w:color="auto" w:val="clear"/>
          </w:tcPr>
          <w:p>
            <w:r>
              <w:rPr>
                <w:rFonts w:ascii="Times New Roman" w:cs="Times New Roman" w:eastAsia="Times New Roman" w:hAnsi="Times New Roman"/>
                <w:sz w:val="18"/>
                <w:szCs w:val="18"/>
              </w:rPr>
              <w:t xml:space="preserve">Mean ± SD in ms</w:t>
            </w:r>
          </w:p>
        </w:tc>
      </w:tr>
      <w:tr>
        <w:tc>
          <w:tcPr>
            <w:tcW w:type="dxa" w:w="2800"/>
            <w:shd w:fill="FFFFFF" w:color="auto" w:val="clear"/>
          </w:tcPr>
          <w:p>
            <w:r>
              <w:rPr>
                <w:rFonts w:ascii="Times New Roman" w:cs="Times New Roman" w:eastAsia="Times New Roman" w:hAnsi="Times New Roman"/>
                <w:sz w:val="18"/>
                <w:szCs w:val="18"/>
              </w:rPr>
              <w:t xml:space="preserve">Mastra Pipeline Phase (mastraMs)</w:t>
            </w:r>
          </w:p>
        </w:tc>
        <w:tc>
          <w:tcPr>
            <w:tcW w:type="dxa" w:w="4000"/>
            <w:shd w:fill="FFFFFF" w:color="auto" w:val="clear"/>
          </w:tcPr>
          <w:p>
            <w:r>
              <w:rPr>
                <w:rFonts w:ascii="Times New Roman" w:cs="Times New Roman" w:eastAsia="Times New Roman" w:hAnsi="Times New Roman"/>
                <w:sz w:val="18"/>
                <w:szCs w:val="18"/>
              </w:rPr>
              <w:t xml:space="preserve">Time for all six agents, claims builder, retrieval, and validation.</w:t>
            </w:r>
          </w:p>
        </w:tc>
        <w:tc>
          <w:tcPr>
            <w:tcW w:type="dxa" w:w="1120"/>
            <w:shd w:fill="FFFFFF" w:color="auto" w:val="clear"/>
          </w:tcPr>
          <w:p>
            <w:r>
              <w:rPr>
                <w:rFonts w:ascii="Times New Roman" w:cs="Times New Roman" w:eastAsia="Times New Roman" w:hAnsi="Times New Roman"/>
                <w:sz w:val="18"/>
                <w:szCs w:val="18"/>
              </w:rPr>
              <w:t xml:space="preserve">Mean ± SD in ms</w:t>
            </w:r>
          </w:p>
        </w:tc>
      </w:tr>
      <w:tr>
        <w:tc>
          <w:tcPr>
            <w:tcW w:type="dxa" w:w="2800"/>
            <w:shd w:fill="F2F2F2" w:color="auto" w:val="clear"/>
          </w:tcPr>
          <w:p>
            <w:r>
              <w:rPr>
                <w:rFonts w:ascii="Times New Roman" w:cs="Times New Roman" w:eastAsia="Times New Roman" w:hAnsi="Times New Roman"/>
                <w:sz w:val="18"/>
                <w:szCs w:val="18"/>
              </w:rPr>
              <w:t xml:space="preserve">Grounding Phase (groundingMs)</w:t>
            </w:r>
          </w:p>
        </w:tc>
        <w:tc>
          <w:tcPr>
            <w:tcW w:type="dxa" w:w="4000"/>
            <w:shd w:fill="F2F2F2" w:color="auto" w:val="clear"/>
          </w:tcPr>
          <w:p>
            <w:r>
              <w:rPr>
                <w:rFonts w:ascii="Times New Roman" w:cs="Times New Roman" w:eastAsia="Times New Roman" w:hAnsi="Times New Roman"/>
                <w:sz w:val="18"/>
                <w:szCs w:val="18"/>
              </w:rPr>
              <w:t xml:space="preserve">Time for RAG retrieval and evidence validation.</w:t>
            </w:r>
          </w:p>
        </w:tc>
        <w:tc>
          <w:tcPr>
            <w:tcW w:type="dxa" w:w="1120"/>
            <w:shd w:fill="F2F2F2" w:color="auto" w:val="clear"/>
          </w:tcPr>
          <w:p>
            <w:r>
              <w:rPr>
                <w:rFonts w:ascii="Times New Roman" w:cs="Times New Roman" w:eastAsia="Times New Roman" w:hAnsi="Times New Roman"/>
                <w:sz w:val="18"/>
                <w:szCs w:val="18"/>
              </w:rPr>
              <w:t xml:space="preserve">Mean ± SD in ms</w:t>
            </w:r>
          </w:p>
        </w:tc>
      </w:tr>
    </w:tbl>
    <w:p>
      <w:pPr>
        <w:spacing w:after="80"/>
      </w:pPr>
    </w:p>
    <w:p>
      <w:pPr>
        <w:pStyle w:val="Heading1"/>
        <w:spacing w:after="160" w:before="320"/>
      </w:pPr>
      <w:r>
        <w:t xml:space="preserve">3. Datasets</w:t>
      </w:r>
    </w:p>
    <w:p>
      <w:pPr>
        <w:spacing w:after="120"/>
      </w:pPr>
      <w:r>
        <w:rPr>
          <w:rFonts w:ascii="Times New Roman" w:cs="Times New Roman" w:eastAsia="Times New Roman" w:hAnsi="Times New Roman"/>
          <w:sz w:val="22"/>
          <w:szCs w:val="22"/>
        </w:rPr>
        <w:t xml:space="preserve">Two datasets are used in the primary evaluation. Both are sourced from Reddit, are compatible with the AnxioSense social media screening mode, and are published in top-tier venues. Their different label types (stress proxy vs. self-reported diagnosis) add methodological diversity.</w:t>
      </w:r>
    </w:p>
    <w:p>
      <w:pPr>
        <w:spacing w:after="80"/>
      </w:pPr>
    </w:p>
    <w:tbl>
      <w:tblPr>
        <w:tblW w:type="dxa" w:w="7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1900"/>
        <w:gridCol w:w="2900"/>
        <w:gridCol w:w="3120"/>
      </w:tblGrid>
      <w:tr>
        <w:trPr>
          <w:tblHeader/>
        </w:trPr>
        <w:tc>
          <w:tcPr>
            <w:tcW w:type="dxa" w:w="1900"/>
            <w:shd w:fill="D9E1F2" w:color="auto" w:val="clear"/>
          </w:tcPr>
          <w:p>
            <w:pPr>
              <w:jc w:val="center"/>
            </w:pPr>
            <w:r>
              <w:rPr>
                <w:rFonts w:ascii="Times New Roman" w:cs="Times New Roman" w:eastAsia="Times New Roman" w:hAnsi="Times New Roman"/>
                <w:b/>
                <w:bCs/>
                <w:sz w:val="19"/>
                <w:szCs w:val="19"/>
              </w:rPr>
              <w:t xml:space="preserve">Property</w:t>
            </w:r>
          </w:p>
        </w:tc>
        <w:tc>
          <w:tcPr>
            <w:tcW w:type="dxa" w:w="2900"/>
            <w:shd w:fill="D9E1F2" w:color="auto" w:val="clear"/>
          </w:tcPr>
          <w:p>
            <w:pPr>
              <w:jc w:val="center"/>
            </w:pPr>
            <w:r>
              <w:rPr>
                <w:rFonts w:ascii="Times New Roman" w:cs="Times New Roman" w:eastAsia="Times New Roman" w:hAnsi="Times New Roman"/>
                <w:b/>
                <w:bCs/>
                <w:sz w:val="19"/>
                <w:szCs w:val="19"/>
              </w:rPr>
              <w:t xml:space="preserve">Dataset 1 — Dreaddit</w:t>
            </w:r>
          </w:p>
        </w:tc>
        <w:tc>
          <w:tcPr>
            <w:tcW w:type="dxa" w:w="3120"/>
            <w:shd w:fill="D9E1F2" w:color="auto" w:val="clear"/>
          </w:tcPr>
          <w:p>
            <w:pPr>
              <w:jc w:val="center"/>
            </w:pPr>
            <w:r>
              <w:rPr>
                <w:rFonts w:ascii="Times New Roman" w:cs="Times New Roman" w:eastAsia="Times New Roman" w:hAnsi="Times New Roman"/>
                <w:b/>
                <w:bCs/>
                <w:sz w:val="19"/>
                <w:szCs w:val="19"/>
              </w:rPr>
              <w:t xml:space="preserve">Dataset 2 — ANGST</w:t>
            </w:r>
          </w:p>
        </w:tc>
      </w:tr>
      <w:tr>
        <w:tc>
          <w:tcPr>
            <w:tcW w:type="dxa" w:w="1900"/>
            <w:shd w:fill="FFFFFF" w:color="auto" w:val="clear"/>
          </w:tcPr>
          <w:p>
            <w:r>
              <w:rPr>
                <w:rFonts w:ascii="Times New Roman" w:cs="Times New Roman" w:eastAsia="Times New Roman" w:hAnsi="Times New Roman"/>
                <w:sz w:val="18"/>
                <w:szCs w:val="18"/>
              </w:rPr>
              <w:t xml:space="preserve">Full name</w:t>
            </w:r>
          </w:p>
        </w:tc>
        <w:tc>
          <w:tcPr>
            <w:tcW w:type="dxa" w:w="2900"/>
            <w:shd w:fill="FFFFFF" w:color="auto" w:val="clear"/>
          </w:tcPr>
          <w:p>
            <w:r>
              <w:rPr>
                <w:rFonts w:ascii="Times New Roman" w:cs="Times New Roman" w:eastAsia="Times New Roman" w:hAnsi="Times New Roman"/>
                <w:sz w:val="18"/>
                <w:szCs w:val="18"/>
              </w:rPr>
              <w:t xml:space="preserve">Dreaddit: A Reddit Dataset for Stress Analysis in Social Media</w:t>
            </w:r>
          </w:p>
        </w:tc>
        <w:tc>
          <w:tcPr>
            <w:tcW w:type="dxa" w:w="3120"/>
            <w:shd w:fill="FFFFFF" w:color="auto" w:val="clear"/>
          </w:tcPr>
          <w:p>
            <w:r>
              <w:rPr>
                <w:rFonts w:ascii="Times New Roman" w:cs="Times New Roman" w:eastAsia="Times New Roman" w:hAnsi="Times New Roman"/>
                <w:sz w:val="18"/>
                <w:szCs w:val="18"/>
              </w:rPr>
              <w:t xml:space="preserve">ANGST: A Dataset for Anxiety and Stress Analysis</w:t>
            </w:r>
          </w:p>
        </w:tc>
      </w:tr>
      <w:tr>
        <w:tc>
          <w:tcPr>
            <w:tcW w:type="dxa" w:w="1900"/>
            <w:shd w:fill="F2F2F2" w:color="auto" w:val="clear"/>
          </w:tcPr>
          <w:p>
            <w:r>
              <w:rPr>
                <w:rFonts w:ascii="Times New Roman" w:cs="Times New Roman" w:eastAsia="Times New Roman" w:hAnsi="Times New Roman"/>
                <w:sz w:val="18"/>
                <w:szCs w:val="18"/>
              </w:rPr>
              <w:t xml:space="preserve">Citation</w:t>
            </w:r>
          </w:p>
        </w:tc>
        <w:tc>
          <w:tcPr>
            <w:tcW w:type="dxa" w:w="2900"/>
            <w:shd w:fill="F2F2F2" w:color="auto" w:val="clear"/>
          </w:tcPr>
          <w:p>
            <w:r>
              <w:rPr>
                <w:rFonts w:ascii="Times New Roman" w:cs="Times New Roman" w:eastAsia="Times New Roman" w:hAnsi="Times New Roman"/>
                <w:sz w:val="18"/>
                <w:szCs w:val="18"/>
              </w:rPr>
              <w:t xml:space="preserve">Turcan &amp; McKeown, 2019</w:t>
            </w:r>
          </w:p>
        </w:tc>
        <w:tc>
          <w:tcPr>
            <w:tcW w:type="dxa" w:w="3120"/>
            <w:shd w:fill="F2F2F2" w:color="auto" w:val="clear"/>
          </w:tcPr>
          <w:p>
            <w:r>
              <w:rPr>
                <w:rFonts w:ascii="Times New Roman" w:cs="Times New Roman" w:eastAsia="Times New Roman" w:hAnsi="Times New Roman"/>
                <w:sz w:val="18"/>
                <w:szCs w:val="18"/>
              </w:rPr>
              <w:t xml:space="preserve">Hengle et al., 2024</w:t>
            </w:r>
          </w:p>
        </w:tc>
      </w:tr>
      <w:tr>
        <w:tc>
          <w:tcPr>
            <w:tcW w:type="dxa" w:w="1900"/>
            <w:shd w:fill="FFFFFF" w:color="auto" w:val="clear"/>
          </w:tcPr>
          <w:p>
            <w:r>
              <w:rPr>
                <w:rFonts w:ascii="Times New Roman" w:cs="Times New Roman" w:eastAsia="Times New Roman" w:hAnsi="Times New Roman"/>
                <w:sz w:val="18"/>
                <w:szCs w:val="18"/>
              </w:rPr>
              <w:t xml:space="preserve">Venue</w:t>
            </w:r>
          </w:p>
        </w:tc>
        <w:tc>
          <w:tcPr>
            <w:tcW w:type="dxa" w:w="2900"/>
            <w:shd w:fill="FFFFFF" w:color="auto" w:val="clear"/>
          </w:tcPr>
          <w:p>
            <w:r>
              <w:rPr>
                <w:rFonts w:ascii="Times New Roman" w:cs="Times New Roman" w:eastAsia="Times New Roman" w:hAnsi="Times New Roman"/>
                <w:sz w:val="18"/>
                <w:szCs w:val="18"/>
              </w:rPr>
              <w:t xml:space="preserve">CLPsych 2019, co-located with NAACL-HLT 2019</w:t>
            </w:r>
          </w:p>
        </w:tc>
        <w:tc>
          <w:tcPr>
            <w:tcW w:type="dxa" w:w="3120"/>
            <w:shd w:fill="FFFFFF" w:color="auto" w:val="clear"/>
          </w:tcPr>
          <w:p>
            <w:r>
              <w:rPr>
                <w:rFonts w:ascii="Times New Roman" w:cs="Times New Roman" w:eastAsia="Times New Roman" w:hAnsi="Times New Roman"/>
                <w:sz w:val="18"/>
                <w:szCs w:val="18"/>
              </w:rPr>
              <w:t xml:space="preserve">EMNLP 2024 (main conference)</w:t>
            </w:r>
          </w:p>
        </w:tc>
      </w:tr>
      <w:tr>
        <w:tc>
          <w:tcPr>
            <w:tcW w:type="dxa" w:w="1900"/>
            <w:shd w:fill="F2F2F2" w:color="auto" w:val="clear"/>
          </w:tcPr>
          <w:p>
            <w:r>
              <w:rPr>
                <w:rFonts w:ascii="Times New Roman" w:cs="Times New Roman" w:eastAsia="Times New Roman" w:hAnsi="Times New Roman"/>
                <w:sz w:val="18"/>
                <w:szCs w:val="18"/>
              </w:rPr>
              <w:t xml:space="preserve">Size used</w:t>
            </w:r>
          </w:p>
        </w:tc>
        <w:tc>
          <w:tcPr>
            <w:tcW w:type="dxa" w:w="2900"/>
            <w:shd w:fill="F2F2F2" w:color="auto" w:val="clear"/>
          </w:tcPr>
          <w:p>
            <w:r>
              <w:rPr>
                <w:rFonts w:ascii="Times New Roman" w:cs="Times New Roman" w:eastAsia="Times New Roman" w:hAnsi="Times New Roman"/>
                <w:sz w:val="18"/>
                <w:szCs w:val="18"/>
              </w:rPr>
              <w:t xml:space="preserve">3,553 Reddit posts across 5 subreddits</w:t>
            </w:r>
          </w:p>
        </w:tc>
        <w:tc>
          <w:tcPr>
            <w:tcW w:type="dxa" w:w="3120"/>
            <w:shd w:fill="F2F2F2" w:color="auto" w:val="clear"/>
          </w:tcPr>
          <w:p>
            <w:r>
              <w:rPr>
                <w:rFonts w:ascii="Times New Roman" w:cs="Times New Roman" w:eastAsia="Times New Roman" w:hAnsi="Times New Roman"/>
                <w:sz w:val="18"/>
                <w:szCs w:val="18"/>
              </w:rPr>
              <w:t xml:space="preserve">2,876 psychologist-annotated posts + 7,667 silver-standard posts</w:t>
            </w:r>
          </w:p>
        </w:tc>
      </w:tr>
      <w:tr>
        <w:tc>
          <w:tcPr>
            <w:tcW w:type="dxa" w:w="1900"/>
            <w:shd w:fill="FFFFFF" w:color="auto" w:val="clear"/>
          </w:tcPr>
          <w:p>
            <w:r>
              <w:rPr>
                <w:rFonts w:ascii="Times New Roman" w:cs="Times New Roman" w:eastAsia="Times New Roman" w:hAnsi="Times New Roman"/>
                <w:sz w:val="18"/>
                <w:szCs w:val="18"/>
              </w:rPr>
              <w:t xml:space="preserve">Ground-truth labels</w:t>
            </w:r>
          </w:p>
        </w:tc>
        <w:tc>
          <w:tcPr>
            <w:tcW w:type="dxa" w:w="2900"/>
            <w:shd w:fill="FFFFFF" w:color="auto" w:val="clear"/>
          </w:tcPr>
          <w:p>
            <w:r>
              <w:rPr>
                <w:rFonts w:ascii="Times New Roman" w:cs="Times New Roman" w:eastAsia="Times New Roman" w:hAnsi="Times New Roman"/>
                <w:sz w:val="18"/>
                <w:szCs w:val="18"/>
              </w:rPr>
              <w:t xml:space="preserve">Binary: stressed / not stressed</w:t>
            </w:r>
          </w:p>
        </w:tc>
        <w:tc>
          <w:tcPr>
            <w:tcW w:type="dxa" w:w="3120"/>
            <w:shd w:fill="FFFFFF" w:color="auto" w:val="clear"/>
          </w:tcPr>
          <w:p>
            <w:r>
              <w:rPr>
                <w:rFonts w:ascii="Times New Roman" w:cs="Times New Roman" w:eastAsia="Times New Roman" w:hAnsi="Times New Roman"/>
                <w:sz w:val="18"/>
                <w:szCs w:val="18"/>
              </w:rPr>
              <w:t xml:space="preserve">Anxiety / depression / both / neither (psychologist-annotated)</w:t>
            </w:r>
          </w:p>
        </w:tc>
      </w:tr>
      <w:tr>
        <w:tc>
          <w:tcPr>
            <w:tcW w:type="dxa" w:w="1900"/>
            <w:shd w:fill="F2F2F2" w:color="auto" w:val="clear"/>
          </w:tcPr>
          <w:p>
            <w:r>
              <w:rPr>
                <w:rFonts w:ascii="Times New Roman" w:cs="Times New Roman" w:eastAsia="Times New Roman" w:hAnsi="Times New Roman"/>
                <w:sz w:val="18"/>
                <w:szCs w:val="18"/>
              </w:rPr>
              <w:t xml:space="preserve">Input mode</w:t>
            </w:r>
          </w:p>
        </w:tc>
        <w:tc>
          <w:tcPr>
            <w:tcW w:type="dxa" w:w="2900"/>
            <w:shd w:fill="F2F2F2" w:color="auto" w:val="clear"/>
          </w:tcPr>
          <w:p>
            <w:r>
              <w:rPr>
                <w:rFonts w:ascii="Times New Roman" w:cs="Times New Roman" w:eastAsia="Times New Roman" w:hAnsi="Times New Roman"/>
                <w:sz w:val="18"/>
                <w:szCs w:val="18"/>
              </w:rPr>
              <w:t xml:space="preserve">Social media mode</w:t>
            </w:r>
          </w:p>
        </w:tc>
        <w:tc>
          <w:tcPr>
            <w:tcW w:type="dxa" w:w="3120"/>
            <w:shd w:fill="F2F2F2" w:color="auto" w:val="clear"/>
          </w:tcPr>
          <w:p>
            <w:r>
              <w:rPr>
                <w:rFonts w:ascii="Times New Roman" w:cs="Times New Roman" w:eastAsia="Times New Roman" w:hAnsi="Times New Roman"/>
                <w:sz w:val="18"/>
                <w:szCs w:val="18"/>
              </w:rPr>
              <w:t xml:space="preserve">Social media mode</w:t>
            </w:r>
          </w:p>
        </w:tc>
      </w:tr>
      <w:tr>
        <w:tc>
          <w:tcPr>
            <w:tcW w:type="dxa" w:w="1900"/>
            <w:shd w:fill="FFFFFF" w:color="auto" w:val="clear"/>
          </w:tcPr>
          <w:p>
            <w:r>
              <w:rPr>
                <w:rFonts w:ascii="Times New Roman" w:cs="Times New Roman" w:eastAsia="Times New Roman" w:hAnsi="Times New Roman"/>
                <w:sz w:val="18"/>
                <w:szCs w:val="18"/>
              </w:rPr>
              <w:t xml:space="preserve">Access</w:t>
            </w:r>
          </w:p>
        </w:tc>
        <w:tc>
          <w:tcPr>
            <w:tcW w:type="dxa" w:w="2900"/>
            <w:shd w:fill="FFFFFF" w:color="auto" w:val="clear"/>
          </w:tcPr>
          <w:p>
            <w:r>
              <w:rPr>
                <w:rFonts w:ascii="Times New Roman" w:cs="Times New Roman" w:eastAsia="Times New Roman" w:hAnsi="Times New Roman"/>
                <w:sz w:val="18"/>
                <w:szCs w:val="18"/>
              </w:rPr>
              <w:t xml:space="preserve">HuggingFace (andreagasparini/dreaddit); already downloaded</w:t>
            </w:r>
          </w:p>
        </w:tc>
        <w:tc>
          <w:tcPr>
            <w:tcW w:type="dxa" w:w="3120"/>
            <w:shd w:fill="FFFFFF" w:color="auto" w:val="clear"/>
          </w:tcPr>
          <w:p>
            <w:r>
              <w:rPr>
                <w:rFonts w:ascii="Times New Roman" w:cs="Times New Roman" w:eastAsia="Times New Roman" w:hAnsi="Times New Roman"/>
                <w:sz w:val="18"/>
                <w:szCs w:val="18"/>
              </w:rPr>
              <w:t xml:space="preserve">HuggingFace (ameyhengle/ANGST); requires Google Form approval</w:t>
            </w:r>
          </w:p>
        </w:tc>
      </w:tr>
      <w:tr>
        <w:tc>
          <w:tcPr>
            <w:tcW w:type="dxa" w:w="1900"/>
            <w:shd w:fill="F2F2F2" w:color="auto" w:val="clear"/>
          </w:tcPr>
          <w:p>
            <w:r>
              <w:rPr>
                <w:rFonts w:ascii="Times New Roman" w:cs="Times New Roman" w:eastAsia="Times New Roman" w:hAnsi="Times New Roman"/>
                <w:sz w:val="18"/>
                <w:szCs w:val="18"/>
              </w:rPr>
              <w:t xml:space="preserve">Primary use</w:t>
            </w:r>
          </w:p>
        </w:tc>
        <w:tc>
          <w:tcPr>
            <w:tcW w:type="dxa" w:w="2900"/>
            <w:shd w:fill="F2F2F2" w:color="auto" w:val="clear"/>
          </w:tcPr>
          <w:p>
            <w:r>
              <w:rPr>
                <w:rFonts w:ascii="Times New Roman" w:cs="Times New Roman" w:eastAsia="Times New Roman" w:hAnsi="Times New Roman"/>
                <w:sz w:val="18"/>
                <w:szCs w:val="18"/>
              </w:rPr>
              <w:t xml:space="preserve">End-to-end referral level comparison across LLMs and strategies</w:t>
            </w:r>
          </w:p>
        </w:tc>
        <w:tc>
          <w:tcPr>
            <w:tcW w:type="dxa" w:w="3120"/>
            <w:shd w:fill="F2F2F2" w:color="auto" w:val="clear"/>
          </w:tcPr>
          <w:p>
            <w:r>
              <w:rPr>
                <w:rFonts w:ascii="Times New Roman" w:cs="Times New Roman" w:eastAsia="Times New Roman" w:hAnsi="Times New Roman"/>
                <w:sz w:val="18"/>
                <w:szCs w:val="18"/>
              </w:rPr>
              <w:t xml:space="preserve">Anxiety-specific evaluation with psychologist-validated labels; complements Dreaddit’s stress-proxy labels</w:t>
            </w:r>
          </w:p>
        </w:tc>
      </w:tr>
      <w:tr>
        <w:tc>
          <w:tcPr>
            <w:tcW w:type="dxa" w:w="1900"/>
            <w:shd w:fill="FFFFFF" w:color="auto" w:val="clear"/>
          </w:tcPr>
          <w:p>
            <w:r>
              <w:rPr>
                <w:rFonts w:ascii="Times New Roman" w:cs="Times New Roman" w:eastAsia="Times New Roman" w:hAnsi="Times New Roman"/>
                <w:sz w:val="18"/>
                <w:szCs w:val="18"/>
              </w:rPr>
              <w:t xml:space="preserve">Limitation</w:t>
            </w:r>
          </w:p>
        </w:tc>
        <w:tc>
          <w:tcPr>
            <w:tcW w:type="dxa" w:w="2900"/>
            <w:shd w:fill="FFFFFF" w:color="auto" w:val="clear"/>
          </w:tcPr>
          <w:p>
            <w:r>
              <w:rPr>
                <w:rFonts w:ascii="Times New Roman" w:cs="Times New Roman" w:eastAsia="Times New Roman" w:hAnsi="Times New Roman"/>
                <w:sz w:val="18"/>
                <w:szCs w:val="18"/>
              </w:rPr>
              <w:t xml:space="preserve">"Stress" label is a proxy for anxiety, not a clinical anxiety measure</w:t>
            </w:r>
          </w:p>
        </w:tc>
        <w:tc>
          <w:tcPr>
            <w:tcW w:type="dxa" w:w="3120"/>
            <w:shd w:fill="FFFFFF" w:color="auto" w:val="clear"/>
          </w:tcPr>
          <w:p>
            <w:r>
              <w:rPr>
                <w:rFonts w:ascii="Times New Roman" w:cs="Times New Roman" w:eastAsia="Times New Roman" w:hAnsi="Times New Roman"/>
                <w:sz w:val="18"/>
                <w:szCs w:val="18"/>
              </w:rPr>
              <w:t xml:space="preserve">Psychologist annotations are binary per post; silver-standard posts rely on distant supervision</w:t>
            </w:r>
          </w:p>
        </w:tc>
      </w:tr>
    </w:tbl>
    <w:p>
      <w:pPr>
        <w:spacing w:after="80"/>
      </w:pPr>
    </w:p>
    <w:p>
      <w:pPr>
        <w:spacing w:after="120"/>
      </w:pPr>
      <w:r>
        <w:rPr>
          <w:rFonts w:ascii="Times New Roman" w:cs="Times New Roman" w:eastAsia="Times New Roman" w:hAnsi="Times New Roman"/>
          <w:b/>
          <w:bCs/>
          <w:sz w:val="22"/>
          <w:szCs w:val="22"/>
        </w:rPr>
        <w:t xml:space="preserve">Note on GoEmotions.  </w:t>
      </w:r>
      <w:r>
        <w:rPr>
          <w:rFonts w:ascii="Times New Roman" w:cs="Times New Roman" w:eastAsia="Times New Roman" w:hAnsi="Times New Roman"/>
          <w:sz w:val="22"/>
          <w:szCs w:val="22"/>
        </w:rPr>
        <w:t xml:space="preserve">GoEmotions (Demszky et al., ACL 2020), which is already in the repository, is used as a supporting component-level dataset for Emotion Agent evaluation only and is not a primary end-to-end benchmark.</w:t>
      </w:r>
    </w:p>
    <w:p>
      <w:pPr>
        <w:spacing w:after="80"/>
      </w:pPr>
    </w:p>
    <w:p>
      <w:pPr>
        <w:pStyle w:val="Heading1"/>
        <w:spacing w:after="160" w:before="320"/>
      </w:pPr>
      <w:r>
        <w:t xml:space="preserve">4. Selected LLMs</w:t>
      </w:r>
    </w:p>
    <w:p>
      <w:pPr>
        <w:spacing w:after="120"/>
      </w:pPr>
      <w:r>
        <w:rPr>
          <w:rFonts w:ascii="Times New Roman" w:cs="Times New Roman" w:eastAsia="Times New Roman" w:hAnsi="Times New Roman"/>
          <w:sz w:val="22"/>
          <w:szCs w:val="22"/>
        </w:rPr>
        <w:t xml:space="preserve">Five recent open-weight large language models are evaluated across two inference providers: Groq (free tier) for Llama 3.3 70B, and OpenRouter (free tier) for Gemma 3, DeepSeek-V3, and Phi-4; Mistral Small 4 is accessed via Mistral La Plateforme (free trial). Using two providers preserves all five intended model families while minimising infrastructure differences. All models run at temperature 0.0 (greedy decoding) to maximise reproducibility. Exact version strings are specified below.</w:t>
      </w:r>
    </w:p>
    <w:p>
      <w:pPr>
        <w:spacing w:after="80"/>
      </w:pPr>
    </w:p>
    <w:tbl>
      <w:tblPr>
        <w:tblW w:type="dxa" w:w="8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2200"/>
        <w:gridCol w:w="2000"/>
        <w:gridCol w:w="1400"/>
        <w:gridCol w:w="700"/>
        <w:gridCol w:w="700"/>
        <w:gridCol w:w="1000"/>
        <w:gridCol w:w="920"/>
      </w:tblGrid>
      <w:tr>
        <w:trPr>
          <w:tblHeader/>
        </w:trPr>
        <w:tc>
          <w:tcPr>
            <w:tcW w:type="dxa" w:w="2200"/>
            <w:shd w:fill="D9E1F2" w:color="auto" w:val="clear"/>
          </w:tcPr>
          <w:p>
            <w:pPr>
              <w:jc w:val="center"/>
            </w:pPr>
            <w:r>
              <w:rPr>
                <w:rFonts w:ascii="Times New Roman" w:cs="Times New Roman" w:eastAsia="Times New Roman" w:hAnsi="Times New Roman"/>
                <w:b/>
                <w:bCs/>
                <w:sz w:val="19"/>
                <w:szCs w:val="19"/>
              </w:rPr>
              <w:t xml:space="preserve">Model</w:t>
            </w:r>
          </w:p>
        </w:tc>
        <w:tc>
          <w:tcPr>
            <w:tcW w:type="dxa" w:w="2000"/>
            <w:shd w:fill="D9E1F2" w:color="auto" w:val="clear"/>
          </w:tcPr>
          <w:p>
            <w:pPr>
              <w:jc w:val="center"/>
            </w:pPr>
            <w:r>
              <w:rPr>
                <w:rFonts w:ascii="Times New Roman" w:cs="Times New Roman" w:eastAsia="Times New Roman" w:hAnsi="Times New Roman"/>
                <w:b/>
                <w:bCs/>
                <w:sz w:val="19"/>
                <w:szCs w:val="19"/>
              </w:rPr>
              <w:t xml:space="preserve">Version String / API ID</w:t>
            </w:r>
          </w:p>
        </w:tc>
        <w:tc>
          <w:tcPr>
            <w:tcW w:type="dxa" w:w="1400"/>
            <w:shd w:fill="D9E1F2" w:color="auto" w:val="clear"/>
          </w:tcPr>
          <w:p>
            <w:pPr>
              <w:jc w:val="center"/>
            </w:pPr>
            <w:r>
              <w:rPr>
                <w:rFonts w:ascii="Times New Roman" w:cs="Times New Roman" w:eastAsia="Times New Roman" w:hAnsi="Times New Roman"/>
                <w:b/>
                <w:bCs/>
                <w:sz w:val="19"/>
                <w:szCs w:val="19"/>
              </w:rPr>
              <w:t xml:space="preserve">Provider</w:t>
            </w:r>
          </w:p>
        </w:tc>
        <w:tc>
          <w:tcPr>
            <w:tcW w:type="dxa" w:w="700"/>
            <w:shd w:fill="D9E1F2" w:color="auto" w:val="clear"/>
          </w:tcPr>
          <w:p>
            <w:pPr>
              <w:jc w:val="center"/>
            </w:pPr>
            <w:r>
              <w:rPr>
                <w:rFonts w:ascii="Times New Roman" w:cs="Times New Roman" w:eastAsia="Times New Roman" w:hAnsi="Times New Roman"/>
                <w:b/>
                <w:bCs/>
                <w:sz w:val="19"/>
                <w:szCs w:val="19"/>
              </w:rPr>
              <w:t xml:space="preserve">Params</w:t>
            </w:r>
          </w:p>
        </w:tc>
        <w:tc>
          <w:tcPr>
            <w:tcW w:type="dxa" w:w="700"/>
            <w:shd w:fill="D9E1F2" w:color="auto" w:val="clear"/>
          </w:tcPr>
          <w:p>
            <w:pPr>
              <w:jc w:val="center"/>
            </w:pPr>
            <w:r>
              <w:rPr>
                <w:rFonts w:ascii="Times New Roman" w:cs="Times New Roman" w:eastAsia="Times New Roman" w:hAnsi="Times New Roman"/>
                <w:b/>
                <w:bCs/>
                <w:sz w:val="19"/>
                <w:szCs w:val="19"/>
              </w:rPr>
              <w:t xml:space="preserve">Context</w:t>
            </w:r>
          </w:p>
        </w:tc>
        <w:tc>
          <w:tcPr>
            <w:tcW w:type="dxa" w:w="1000"/>
            <w:shd w:fill="D9E1F2" w:color="auto" w:val="clear"/>
          </w:tcPr>
          <w:p>
            <w:pPr>
              <w:jc w:val="center"/>
            </w:pPr>
            <w:r>
              <w:rPr>
                <w:rFonts w:ascii="Times New Roman" w:cs="Times New Roman" w:eastAsia="Times New Roman" w:hAnsi="Times New Roman"/>
                <w:b/>
                <w:bCs/>
                <w:sz w:val="19"/>
                <w:szCs w:val="19"/>
              </w:rPr>
              <w:t xml:space="preserve">Cutoff</w:t>
            </w:r>
          </w:p>
        </w:tc>
        <w:tc>
          <w:tcPr>
            <w:tcW w:type="dxa" w:w="920"/>
            <w:shd w:fill="D9E1F2" w:color="auto" w:val="clear"/>
          </w:tcPr>
          <w:p>
            <w:pPr>
              <w:jc w:val="center"/>
            </w:pPr>
            <w:r>
              <w:rPr>
                <w:rFonts w:ascii="Times New Roman" w:cs="Times New Roman" w:eastAsia="Times New Roman" w:hAnsi="Times New Roman"/>
                <w:b/>
                <w:bCs/>
                <w:sz w:val="19"/>
                <w:szCs w:val="19"/>
              </w:rPr>
              <w:t xml:space="preserve">Temp.</w:t>
            </w:r>
          </w:p>
        </w:tc>
      </w:tr>
      <w:tr>
        <w:tc>
          <w:tcPr>
            <w:tcW w:type="dxa" w:w="2200"/>
            <w:shd w:fill="FFFFFF" w:color="auto" w:val="clear"/>
          </w:tcPr>
          <w:p>
            <w:r>
              <w:rPr>
                <w:rFonts w:ascii="Times New Roman" w:cs="Times New Roman" w:eastAsia="Times New Roman" w:hAnsi="Times New Roman"/>
                <w:sz w:val="18"/>
                <w:szCs w:val="18"/>
              </w:rPr>
              <w:t xml:space="preserve">Llama 3.3 70B Versatile</w:t>
            </w:r>
          </w:p>
        </w:tc>
        <w:tc>
          <w:tcPr>
            <w:tcW w:type="dxa" w:w="2000"/>
            <w:shd w:fill="FFFFFF" w:color="auto" w:val="clear"/>
          </w:tcPr>
          <w:p>
            <w:r>
              <w:rPr>
                <w:rFonts w:ascii="Times New Roman" w:cs="Times New Roman" w:eastAsia="Times New Roman" w:hAnsi="Times New Roman"/>
                <w:sz w:val="18"/>
                <w:szCs w:val="18"/>
              </w:rPr>
              <w:t xml:space="preserve">llama-3.3-70b-versatile</w:t>
            </w:r>
          </w:p>
        </w:tc>
        <w:tc>
          <w:tcPr>
            <w:tcW w:type="dxa" w:w="1400"/>
            <w:shd w:fill="FFFFFF" w:color="auto" w:val="clear"/>
          </w:tcPr>
          <w:p>
            <w:r>
              <w:rPr>
                <w:rFonts w:ascii="Times New Roman" w:cs="Times New Roman" w:eastAsia="Times New Roman" w:hAnsi="Times New Roman"/>
                <w:sz w:val="18"/>
                <w:szCs w:val="18"/>
              </w:rPr>
              <w:t xml:space="preserve">Meta AI (Groq)</w:t>
            </w:r>
          </w:p>
        </w:tc>
        <w:tc>
          <w:tcPr>
            <w:tcW w:type="dxa" w:w="700"/>
            <w:shd w:fill="FFFFFF" w:color="auto" w:val="clear"/>
          </w:tcPr>
          <w:p>
            <w:r>
              <w:rPr>
                <w:rFonts w:ascii="Times New Roman" w:cs="Times New Roman" w:eastAsia="Times New Roman" w:hAnsi="Times New Roman"/>
                <w:sz w:val="18"/>
                <w:szCs w:val="18"/>
              </w:rPr>
              <w:t xml:space="preserve">70 B</w:t>
            </w:r>
          </w:p>
        </w:tc>
        <w:tc>
          <w:tcPr>
            <w:tcW w:type="dxa" w:w="700"/>
            <w:shd w:fill="FFFFFF" w:color="auto" w:val="clear"/>
          </w:tcPr>
          <w:p>
            <w:r>
              <w:rPr>
                <w:rFonts w:ascii="Times New Roman" w:cs="Times New Roman" w:eastAsia="Times New Roman" w:hAnsi="Times New Roman"/>
                <w:sz w:val="18"/>
                <w:szCs w:val="18"/>
              </w:rPr>
              <w:t xml:space="preserve">128 k</w:t>
            </w:r>
          </w:p>
        </w:tc>
        <w:tc>
          <w:tcPr>
            <w:tcW w:type="dxa" w:w="1000"/>
            <w:shd w:fill="FFFFFF" w:color="auto" w:val="clear"/>
          </w:tcPr>
          <w:p>
            <w:r>
              <w:rPr>
                <w:rFonts w:ascii="Times New Roman" w:cs="Times New Roman" w:eastAsia="Times New Roman" w:hAnsi="Times New Roman"/>
                <w:sz w:val="18"/>
                <w:szCs w:val="18"/>
              </w:rPr>
              <w:t xml:space="preserve">Dec 2024</w:t>
            </w:r>
          </w:p>
        </w:tc>
        <w:tc>
          <w:tcPr>
            <w:tcW w:type="dxa" w:w="920"/>
            <w:shd w:fill="FFFFFF" w:color="auto" w:val="clear"/>
          </w:tcPr>
          <w:p>
            <w:r>
              <w:rPr>
                <w:rFonts w:ascii="Times New Roman" w:cs="Times New Roman" w:eastAsia="Times New Roman" w:hAnsi="Times New Roman"/>
                <w:sz w:val="18"/>
                <w:szCs w:val="18"/>
              </w:rPr>
              <w:t xml:space="preserve">0.0</w:t>
            </w:r>
          </w:p>
        </w:tc>
      </w:tr>
      <w:tr>
        <w:tc>
          <w:tcPr>
            <w:tcW w:type="dxa" w:w="2200"/>
            <w:shd w:fill="F2F2F2" w:color="auto" w:val="clear"/>
          </w:tcPr>
          <w:p>
            <w:r>
              <w:rPr>
                <w:rFonts w:ascii="Times New Roman" w:cs="Times New Roman" w:eastAsia="Times New Roman" w:hAnsi="Times New Roman"/>
                <w:sz w:val="18"/>
                <w:szCs w:val="18"/>
              </w:rPr>
              <w:t xml:space="preserve">Mistral Small 4</w:t>
            </w:r>
          </w:p>
        </w:tc>
        <w:tc>
          <w:tcPr>
            <w:tcW w:type="dxa" w:w="2000"/>
            <w:shd w:fill="F2F2F2" w:color="auto" w:val="clear"/>
          </w:tcPr>
          <w:p>
            <w:r>
              <w:rPr>
                <w:rFonts w:ascii="Times New Roman" w:cs="Times New Roman" w:eastAsia="Times New Roman" w:hAnsi="Times New Roman"/>
                <w:sz w:val="18"/>
                <w:szCs w:val="18"/>
              </w:rPr>
              <w:t xml:space="preserve">mistral-small-2603</w:t>
            </w:r>
          </w:p>
        </w:tc>
        <w:tc>
          <w:tcPr>
            <w:tcW w:type="dxa" w:w="1400"/>
            <w:shd w:fill="F2F2F2" w:color="auto" w:val="clear"/>
          </w:tcPr>
          <w:p>
            <w:r>
              <w:rPr>
                <w:rFonts w:ascii="Times New Roman" w:cs="Times New Roman" w:eastAsia="Times New Roman" w:hAnsi="Times New Roman"/>
                <w:sz w:val="18"/>
                <w:szCs w:val="18"/>
              </w:rPr>
              <w:t xml:space="preserve">Mistral AI (La Plateforme)</w:t>
            </w:r>
          </w:p>
        </w:tc>
        <w:tc>
          <w:tcPr>
            <w:tcW w:type="dxa" w:w="700"/>
            <w:shd w:fill="F2F2F2" w:color="auto" w:val="clear"/>
          </w:tcPr>
          <w:p>
            <w:r>
              <w:rPr>
                <w:rFonts w:ascii="Times New Roman" w:cs="Times New Roman" w:eastAsia="Times New Roman" w:hAnsi="Times New Roman"/>
                <w:sz w:val="18"/>
                <w:szCs w:val="18"/>
              </w:rPr>
              <w:t xml:space="preserve">22 B</w:t>
            </w:r>
          </w:p>
        </w:tc>
        <w:tc>
          <w:tcPr>
            <w:tcW w:type="dxa" w:w="700"/>
            <w:shd w:fill="F2F2F2" w:color="auto" w:val="clear"/>
          </w:tcPr>
          <w:p>
            <w:r>
              <w:rPr>
                <w:rFonts w:ascii="Times New Roman" w:cs="Times New Roman" w:eastAsia="Times New Roman" w:hAnsi="Times New Roman"/>
                <w:sz w:val="18"/>
                <w:szCs w:val="18"/>
              </w:rPr>
              <w:t xml:space="preserve">32 k</w:t>
            </w:r>
          </w:p>
        </w:tc>
        <w:tc>
          <w:tcPr>
            <w:tcW w:type="dxa" w:w="1000"/>
            <w:shd w:fill="F2F2F2" w:color="auto" w:val="clear"/>
          </w:tcPr>
          <w:p>
            <w:r>
              <w:rPr>
                <w:rFonts w:ascii="Times New Roman" w:cs="Times New Roman" w:eastAsia="Times New Roman" w:hAnsi="Times New Roman"/>
                <w:sz w:val="18"/>
                <w:szCs w:val="18"/>
              </w:rPr>
              <w:t xml:space="preserve">Not documented</w:t>
            </w:r>
          </w:p>
        </w:tc>
        <w:tc>
          <w:tcPr>
            <w:tcW w:type="dxa" w:w="920"/>
            <w:shd w:fill="F2F2F2" w:color="auto" w:val="clear"/>
          </w:tcPr>
          <w:p>
            <w:r>
              <w:rPr>
                <w:rFonts w:ascii="Times New Roman" w:cs="Times New Roman" w:eastAsia="Times New Roman" w:hAnsi="Times New Roman"/>
                <w:sz w:val="18"/>
                <w:szCs w:val="18"/>
              </w:rPr>
              <w:t xml:space="preserve">0.0</w:t>
            </w:r>
          </w:p>
        </w:tc>
      </w:tr>
      <w:tr>
        <w:tc>
          <w:tcPr>
            <w:tcW w:type="dxa" w:w="2200"/>
            <w:shd w:fill="FFFFFF" w:color="auto" w:val="clear"/>
          </w:tcPr>
          <w:p>
            <w:r>
              <w:rPr>
                <w:rFonts w:ascii="Times New Roman" w:cs="Times New Roman" w:eastAsia="Times New Roman" w:hAnsi="Times New Roman"/>
                <w:sz w:val="18"/>
                <w:szCs w:val="18"/>
              </w:rPr>
              <w:t xml:space="preserve">Gemma 3 27B IT</w:t>
            </w:r>
          </w:p>
        </w:tc>
        <w:tc>
          <w:tcPr>
            <w:tcW w:type="dxa" w:w="2000"/>
            <w:shd w:fill="FFFFFF" w:color="auto" w:val="clear"/>
          </w:tcPr>
          <w:p>
            <w:r>
              <w:rPr>
                <w:rFonts w:ascii="Times New Roman" w:cs="Times New Roman" w:eastAsia="Times New Roman" w:hAnsi="Times New Roman"/>
                <w:sz w:val="18"/>
                <w:szCs w:val="18"/>
              </w:rPr>
              <w:t xml:space="preserve">google/gemma-3-27b-it</w:t>
            </w:r>
          </w:p>
        </w:tc>
        <w:tc>
          <w:tcPr>
            <w:tcW w:type="dxa" w:w="1400"/>
            <w:shd w:fill="FFFFFF" w:color="auto" w:val="clear"/>
          </w:tcPr>
          <w:p>
            <w:r>
              <w:rPr>
                <w:rFonts w:ascii="Times New Roman" w:cs="Times New Roman" w:eastAsia="Times New Roman" w:hAnsi="Times New Roman"/>
                <w:sz w:val="18"/>
                <w:szCs w:val="18"/>
              </w:rPr>
              <w:t xml:space="preserve">Google DeepMind (OpenRouter)</w:t>
            </w:r>
          </w:p>
        </w:tc>
        <w:tc>
          <w:tcPr>
            <w:tcW w:type="dxa" w:w="700"/>
            <w:shd w:fill="FFFFFF" w:color="auto" w:val="clear"/>
          </w:tcPr>
          <w:p>
            <w:r>
              <w:rPr>
                <w:rFonts w:ascii="Times New Roman" w:cs="Times New Roman" w:eastAsia="Times New Roman" w:hAnsi="Times New Roman"/>
                <w:sz w:val="18"/>
                <w:szCs w:val="18"/>
              </w:rPr>
              <w:t xml:space="preserve">27 B</w:t>
            </w:r>
          </w:p>
        </w:tc>
        <w:tc>
          <w:tcPr>
            <w:tcW w:type="dxa" w:w="700"/>
            <w:shd w:fill="FFFFFF" w:color="auto" w:val="clear"/>
          </w:tcPr>
          <w:p>
            <w:r>
              <w:rPr>
                <w:rFonts w:ascii="Times New Roman" w:cs="Times New Roman" w:eastAsia="Times New Roman" w:hAnsi="Times New Roman"/>
                <w:sz w:val="18"/>
                <w:szCs w:val="18"/>
              </w:rPr>
              <w:t xml:space="preserve">131 k</w:t>
            </w:r>
          </w:p>
        </w:tc>
        <w:tc>
          <w:tcPr>
            <w:tcW w:type="dxa" w:w="1000"/>
            <w:shd w:fill="FFFFFF" w:color="auto" w:val="clear"/>
          </w:tcPr>
          <w:p>
            <w:r>
              <w:rPr>
                <w:rFonts w:ascii="Times New Roman" w:cs="Times New Roman" w:eastAsia="Times New Roman" w:hAnsi="Times New Roman"/>
                <w:sz w:val="18"/>
                <w:szCs w:val="18"/>
              </w:rPr>
              <w:t xml:space="preserve">Early 2025*</w:t>
            </w:r>
          </w:p>
        </w:tc>
        <w:tc>
          <w:tcPr>
            <w:tcW w:type="dxa" w:w="920"/>
            <w:shd w:fill="FFFFFF" w:color="auto" w:val="clear"/>
          </w:tcPr>
          <w:p>
            <w:r>
              <w:rPr>
                <w:rFonts w:ascii="Times New Roman" w:cs="Times New Roman" w:eastAsia="Times New Roman" w:hAnsi="Times New Roman"/>
                <w:sz w:val="18"/>
                <w:szCs w:val="18"/>
              </w:rPr>
              <w:t xml:space="preserve">0.0</w:t>
            </w:r>
          </w:p>
        </w:tc>
      </w:tr>
      <w:tr>
        <w:tc>
          <w:tcPr>
            <w:tcW w:type="dxa" w:w="2200"/>
            <w:shd w:fill="F2F2F2" w:color="auto" w:val="clear"/>
          </w:tcPr>
          <w:p>
            <w:r>
              <w:rPr>
                <w:rFonts w:ascii="Times New Roman" w:cs="Times New Roman" w:eastAsia="Times New Roman" w:hAnsi="Times New Roman"/>
                <w:sz w:val="18"/>
                <w:szCs w:val="18"/>
              </w:rPr>
              <w:t xml:space="preserve">DeepSeek-V3-0324</w:t>
            </w:r>
          </w:p>
        </w:tc>
        <w:tc>
          <w:tcPr>
            <w:tcW w:type="dxa" w:w="2000"/>
            <w:shd w:fill="F2F2F2" w:color="auto" w:val="clear"/>
          </w:tcPr>
          <w:p>
            <w:r>
              <w:rPr>
                <w:rFonts w:ascii="Times New Roman" w:cs="Times New Roman" w:eastAsia="Times New Roman" w:hAnsi="Times New Roman"/>
                <w:sz w:val="18"/>
                <w:szCs w:val="18"/>
              </w:rPr>
              <w:t xml:space="preserve">deepseek/deepseek-v3-0324</w:t>
            </w:r>
          </w:p>
        </w:tc>
        <w:tc>
          <w:tcPr>
            <w:tcW w:type="dxa" w:w="1400"/>
            <w:shd w:fill="F2F2F2" w:color="auto" w:val="clear"/>
          </w:tcPr>
          <w:p>
            <w:r>
              <w:rPr>
                <w:rFonts w:ascii="Times New Roman" w:cs="Times New Roman" w:eastAsia="Times New Roman" w:hAnsi="Times New Roman"/>
                <w:sz w:val="18"/>
                <w:szCs w:val="18"/>
              </w:rPr>
              <w:t xml:space="preserve">DeepSeek AI (OpenRouter)</w:t>
            </w:r>
          </w:p>
        </w:tc>
        <w:tc>
          <w:tcPr>
            <w:tcW w:type="dxa" w:w="700"/>
            <w:shd w:fill="F2F2F2" w:color="auto" w:val="clear"/>
          </w:tcPr>
          <w:p>
            <w:r>
              <w:rPr>
                <w:rFonts w:ascii="Times New Roman" w:cs="Times New Roman" w:eastAsia="Times New Roman" w:hAnsi="Times New Roman"/>
                <w:sz w:val="18"/>
                <w:szCs w:val="18"/>
              </w:rPr>
              <w:t xml:space="preserve">671 B (MoE)</w:t>
            </w:r>
          </w:p>
        </w:tc>
        <w:tc>
          <w:tcPr>
            <w:tcW w:type="dxa" w:w="700"/>
            <w:shd w:fill="F2F2F2" w:color="auto" w:val="clear"/>
          </w:tcPr>
          <w:p>
            <w:r>
              <w:rPr>
                <w:rFonts w:ascii="Times New Roman" w:cs="Times New Roman" w:eastAsia="Times New Roman" w:hAnsi="Times New Roman"/>
                <w:sz w:val="18"/>
                <w:szCs w:val="18"/>
              </w:rPr>
              <w:t xml:space="preserve">65 k</w:t>
            </w:r>
          </w:p>
        </w:tc>
        <w:tc>
          <w:tcPr>
            <w:tcW w:type="dxa" w:w="1000"/>
            <w:shd w:fill="F2F2F2" w:color="auto" w:val="clear"/>
          </w:tcPr>
          <w:p>
            <w:r>
              <w:rPr>
                <w:rFonts w:ascii="Times New Roman" w:cs="Times New Roman" w:eastAsia="Times New Roman" w:hAnsi="Times New Roman"/>
                <w:sz w:val="18"/>
                <w:szCs w:val="18"/>
              </w:rPr>
              <w:t xml:space="preserve">Jan 2025*</w:t>
            </w:r>
          </w:p>
        </w:tc>
        <w:tc>
          <w:tcPr>
            <w:tcW w:type="dxa" w:w="920"/>
            <w:shd w:fill="F2F2F2" w:color="auto" w:val="clear"/>
          </w:tcPr>
          <w:p>
            <w:r>
              <w:rPr>
                <w:rFonts w:ascii="Times New Roman" w:cs="Times New Roman" w:eastAsia="Times New Roman" w:hAnsi="Times New Roman"/>
                <w:sz w:val="18"/>
                <w:szCs w:val="18"/>
              </w:rPr>
              <w:t xml:space="preserve">0.0</w:t>
            </w:r>
          </w:p>
        </w:tc>
      </w:tr>
      <w:tr>
        <w:tc>
          <w:tcPr>
            <w:tcW w:type="dxa" w:w="2200"/>
            <w:shd w:fill="FFFFFF" w:color="auto" w:val="clear"/>
          </w:tcPr>
          <w:p>
            <w:r>
              <w:rPr>
                <w:rFonts w:ascii="Times New Roman" w:cs="Times New Roman" w:eastAsia="Times New Roman" w:hAnsi="Times New Roman"/>
                <w:sz w:val="18"/>
                <w:szCs w:val="18"/>
              </w:rPr>
              <w:t xml:space="preserve">Phi-4</w:t>
            </w:r>
          </w:p>
        </w:tc>
        <w:tc>
          <w:tcPr>
            <w:tcW w:type="dxa" w:w="2000"/>
            <w:shd w:fill="FFFFFF" w:color="auto" w:val="clear"/>
          </w:tcPr>
          <w:p>
            <w:r>
              <w:rPr>
                <w:rFonts w:ascii="Times New Roman" w:cs="Times New Roman" w:eastAsia="Times New Roman" w:hAnsi="Times New Roman"/>
                <w:sz w:val="18"/>
                <w:szCs w:val="18"/>
              </w:rPr>
              <w:t xml:space="preserve">microsoft/phi-4</w:t>
            </w:r>
          </w:p>
        </w:tc>
        <w:tc>
          <w:tcPr>
            <w:tcW w:type="dxa" w:w="1400"/>
            <w:shd w:fill="FFFFFF" w:color="auto" w:val="clear"/>
          </w:tcPr>
          <w:p>
            <w:r>
              <w:rPr>
                <w:rFonts w:ascii="Times New Roman" w:cs="Times New Roman" w:eastAsia="Times New Roman" w:hAnsi="Times New Roman"/>
                <w:sz w:val="18"/>
                <w:szCs w:val="18"/>
              </w:rPr>
              <w:t xml:space="preserve">Microsoft (OpenRouter)</w:t>
            </w:r>
          </w:p>
        </w:tc>
        <w:tc>
          <w:tcPr>
            <w:tcW w:type="dxa" w:w="700"/>
            <w:shd w:fill="FFFFFF" w:color="auto" w:val="clear"/>
          </w:tcPr>
          <w:p>
            <w:r>
              <w:rPr>
                <w:rFonts w:ascii="Times New Roman" w:cs="Times New Roman" w:eastAsia="Times New Roman" w:hAnsi="Times New Roman"/>
                <w:sz w:val="18"/>
                <w:szCs w:val="18"/>
              </w:rPr>
              <w:t xml:space="preserve">14 B</w:t>
            </w:r>
          </w:p>
        </w:tc>
        <w:tc>
          <w:tcPr>
            <w:tcW w:type="dxa" w:w="700"/>
            <w:shd w:fill="FFFFFF" w:color="auto" w:val="clear"/>
          </w:tcPr>
          <w:p>
            <w:r>
              <w:rPr>
                <w:rFonts w:ascii="Times New Roman" w:cs="Times New Roman" w:eastAsia="Times New Roman" w:hAnsi="Times New Roman"/>
                <w:sz w:val="18"/>
                <w:szCs w:val="18"/>
              </w:rPr>
              <w:t xml:space="preserve">16 k</w:t>
            </w:r>
          </w:p>
        </w:tc>
        <w:tc>
          <w:tcPr>
            <w:tcW w:type="dxa" w:w="1000"/>
            <w:shd w:fill="FFFFFF" w:color="auto" w:val="clear"/>
          </w:tcPr>
          <w:p>
            <w:r>
              <w:rPr>
                <w:rFonts w:ascii="Times New Roman" w:cs="Times New Roman" w:eastAsia="Times New Roman" w:hAnsi="Times New Roman"/>
                <w:sz w:val="18"/>
                <w:szCs w:val="18"/>
              </w:rPr>
              <w:t xml:space="preserve">Jun 2024*</w:t>
            </w:r>
          </w:p>
        </w:tc>
        <w:tc>
          <w:tcPr>
            <w:tcW w:type="dxa" w:w="920"/>
            <w:shd w:fill="FFFFFF" w:color="auto" w:val="clear"/>
          </w:tcPr>
          <w:p>
            <w:r>
              <w:rPr>
                <w:rFonts w:ascii="Times New Roman" w:cs="Times New Roman" w:eastAsia="Times New Roman" w:hAnsi="Times New Roman"/>
                <w:sz w:val="18"/>
                <w:szCs w:val="18"/>
              </w:rPr>
              <w:t xml:space="preserve">0.0</w:t>
            </w:r>
          </w:p>
        </w:tc>
      </w:tr>
    </w:tbl>
    <w:p>
      <w:pPr>
        <w:spacing w:after="80"/>
      </w:pPr>
    </w:p>
    <w:p>
      <w:pPr>
        <w:spacing w:after="120"/>
      </w:pPr>
      <w:r>
        <w:rPr>
          <w:rFonts w:ascii="Times New Roman" w:cs="Times New Roman" w:eastAsia="Times New Roman" w:hAnsi="Times New Roman"/>
          <w:b/>
          <w:bCs/>
          <w:sz w:val="22"/>
          <w:szCs w:val="22"/>
        </w:rPr>
        <w:t xml:space="preserve">* Knowledge cutoff: </w:t>
      </w:r>
      <w:r>
        <w:rPr>
          <w:rFonts w:ascii="Times New Roman" w:cs="Times New Roman" w:eastAsia="Times New Roman" w:hAnsi="Times New Roman"/>
          <w:sz w:val="22"/>
          <w:szCs w:val="22"/>
        </w:rPr>
        <w:t xml:space="preserve">Dates marked with * are approximate; provider documentation should be consulted for exact cutoffs.</w:t>
      </w:r>
    </w:p>
    <w:p>
      <w:pPr>
        <w:spacing w:after="120"/>
      </w:pPr>
      <w:r>
        <w:rPr>
          <w:rFonts w:ascii="Times New Roman" w:cs="Times New Roman" w:eastAsia="Times New Roman" w:hAnsi="Times New Roman"/>
          <w:b/>
          <w:bCs/>
          <w:sz w:val="22"/>
          <w:szCs w:val="22"/>
        </w:rPr>
        <w:t xml:space="preserve">Note: </w:t>
      </w:r>
      <w:r>
        <w:rPr>
          <w:rFonts w:ascii="Times New Roman" w:cs="Times New Roman" w:eastAsia="Times New Roman" w:hAnsi="Times New Roman"/>
          <w:sz w:val="22"/>
          <w:szCs w:val="22"/>
        </w:rPr>
        <w:t xml:space="preserve">A seed value of 42 is requested on all providers for reproducibility. Providers that do not support seed-based determinism should be noted in the experimental log.</w:t>
      </w:r>
    </w:p>
    <w:p>
      <w:pPr>
        <w:spacing w:after="120"/>
      </w:pPr>
      <w:r>
        <w:rPr>
          <w:rFonts w:ascii="Times New Roman" w:cs="Times New Roman" w:eastAsia="Times New Roman" w:hAnsi="Times New Roman"/>
          <w:sz w:val="22"/>
          <w:szCs w:val="22"/>
        </w:rPr>
        <w:t xml:space="preserve">Additional configuration applied uniformly: max_tokens = 512; seed = 42 (best-effort; provider support varies). No system-prompt overrides are applied beyond the agent-specific prompts defined in the AnxioSense pipeline.</w:t>
      </w:r>
    </w:p>
    <w:p>
      <w:pPr>
        <w:spacing w:after="80"/>
      </w:pPr>
    </w:p>
    <w:p>
      <w:pPr>
        <w:pStyle w:val="Heading1"/>
        <w:spacing w:after="160" w:before="320"/>
      </w:pPr>
      <w:r>
        <w:t xml:space="preserve">5. Prompting Strategies</w:t>
      </w:r>
    </w:p>
    <w:p>
      <w:pPr>
        <w:spacing w:after="120"/>
      </w:pPr>
      <w:r>
        <w:rPr>
          <w:rFonts w:ascii="Times New Roman" w:cs="Times New Roman" w:eastAsia="Times New Roman" w:hAnsi="Times New Roman"/>
          <w:sz w:val="22"/>
          <w:szCs w:val="22"/>
        </w:rPr>
        <w:t xml:space="preserve">Three prompting strategies are evaluated, applied identically across all five LLMs. Changes are applied only to the four parallel extraction agents (Emotion, Symptom, Context, Referral). The Report Agent, Validation Agent, and Safety Check are held constant across all conditions.</w:t>
      </w:r>
    </w:p>
    <w:p>
      <w:pPr>
        <w:spacing w:after="80"/>
      </w:pPr>
    </w:p>
    <w:tbl>
      <w:tblPr>
        <w:tblW w:type="dxa" w:w="7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580"/>
        <w:gridCol w:w="1380"/>
        <w:gridCol w:w="2700"/>
        <w:gridCol w:w="3260"/>
      </w:tblGrid>
      <w:tr>
        <w:trPr>
          <w:tblHeader/>
        </w:trPr>
        <w:tc>
          <w:tcPr>
            <w:tcW w:type="dxa" w:w="580"/>
            <w:shd w:fill="D9E1F2" w:color="auto" w:val="clear"/>
          </w:tcPr>
          <w:p>
            <w:pPr>
              <w:jc w:val="center"/>
            </w:pPr>
            <w:r>
              <w:rPr>
                <w:rFonts w:ascii="Times New Roman" w:cs="Times New Roman" w:eastAsia="Times New Roman" w:hAnsi="Times New Roman"/>
                <w:b/>
                <w:bCs/>
                <w:sz w:val="19"/>
                <w:szCs w:val="19"/>
              </w:rPr>
              <w:t xml:space="preserve">ID</w:t>
            </w:r>
          </w:p>
        </w:tc>
        <w:tc>
          <w:tcPr>
            <w:tcW w:type="dxa" w:w="1380"/>
            <w:shd w:fill="D9E1F2" w:color="auto" w:val="clear"/>
          </w:tcPr>
          <w:p>
            <w:pPr>
              <w:jc w:val="center"/>
            </w:pPr>
            <w:r>
              <w:rPr>
                <w:rFonts w:ascii="Times New Roman" w:cs="Times New Roman" w:eastAsia="Times New Roman" w:hAnsi="Times New Roman"/>
                <w:b/>
                <w:bCs/>
                <w:sz w:val="19"/>
                <w:szCs w:val="19"/>
              </w:rPr>
              <w:t xml:space="preserve">Strategy</w:t>
            </w:r>
          </w:p>
        </w:tc>
        <w:tc>
          <w:tcPr>
            <w:tcW w:type="dxa" w:w="2700"/>
            <w:shd w:fill="D9E1F2" w:color="auto" w:val="clear"/>
          </w:tcPr>
          <w:p>
            <w:pPr>
              <w:jc w:val="center"/>
            </w:pPr>
            <w:r>
              <w:rPr>
                <w:rFonts w:ascii="Times New Roman" w:cs="Times New Roman" w:eastAsia="Times New Roman" w:hAnsi="Times New Roman"/>
                <w:b/>
                <w:bCs/>
                <w:sz w:val="19"/>
                <w:szCs w:val="19"/>
              </w:rPr>
              <w:t xml:space="preserve">Description</w:t>
            </w:r>
          </w:p>
        </w:tc>
        <w:tc>
          <w:tcPr>
            <w:tcW w:type="dxa" w:w="3260"/>
            <w:shd w:fill="D9E1F2" w:color="auto" w:val="clear"/>
          </w:tcPr>
          <w:p>
            <w:pPr>
              <w:jc w:val="center"/>
            </w:pPr>
            <w:r>
              <w:rPr>
                <w:rFonts w:ascii="Times New Roman" w:cs="Times New Roman" w:eastAsia="Times New Roman" w:hAnsi="Times New Roman"/>
                <w:b/>
                <w:bCs/>
                <w:sz w:val="19"/>
                <w:szCs w:val="19"/>
              </w:rPr>
              <w:t xml:space="preserve">Rationale</w:t>
            </w:r>
          </w:p>
        </w:tc>
      </w:tr>
      <w:tr>
        <w:tc>
          <w:tcPr>
            <w:tcW w:type="dxa" w:w="580"/>
            <w:shd w:fill="FFFFFF" w:color="auto" w:val="clear"/>
          </w:tcPr>
          <w:p>
            <w:r>
              <w:rPr>
                <w:rFonts w:ascii="Times New Roman" w:cs="Times New Roman" w:eastAsia="Times New Roman" w:hAnsi="Times New Roman"/>
                <w:sz w:val="18"/>
                <w:szCs w:val="18"/>
              </w:rPr>
              <w:t xml:space="preserve">ZS</w:t>
            </w:r>
          </w:p>
        </w:tc>
        <w:tc>
          <w:tcPr>
            <w:tcW w:type="dxa" w:w="1380"/>
            <w:shd w:fill="FFFFFF" w:color="auto" w:val="clear"/>
          </w:tcPr>
          <w:p>
            <w:r>
              <w:rPr>
                <w:rFonts w:ascii="Times New Roman" w:cs="Times New Roman" w:eastAsia="Times New Roman" w:hAnsi="Times New Roman"/>
                <w:sz w:val="18"/>
                <w:szCs w:val="18"/>
              </w:rPr>
              <w:t xml:space="preserve">Zero-shot</w:t>
            </w:r>
          </w:p>
        </w:tc>
        <w:tc>
          <w:tcPr>
            <w:tcW w:type="dxa" w:w="2700"/>
            <w:shd w:fill="FFFFFF" w:color="auto" w:val="clear"/>
          </w:tcPr>
          <w:p>
            <w:r>
              <w:rPr>
                <w:rFonts w:ascii="Times New Roman" w:cs="Times New Roman" w:eastAsia="Times New Roman" w:hAnsi="Times New Roman"/>
                <w:sz w:val="18"/>
                <w:szCs w:val="18"/>
              </w:rPr>
              <w:t xml:space="preserve">Each extraction agent receives only its task description and output schema. No examples and no reasoning procedure are provided.</w:t>
            </w:r>
          </w:p>
        </w:tc>
        <w:tc>
          <w:tcPr>
            <w:tcW w:type="dxa" w:w="3260"/>
            <w:shd w:fill="FFFFFF" w:color="auto" w:val="clear"/>
          </w:tcPr>
          <w:p>
            <w:r>
              <w:rPr>
                <w:rFonts w:ascii="Times New Roman" w:cs="Times New Roman" w:eastAsia="Times New Roman" w:hAnsi="Times New Roman"/>
                <w:sz w:val="18"/>
                <w:szCs w:val="18"/>
              </w:rPr>
              <w:t xml:space="preserve">Minimum-information baseline. Tests whether the LLM can perform structured clinical extraction from a task description alone.</w:t>
            </w:r>
          </w:p>
        </w:tc>
      </w:tr>
      <w:tr>
        <w:tc>
          <w:tcPr>
            <w:tcW w:type="dxa" w:w="580"/>
            <w:shd w:fill="F2F2F2" w:color="auto" w:val="clear"/>
          </w:tcPr>
          <w:p>
            <w:r>
              <w:rPr>
                <w:rFonts w:ascii="Times New Roman" w:cs="Times New Roman" w:eastAsia="Times New Roman" w:hAnsi="Times New Roman"/>
                <w:sz w:val="18"/>
                <w:szCs w:val="18"/>
              </w:rPr>
              <w:t xml:space="preserve">ZS-CoT</w:t>
            </w:r>
          </w:p>
        </w:tc>
        <w:tc>
          <w:tcPr>
            <w:tcW w:type="dxa" w:w="1380"/>
            <w:shd w:fill="F2F2F2" w:color="auto" w:val="clear"/>
          </w:tcPr>
          <w:p>
            <w:r>
              <w:rPr>
                <w:rFonts w:ascii="Times New Roman" w:cs="Times New Roman" w:eastAsia="Times New Roman" w:hAnsi="Times New Roman"/>
                <w:sz w:val="18"/>
                <w:szCs w:val="18"/>
              </w:rPr>
              <w:t xml:space="preserve">Zero-shot + Chain-of-Thought</w:t>
            </w:r>
          </w:p>
        </w:tc>
        <w:tc>
          <w:tcPr>
            <w:tcW w:type="dxa" w:w="2700"/>
            <w:shd w:fill="F2F2F2" w:color="auto" w:val="clear"/>
          </w:tcPr>
          <w:p>
            <w:r>
              <w:rPr>
                <w:rFonts w:ascii="Times New Roman" w:cs="Times New Roman" w:eastAsia="Times New Roman" w:hAnsi="Times New Roman"/>
                <w:sz w:val="18"/>
                <w:szCs w:val="18"/>
              </w:rPr>
              <w:t xml:space="preserve">Each extraction agent receives its task description, output schema, and a numbered chain-of-thought reasoning procedure specifying the steps to follow before producing output. No examples.</w:t>
            </w:r>
          </w:p>
        </w:tc>
        <w:tc>
          <w:tcPr>
            <w:tcW w:type="dxa" w:w="3260"/>
            <w:shd w:fill="F2F2F2" w:color="auto" w:val="clear"/>
          </w:tcPr>
          <w:p>
            <w:r>
              <w:rPr>
                <w:rFonts w:ascii="Times New Roman" w:cs="Times New Roman" w:eastAsia="Times New Roman" w:hAnsi="Times New Roman"/>
                <w:sz w:val="18"/>
                <w:szCs w:val="18"/>
              </w:rPr>
              <w:t xml:space="preserve">Isolates the contribution of structured reasoning without exemplar bias. Allows direct comparison with ZS to measure the effect of the reasoning procedure.</w:t>
            </w:r>
          </w:p>
        </w:tc>
      </w:tr>
      <w:tr>
        <w:tc>
          <w:tcPr>
            <w:tcW w:type="dxa" w:w="580"/>
            <w:shd w:fill="FFFFFF" w:color="auto" w:val="clear"/>
          </w:tcPr>
          <w:p>
            <w:r>
              <w:rPr>
                <w:rFonts w:ascii="Times New Roman" w:cs="Times New Roman" w:eastAsia="Times New Roman" w:hAnsi="Times New Roman"/>
                <w:sz w:val="18"/>
                <w:szCs w:val="18"/>
              </w:rPr>
              <w:t xml:space="preserve">1S-CoT</w:t>
            </w:r>
          </w:p>
        </w:tc>
        <w:tc>
          <w:tcPr>
            <w:tcW w:type="dxa" w:w="1380"/>
            <w:shd w:fill="FFFFFF" w:color="auto" w:val="clear"/>
          </w:tcPr>
          <w:p>
            <w:r>
              <w:rPr>
                <w:rFonts w:ascii="Times New Roman" w:cs="Times New Roman" w:eastAsia="Times New Roman" w:hAnsi="Times New Roman"/>
                <w:sz w:val="18"/>
                <w:szCs w:val="18"/>
              </w:rPr>
              <w:t xml:space="preserve">One-shot + Chain-of-Thought</w:t>
            </w:r>
          </w:p>
        </w:tc>
        <w:tc>
          <w:tcPr>
            <w:tcW w:type="dxa" w:w="2700"/>
            <w:shd w:fill="FFFFFF" w:color="auto" w:val="clear"/>
          </w:tcPr>
          <w:p>
            <w:r>
              <w:rPr>
                <w:rFonts w:ascii="Times New Roman" w:cs="Times New Roman" w:eastAsia="Times New Roman" w:hAnsi="Times New Roman"/>
                <w:sz w:val="18"/>
                <w:szCs w:val="18"/>
              </w:rPr>
              <w:t xml:space="preserve">Each extraction agent receives its task description, output schema, chain-of-thought procedure, and one worked input–output example demonstrating correct extraction. This is the current production configuration (cot-oneshot-v1).</w:t>
            </w:r>
          </w:p>
        </w:tc>
        <w:tc>
          <w:tcPr>
            <w:tcW w:type="dxa" w:w="3260"/>
            <w:shd w:fill="FFFFFF" w:color="auto" w:val="clear"/>
          </w:tcPr>
          <w:p>
            <w:r>
              <w:rPr>
                <w:rFonts w:ascii="Times New Roman" w:cs="Times New Roman" w:eastAsia="Times New Roman" w:hAnsi="Times New Roman"/>
                <w:sz w:val="18"/>
                <w:szCs w:val="18"/>
              </w:rPr>
              <w:t xml:space="preserve">The primary configuration. The worked example demonstrates correct application of the chain-of-thought procedure, particularly for borderline cases such as situational nervousness vs. persistent anxiety disorder.</w:t>
            </w:r>
          </w:p>
        </w:tc>
      </w:tr>
    </w:tbl>
    <w:p>
      <w:pPr>
        <w:spacing w:after="80"/>
      </w:pPr>
    </w:p>
    <w:p>
      <w:pPr>
        <w:pStyle w:val="Heading1"/>
        <w:spacing w:after="160" w:before="320"/>
      </w:pPr>
      <w:r>
        <w:t xml:space="preserve">6. Experimental Procedure</w:t>
      </w:r>
    </w:p>
    <w:p>
      <w:pPr>
        <w:pStyle w:val="Heading2"/>
        <w:spacing w:after="100" w:before="200"/>
      </w:pPr>
      <w:r>
        <w:t xml:space="preserve">6.1  Design</w:t>
      </w:r>
    </w:p>
    <w:p>
      <w:pPr>
        <w:spacing w:after="120"/>
      </w:pPr>
      <w:r>
        <w:rPr>
          <w:rFonts w:ascii="Times New Roman" w:cs="Times New Roman" w:eastAsia="Times New Roman" w:hAnsi="Times New Roman"/>
          <w:sz w:val="22"/>
          <w:szCs w:val="22"/>
        </w:rPr>
        <w:t xml:space="preserve">Each experiment runs one pipeline configuration (LLM × prompting strategy × dataset) five times on the same input set. The full factorial design is:</w:t>
      </w:r>
    </w:p>
    <w:p>
      <w:pPr>
        <w:spacing w:after="120"/>
      </w:pPr>
      <w:r>
        <w:rPr>
          <w:rFonts w:ascii="Times New Roman" w:cs="Times New Roman" w:eastAsia="Times New Roman" w:hAnsi="Times New Roman"/>
          <w:b/>
          <w:bCs/>
          <w:sz w:val="22"/>
          <w:szCs w:val="22"/>
        </w:rPr>
        <w:t xml:space="preserve">5 LLMs × 3 prompting strategies × 2 datasets × 5 repeated runs = 150 experimental runs.</w:t>
      </w:r>
    </w:p>
    <w:p>
      <w:pPr>
        <w:spacing w:after="120"/>
      </w:pPr>
      <w:r>
        <w:rPr>
          <w:rFonts w:ascii="Times New Roman" w:cs="Times New Roman" w:eastAsia="Times New Roman" w:hAnsi="Times New Roman"/>
          <w:sz w:val="22"/>
          <w:szCs w:val="22"/>
        </w:rPr>
        <w:t xml:space="preserve">Results are aggregated across repeated runs and reported as mean ± standard deviation for all quantitative metrics.</w:t>
      </w:r>
    </w:p>
    <w:p>
      <w:pPr>
        <w:spacing w:after="80"/>
      </w:pPr>
    </w:p>
    <w:p>
      <w:pPr>
        <w:pStyle w:val="Heading2"/>
        <w:spacing w:after="100" w:before="200"/>
      </w:pPr>
      <w:r>
        <w:t xml:space="preserve">6.2  Rationale for Five Repeated Runs</w:t>
      </w:r>
    </w:p>
    <w:p>
      <w:pPr>
        <w:spacing w:after="120"/>
      </w:pPr>
      <w:r>
        <w:rPr>
          <w:rFonts w:ascii="Times New Roman" w:cs="Times New Roman" w:eastAsia="Times New Roman" w:hAnsi="Times New Roman"/>
          <w:sz w:val="22"/>
          <w:szCs w:val="22"/>
        </w:rPr>
        <w:t xml:space="preserve">Large language models produce stochastic outputs due to nucleus sampling, even at low temperatures. Five repeated runs are the minimum accepted practice in the LLM evaluation literature (Liang et al., 2022, HELM benchmark). They provide sufficient samples to compute mean and standard deviation per configuration, identify unstable prompts (high standard deviation is diagnostic of a prompt engineering problem), and support paired statistical tests between configurations. More runs would improve power but are constrained by Groq API rate limits.</w:t>
      </w:r>
    </w:p>
    <w:p>
      <w:pPr>
        <w:spacing w:after="80"/>
      </w:pPr>
    </w:p>
    <w:p>
      <w:pPr>
        <w:pStyle w:val="Heading2"/>
        <w:spacing w:after="100" w:before="200"/>
      </w:pPr>
      <w:r>
        <w:t xml:space="preserve">6.3  Comparisons Performed</w:t>
      </w:r>
    </w:p>
    <w:p>
      <w:pPr>
        <w:spacing w:after="120"/>
      </w:pPr>
      <w:r>
        <w:rPr>
          <w:rFonts w:ascii="Times New Roman" w:cs="Times New Roman" w:eastAsia="Times New Roman" w:hAnsi="Times New Roman"/>
          <w:b/>
          <w:bCs/>
          <w:sz w:val="22"/>
          <w:szCs w:val="22"/>
        </w:rPr>
        <w:t xml:space="preserve">Across LLMs (RQ1):  </w:t>
      </w:r>
      <w:r>
        <w:rPr>
          <w:rFonts w:ascii="Times New Roman" w:cs="Times New Roman" w:eastAsia="Times New Roman" w:hAnsi="Times New Roman"/>
          <w:sz w:val="22"/>
          <w:szCs w:val="22"/>
        </w:rPr>
        <w:t xml:space="preserve">All five models under 1S-CoT on Dreaddit. The model with the highest macro-F1 on symptom extraction is identified as the primary model for subsequent experiments.</w:t>
      </w:r>
    </w:p>
    <w:p>
      <w:pPr>
        <w:spacing w:after="120"/>
      </w:pPr>
      <w:r>
        <w:rPr>
          <w:rFonts w:ascii="Times New Roman" w:cs="Times New Roman" w:eastAsia="Times New Roman" w:hAnsi="Times New Roman"/>
          <w:b/>
          <w:bCs/>
          <w:sz w:val="22"/>
          <w:szCs w:val="22"/>
        </w:rPr>
        <w:t xml:space="preserve">Across prompting strategies (RQ3):  </w:t>
      </w:r>
      <w:r>
        <w:rPr>
          <w:rFonts w:ascii="Times New Roman" w:cs="Times New Roman" w:eastAsia="Times New Roman" w:hAnsi="Times New Roman"/>
          <w:sz w:val="22"/>
          <w:szCs w:val="22"/>
        </w:rPr>
        <w:t xml:space="preserve">All three strategies using the top-performing LLM on both datasets. Isolates the prompting strategy contribution.</w:t>
      </w:r>
    </w:p>
    <w:p>
      <w:pPr>
        <w:spacing w:after="120"/>
      </w:pPr>
      <w:r>
        <w:rPr>
          <w:rFonts w:ascii="Times New Roman" w:cs="Times New Roman" w:eastAsia="Times New Roman" w:hAnsi="Times New Roman"/>
          <w:b/>
          <w:bCs/>
          <w:sz w:val="22"/>
          <w:szCs w:val="22"/>
        </w:rPr>
        <w:t xml:space="preserve">Across datasets (RQ2, RQ4):  </w:t>
      </w:r>
      <w:r>
        <w:rPr>
          <w:rFonts w:ascii="Times New Roman" w:cs="Times New Roman" w:eastAsia="Times New Roman" w:hAnsi="Times New Roman"/>
          <w:sz w:val="22"/>
          <w:szCs w:val="22"/>
        </w:rPr>
        <w:t xml:space="preserve">Full pipeline (top LLM, 1S-CoT) on both Dreaddit and ANGST. Assesses dataset-level variation in system behaviour.</w:t>
      </w:r>
    </w:p>
    <w:p>
      <w:pPr>
        <w:spacing w:after="80"/>
      </w:pPr>
    </w:p>
    <w:p>
      <w:pPr>
        <w:pStyle w:val="Heading2"/>
        <w:spacing w:after="100" w:before="200"/>
      </w:pPr>
      <w:r>
        <w:t xml:space="preserve">6.4  Statistical Reporting</w:t>
      </w:r>
    </w:p>
    <w:p>
      <w:pPr>
        <w:spacing w:after="120"/>
      </w:pPr>
      <w:r>
        <w:rPr>
          <w:rFonts w:ascii="Times New Roman" w:cs="Times New Roman" w:eastAsia="Times New Roman" w:hAnsi="Times New Roman"/>
          <w:b/>
          <w:bCs/>
          <w:sz w:val="22"/>
          <w:szCs w:val="22"/>
        </w:rPr>
        <w:t xml:space="preserve">Per metric per configuration:  </w:t>
      </w:r>
      <w:r>
        <w:rPr>
          <w:rFonts w:ascii="Times New Roman" w:cs="Times New Roman" w:eastAsia="Times New Roman" w:hAnsi="Times New Roman"/>
          <w:sz w:val="22"/>
          <w:szCs w:val="22"/>
        </w:rPr>
        <w:t xml:space="preserve">Mean ± standard deviation across five runs.</w:t>
      </w:r>
    </w:p>
    <w:p>
      <w:pPr>
        <w:spacing w:after="120"/>
      </w:pPr>
      <w:r>
        <w:rPr>
          <w:rFonts w:ascii="Times New Roman" w:cs="Times New Roman" w:eastAsia="Times New Roman" w:hAnsi="Times New Roman"/>
          <w:b/>
          <w:bCs/>
          <w:sz w:val="22"/>
          <w:szCs w:val="22"/>
        </w:rPr>
        <w:t xml:space="preserve">Pairwise comparisons:  </w:t>
      </w:r>
      <w:r>
        <w:rPr>
          <w:rFonts w:ascii="Times New Roman" w:cs="Times New Roman" w:eastAsia="Times New Roman" w:hAnsi="Times New Roman"/>
          <w:sz w:val="22"/>
          <w:szCs w:val="22"/>
        </w:rPr>
        <w:t xml:space="preserve">McNemar's test for binary outcomes (schema compliance, hallucination presence/absence). Wilcoxon signed-rank test for ordinal and continuous metrics (F1, kappa, claim support rate). All tests two-tailed; significance threshold p &lt; 0.05. Bonferroni correction applied within each multi-comparison table.</w:t>
      </w:r>
    </w:p>
    <w:p>
      <w:pPr>
        <w:spacing w:after="120"/>
      </w:pPr>
      <w:r>
        <w:rPr>
          <w:rFonts w:ascii="Times New Roman" w:cs="Times New Roman" w:eastAsia="Times New Roman" w:hAnsi="Times New Roman"/>
          <w:b/>
          <w:bCs/>
          <w:sz w:val="22"/>
          <w:szCs w:val="22"/>
        </w:rPr>
        <w:t xml:space="preserve">Safety override:  </w:t>
      </w:r>
      <w:r>
        <w:rPr>
          <w:rFonts w:ascii="Times New Roman" w:cs="Times New Roman" w:eastAsia="Times New Roman" w:hAnsi="Times New Roman"/>
          <w:sz w:val="22"/>
          <w:szCs w:val="22"/>
        </w:rPr>
        <w:t xml:space="preserve">95 % bootstrap confidence interval on precision and recall (1,000 bootstrap samples).</w:t>
      </w:r>
    </w:p>
    <w:p>
      <w:pPr>
        <w:spacing w:after="80"/>
      </w:pPr>
    </w:p>
    <w:p>
      <w:pPr>
        <w:pStyle w:val="Heading2"/>
        <w:spacing w:after="100" w:before="200"/>
      </w:pPr>
      <w:r>
        <w:t xml:space="preserve">6.5  Framework Alignment and Explainability (RQ4, RQ5)</w:t>
      </w:r>
    </w:p>
    <w:p>
      <w:pPr>
        <w:spacing w:after="120"/>
      </w:pPr>
      <w:r>
        <w:rPr>
          <w:rFonts w:ascii="Times New Roman" w:cs="Times New Roman" w:eastAsia="Times New Roman" w:hAnsi="Times New Roman"/>
          <w:b/>
          <w:bCs/>
          <w:sz w:val="22"/>
          <w:szCs w:val="22"/>
        </w:rPr>
        <w:t xml:space="preserve">RQ4 — Framework alignment:  </w:t>
      </w:r>
      <w:r>
        <w:rPr>
          <w:rFonts w:ascii="Times New Roman" w:cs="Times New Roman" w:eastAsia="Times New Roman" w:hAnsi="Times New Roman"/>
          <w:sz w:val="22"/>
          <w:szCs w:val="22"/>
        </w:rPr>
        <w:t xml:space="preserve">GAD-7 severity band predictions are compared against ground-truth severity labels where available. For dataset inputs, referral level distributions are compared to clinically expected distributions. DSM-5 and ICD-11 alignment is assessed qualitatively: two annotators independently review 20 randomly sampled reports and assess whether identified concern patterns correspond to ICD-11 anxiety disorder descriptors. Inter-rater reliability is reported as Cohen's kappa.</w:t>
      </w:r>
    </w:p>
    <w:p>
      <w:pPr>
        <w:spacing w:after="120"/>
      </w:pPr>
      <w:r>
        <w:rPr>
          <w:rFonts w:ascii="Times New Roman" w:cs="Times New Roman" w:eastAsia="Times New Roman" w:hAnsi="Times New Roman"/>
          <w:b/>
          <w:bCs/>
          <w:sz w:val="22"/>
          <w:szCs w:val="22"/>
        </w:rPr>
        <w:t xml:space="preserve">RQ5 — Explainability and safety:  </w:t>
      </w:r>
      <w:r>
        <w:rPr>
          <w:rFonts w:ascii="Times New Roman" w:cs="Times New Roman" w:eastAsia="Times New Roman" w:hAnsi="Times New Roman"/>
          <w:sz w:val="22"/>
          <w:szCs w:val="22"/>
        </w:rPr>
        <w:t xml:space="preserve">Explainability is operationalised as claim support rate and hallucination rate (Section 2.2). Safety is evaluated via safety override precision and recall on a held-out set of crisis and non-crisis inputs (at least 20 per class). The safety evaluation is conducted separately from the main pipeline evaluation to isolate the deterministic safety component from LLM variability.</w:t>
      </w:r>
    </w:p>
    <w:p>
      <w:pPr>
        <w:spacing w:after="80"/>
      </w:pPr>
    </w:p>
    <w:p>
      <w:pPr>
        <w:pStyle w:val="Heading1"/>
        <w:spacing w:after="160" w:before="320"/>
      </w:pPr>
      <w:r>
        <w:t xml:space="preserve">7. Notes</w:t>
      </w:r>
    </w:p>
    <w:p>
      <w:pPr>
        <w:pStyle w:val="Heading2"/>
        <w:spacing w:after="100" w:before="200"/>
      </w:pPr>
      <w:r>
        <w:t xml:space="preserve">7.1  Resolved Items</w:t>
      </w:r>
    </w:p>
    <w:tbl>
      <w:tblPr>
        <w:tblW w:type="dxa" w:w="792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3400"/>
        <w:gridCol w:w="4520"/>
      </w:tblGrid>
      <w:tr>
        <w:trPr>
          <w:tblHeader/>
        </w:trPr>
        <w:tc>
          <w:tcPr>
            <w:tcW w:type="dxa" w:w="3400"/>
            <w:shd w:fill="D9E1F2" w:color="auto" w:val="clear"/>
          </w:tcPr>
          <w:p>
            <w:pPr>
              <w:jc w:val="center"/>
            </w:pPr>
            <w:r>
              <w:rPr>
                <w:rFonts w:ascii="Times New Roman" w:cs="Times New Roman" w:eastAsia="Times New Roman" w:hAnsi="Times New Roman"/>
                <w:b/>
                <w:bCs/>
                <w:sz w:val="19"/>
                <w:szCs w:val="19"/>
              </w:rPr>
              <w:t xml:space="preserve">Item Previously Under Discussion</w:t>
            </w:r>
          </w:p>
        </w:tc>
        <w:tc>
          <w:tcPr>
            <w:tcW w:type="dxa" w:w="4520"/>
            <w:shd w:fill="D9E1F2" w:color="auto" w:val="clear"/>
          </w:tcPr>
          <w:p>
            <w:pPr>
              <w:jc w:val="center"/>
            </w:pPr>
            <w:r>
              <w:rPr>
                <w:rFonts w:ascii="Times New Roman" w:cs="Times New Roman" w:eastAsia="Times New Roman" w:hAnsi="Times New Roman"/>
                <w:b/>
                <w:bCs/>
                <w:sz w:val="19"/>
                <w:szCs w:val="19"/>
              </w:rPr>
              <w:t xml:space="preserve">Resolution</w:t>
            </w:r>
          </w:p>
        </w:tc>
      </w:tr>
      <w:tr>
        <w:tc>
          <w:tcPr>
            <w:tcW w:type="dxa" w:w="3400"/>
            <w:shd w:fill="FFFFFF" w:color="auto" w:val="clear"/>
          </w:tcPr>
          <w:p>
            <w:r>
              <w:rPr>
                <w:rFonts w:ascii="Times New Roman" w:cs="Times New Roman" w:eastAsia="Times New Roman" w:hAnsi="Times New Roman"/>
                <w:sz w:val="18"/>
                <w:szCs w:val="18"/>
              </w:rPr>
              <w:t xml:space="preserve">Mental-health-specific research questions</w:t>
            </w:r>
          </w:p>
        </w:tc>
        <w:tc>
          <w:tcPr>
            <w:tcW w:type="dxa" w:w="4520"/>
            <w:shd w:fill="FFFFFF" w:color="auto" w:val="clear"/>
          </w:tcPr>
          <w:p>
            <w:r>
              <w:rPr>
                <w:rFonts w:ascii="Times New Roman" w:cs="Times New Roman" w:eastAsia="Times New Roman" w:hAnsi="Times New Roman"/>
                <w:sz w:val="18"/>
                <w:szCs w:val="18"/>
              </w:rPr>
              <w:t xml:space="preserve">Resolved. RQ4 (framework alignment) and RQ5 (explainability/safety), contributed by the supervisors, are finalised and included in Section 1.</w:t>
            </w:r>
          </w:p>
        </w:tc>
      </w:tr>
      <w:tr>
        <w:tc>
          <w:tcPr>
            <w:tcW w:type="dxa" w:w="3400"/>
            <w:shd w:fill="F2F2F2" w:color="auto" w:val="clear"/>
          </w:tcPr>
          <w:p>
            <w:r>
              <w:rPr>
                <w:rFonts w:ascii="Times New Roman" w:cs="Times New Roman" w:eastAsia="Times New Roman" w:hAnsi="Times New Roman"/>
                <w:sz w:val="18"/>
                <w:szCs w:val="18"/>
              </w:rPr>
              <w:t xml:space="preserve">Final dataset selection</w:t>
            </w:r>
          </w:p>
        </w:tc>
        <w:tc>
          <w:tcPr>
            <w:tcW w:type="dxa" w:w="4520"/>
            <w:shd w:fill="F2F2F2" w:color="auto" w:val="clear"/>
          </w:tcPr>
          <w:p>
            <w:r>
              <w:rPr>
                <w:rFonts w:ascii="Times New Roman" w:cs="Times New Roman" w:eastAsia="Times New Roman" w:hAnsi="Times New Roman"/>
                <w:sz w:val="18"/>
                <w:szCs w:val="18"/>
              </w:rPr>
              <w:t xml:space="preserve">Resolved. Dreaddit (CLPsych 2019) and ANGST (EMNLP 2024) selected. See Section 3.</w:t>
            </w:r>
          </w:p>
        </w:tc>
      </w:tr>
      <w:tr>
        <w:tc>
          <w:tcPr>
            <w:tcW w:type="dxa" w:w="3400"/>
            <w:shd w:fill="FFFFFF" w:color="auto" w:val="clear"/>
          </w:tcPr>
          <w:p>
            <w:r>
              <w:rPr>
                <w:rFonts w:ascii="Times New Roman" w:cs="Times New Roman" w:eastAsia="Times New Roman" w:hAnsi="Times New Roman"/>
                <w:sz w:val="18"/>
                <w:szCs w:val="18"/>
              </w:rPr>
              <w:t xml:space="preserve">Evaluation protocol (runs, aggregation)</w:t>
            </w:r>
          </w:p>
        </w:tc>
        <w:tc>
          <w:tcPr>
            <w:tcW w:type="dxa" w:w="4520"/>
            <w:shd w:fill="FFFFFF" w:color="auto" w:val="clear"/>
          </w:tcPr>
          <w:p>
            <w:r>
              <w:rPr>
                <w:rFonts w:ascii="Times New Roman" w:cs="Times New Roman" w:eastAsia="Times New Roman" w:hAnsi="Times New Roman"/>
                <w:sz w:val="18"/>
                <w:szCs w:val="18"/>
              </w:rPr>
              <w:t xml:space="preserve">Resolved. 5 runs per configuration; mean ± SD reported for all metrics. See Sections 2 and 6.</w:t>
            </w:r>
          </w:p>
        </w:tc>
      </w:tr>
      <w:tr>
        <w:tc>
          <w:tcPr>
            <w:tcW w:type="dxa" w:w="3400"/>
            <w:shd w:fill="F2F2F2" w:color="auto" w:val="clear"/>
          </w:tcPr>
          <w:p>
            <w:r>
              <w:rPr>
                <w:rFonts w:ascii="Times New Roman" w:cs="Times New Roman" w:eastAsia="Times New Roman" w:hAnsi="Times New Roman"/>
                <w:sz w:val="18"/>
                <w:szCs w:val="18"/>
              </w:rPr>
              <w:t xml:space="preserve">Standard deviation reporting</w:t>
            </w:r>
          </w:p>
        </w:tc>
        <w:tc>
          <w:tcPr>
            <w:tcW w:type="dxa" w:w="4520"/>
            <w:shd w:fill="F2F2F2" w:color="auto" w:val="clear"/>
          </w:tcPr>
          <w:p>
            <w:r>
              <w:rPr>
                <w:rFonts w:ascii="Times New Roman" w:cs="Times New Roman" w:eastAsia="Times New Roman" w:hAnsi="Times New Roman"/>
                <w:sz w:val="18"/>
                <w:szCs w:val="18"/>
              </w:rPr>
              <w:t xml:space="preserve">Resolved. Mean ± SD across five runs is the standard reporting format for all metrics, per supervisor feedback.</w:t>
            </w:r>
          </w:p>
        </w:tc>
      </w:tr>
      <w:tr>
        <w:tc>
          <w:tcPr>
            <w:tcW w:type="dxa" w:w="3400"/>
            <w:shd w:fill="FFFFFF" w:color="auto" w:val="clear"/>
          </w:tcPr>
          <w:p>
            <w:r>
              <w:rPr>
                <w:rFonts w:ascii="Times New Roman" w:cs="Times New Roman" w:eastAsia="Times New Roman" w:hAnsi="Times New Roman"/>
                <w:sz w:val="18"/>
                <w:szCs w:val="18"/>
              </w:rPr>
              <w:t xml:space="preserve">LLM version specification</w:t>
            </w:r>
          </w:p>
        </w:tc>
        <w:tc>
          <w:tcPr>
            <w:tcW w:type="dxa" w:w="4520"/>
            <w:shd w:fill="FFFFFF" w:color="auto" w:val="clear"/>
          </w:tcPr>
          <w:p>
            <w:r>
              <w:rPr>
                <w:rFonts w:ascii="Times New Roman" w:cs="Times New Roman" w:eastAsia="Times New Roman" w:hAnsi="Times New Roman"/>
                <w:sz w:val="18"/>
                <w:szCs w:val="18"/>
              </w:rPr>
              <w:t xml:space="preserve">Resolved. Exact model ID strings and providers specified for all five models. See Section 4.</w:t>
            </w:r>
          </w:p>
        </w:tc>
      </w:tr>
      <w:tr>
        <w:tc>
          <w:tcPr>
            <w:tcW w:type="dxa" w:w="3400"/>
            <w:shd w:fill="F2F2F2" w:color="auto" w:val="clear"/>
          </w:tcPr>
          <w:p>
            <w:r>
              <w:rPr>
                <w:rFonts w:ascii="Times New Roman" w:cs="Times New Roman" w:eastAsia="Times New Roman" w:hAnsi="Times New Roman"/>
                <w:sz w:val="18"/>
                <w:szCs w:val="18"/>
              </w:rPr>
              <w:t xml:space="preserve">Safety evaluation scope</w:t>
            </w:r>
          </w:p>
        </w:tc>
        <w:tc>
          <w:tcPr>
            <w:tcW w:type="dxa" w:w="4520"/>
            <w:shd w:fill="F2F2F2" w:color="auto" w:val="clear"/>
          </w:tcPr>
          <w:p>
            <w:r>
              <w:rPr>
                <w:rFonts w:ascii="Times New Roman" w:cs="Times New Roman" w:eastAsia="Times New Roman" w:hAnsi="Times New Roman"/>
                <w:sz w:val="18"/>
                <w:szCs w:val="18"/>
              </w:rPr>
              <w:t xml:space="preserve">Resolved. Safety override evaluated separately on held-out crisis and non-crisis inputs; precision, recall, F1, and 95 % bootstrap CI reported. See Section 2.3.</w:t>
            </w:r>
          </w:p>
        </w:tc>
      </w:tr>
      <w:tr>
        <w:tc>
          <w:tcPr>
            <w:tcW w:type="dxa" w:w="3400"/>
            <w:shd w:fill="FFFFFF" w:color="auto" w:val="clear"/>
          </w:tcPr>
          <w:p>
            <w:r>
              <w:rPr>
                <w:rFonts w:ascii="Times New Roman" w:cs="Times New Roman" w:eastAsia="Times New Roman" w:hAnsi="Times New Roman"/>
                <w:sz w:val="18"/>
                <w:szCs w:val="18"/>
              </w:rPr>
              <w:t xml:space="preserve">High-risk override testing</w:t>
            </w:r>
          </w:p>
        </w:tc>
        <w:tc>
          <w:tcPr>
            <w:tcW w:type="dxa" w:w="4520"/>
            <w:shd w:fill="FFFFFF" w:color="auto" w:val="clear"/>
          </w:tcPr>
          <w:p>
            <w:r>
              <w:rPr>
                <w:rFonts w:ascii="Times New Roman" w:cs="Times New Roman" w:eastAsia="Times New Roman" w:hAnsi="Times New Roman"/>
                <w:sz w:val="18"/>
                <w:szCs w:val="18"/>
              </w:rPr>
              <w:t xml:space="preserve">Resolved. Included in safety evaluation (Section 2.3).</w:t>
            </w:r>
          </w:p>
        </w:tc>
      </w:tr>
      <w:tr>
        <w:tc>
          <w:tcPr>
            <w:tcW w:type="dxa" w:w="3400"/>
            <w:shd w:fill="F2F2F2" w:color="auto" w:val="clear"/>
          </w:tcPr>
          <w:p>
            <w:r>
              <w:rPr>
                <w:rFonts w:ascii="Times New Roman" w:cs="Times New Roman" w:eastAsia="Times New Roman" w:hAnsi="Times New Roman"/>
                <w:sz w:val="18"/>
                <w:szCs w:val="18"/>
              </w:rPr>
              <w:t xml:space="preserve">Two datasets from top-tier venues</w:t>
            </w:r>
          </w:p>
        </w:tc>
        <w:tc>
          <w:tcPr>
            <w:tcW w:type="dxa" w:w="4520"/>
            <w:shd w:fill="F2F2F2" w:color="auto" w:val="clear"/>
          </w:tcPr>
          <w:p>
            <w:r>
              <w:rPr>
                <w:rFonts w:ascii="Times New Roman" w:cs="Times New Roman" w:eastAsia="Times New Roman" w:hAnsi="Times New Roman"/>
                <w:sz w:val="18"/>
                <w:szCs w:val="18"/>
              </w:rPr>
              <w:t xml:space="preserve">Resolved. Dreaddit (CLPsych 2019, NAACL co-located) and ANGST (EMNLP 2024) both satisfy the top-tier venue requirement.</w:t>
            </w:r>
          </w:p>
        </w:tc>
      </w:tr>
    </w:tbl>
    <w:p>
      <w:pPr>
        <w:spacing w:after="80"/>
      </w:pPr>
    </w:p>
    <w:p>
      <w:pPr>
        <w:pStyle w:val="Heading2"/>
        <w:spacing w:after="100" w:before="200"/>
      </w:pPr>
      <w:r>
        <w:t xml:space="preserve">7.2  Implementation Notes</w:t>
      </w:r>
    </w:p>
    <w:p>
      <w:pPr>
        <w:spacing w:after="120"/>
      </w:pPr>
      <w:r>
        <w:rPr>
          <w:rFonts w:ascii="Times New Roman" w:cs="Times New Roman" w:eastAsia="Times New Roman" w:hAnsi="Times New Roman"/>
          <w:b/>
          <w:bCs/>
          <w:sz w:val="22"/>
          <w:szCs w:val="22"/>
        </w:rPr>
        <w:t xml:space="preserve">ANGST access: </w:t>
      </w:r>
      <w:r>
        <w:rPr>
          <w:rFonts w:ascii="Times New Roman" w:cs="Times New Roman" w:eastAsia="Times New Roman" w:hAnsi="Times New Roman"/>
          <w:sz w:val="22"/>
          <w:szCs w:val="22"/>
        </w:rPr>
        <w:t xml:space="preserve">ANGST (Hengle et al., EMNLP 2024) is distributed via HuggingFace (ameyhengle/ANGST) and requires completing a Google Form before access is granted. Submit the request early; approval typically takes 24–48 hours.</w:t>
      </w:r>
    </w:p>
    <w:p>
      <w:pPr>
        <w:spacing w:after="120"/>
      </w:pPr>
      <w:r>
        <w:rPr>
          <w:rFonts w:ascii="Times New Roman" w:cs="Times New Roman" w:eastAsia="Times New Roman" w:hAnsi="Times New Roman"/>
          <w:b/>
          <w:bCs/>
          <w:sz w:val="22"/>
          <w:szCs w:val="22"/>
        </w:rPr>
        <w:t xml:space="preserve">Inference provider rate limits:  </w:t>
      </w:r>
      <w:r>
        <w:rPr>
          <w:rFonts w:ascii="Times New Roman" w:cs="Times New Roman" w:eastAsia="Times New Roman" w:hAnsi="Times New Roman"/>
          <w:sz w:val="22"/>
          <w:szCs w:val="22"/>
        </w:rPr>
        <w:t xml:space="preserve">Multi-provider rate limits: Groq enforces per-minute token limits; OpenRouter enforces per-minute request limits on free-tier models. Evaluation runs should be batched with exponential-backoff retry logic. Estimated total tokens across 150 runs: approximately 15 million, distributed across providers. Monitor usage dashboards for each provider to avoid exhausting free-tier quotas mid-experiment.</w:t>
      </w:r>
    </w:p>
    <w:p>
      <w:pPr>
        <w:spacing w:after="120"/>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sz w:val="22"/>
          <w:szCs w:val="22"/>
        </w:rPr>
        <w:t xml:space="preserve">All experimental inputs, model outputs, and computed metrics are saved to evaluation/prompt-experiments/runs/ using the existing export utility. Identical inputs are used across all five repeated runs for a given configuration to ensure comparability.</w:t>
      </w:r>
    </w:p>
    <w:p>
      <w:pPr>
        <w:spacing w:after="8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2026-07-20T00:37:52.579Z</dcterms:created>
  <dcterms:modified xsi:type="dcterms:W3CDTF">2026-07-20T00:37:52.579Z</dcterms:modified>
</cp:coreProperties>
</file>

<file path=docProps/custom.xml><?xml version="1.0" encoding="utf-8"?>
<Properties xmlns="http://schemas.openxmlformats.org/officeDocument/2006/custom-properties" xmlns:vt="http://schemas.openxmlformats.org/officeDocument/2006/docPropsVTypes"/>
</file>