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b/>
          <w:bCs/>
          <w:color w:val="1F3864"/>
          <w:sz w:val="56"/>
          <w:szCs w:val="56"/>
        </w:rPr>
        <w:t xml:space="preserve">AnxioSense</w:t>
      </w:r>
    </w:p>
    <w:p>
      <w:pPr>
        <w:spacing w:after="80" w:before="0"/>
        <w:jc w:val="center"/>
      </w:pPr>
      <w:r>
        <w:rPr>
          <w:color w:val="2E75B6"/>
          <w:sz w:val="32"/>
          <w:szCs w:val="32"/>
        </w:rPr>
        <w:t xml:space="preserve">Dataset and Evaluation Documentation</w:t>
      </w:r>
    </w:p>
    <w:p>
      <w:pPr>
        <w:spacing w:after="40" w:before="80"/>
        <w:jc w:val="center"/>
      </w:pPr>
      <w:r>
        <w:rPr>
          <w:i/>
          <w:iCs/>
          <w:color w:val="555555"/>
          <w:sz w:val="22"/>
          <w:szCs w:val="22"/>
        </w:rPr>
        <w:t xml:space="preserve">EECS4080 Independent Research Project  ·  York University, Summer 2026</w:t>
      </w:r>
    </w:p>
    <w:p>
      <w:pPr>
        <w:spacing w:after="480" w:before="0"/>
        <w:jc w:val="center"/>
      </w:pPr>
      <w:r>
        <w:rPr>
          <w:i/>
          <w:iCs/>
          <w:color w:val="555555"/>
          <w:sz w:val="22"/>
          <w:szCs w:val="22"/>
        </w:rPr>
        <w:t xml:space="preserve">Aya El-Dassouki  ·  Supervisors: Prof. Alvine Boaye Belle, Dr. Abel Tewolde</w:t>
      </w:r>
    </w:p>
    <w:p>
      <w:pPr>
        <w:pBdr>
          <w:bottom w:val="thick" w:color="2E75B6" w:sz="16"/>
        </w:pBdr>
        <w:spacing w:after="360" w:before="0"/>
      </w:pPr>
    </w:p>
    <w:p>
      <w:pPr>
        <w:pStyle w:val="Heading1"/>
        <w:pBdr>
          <w:bottom w:val="thick" w:color="2E75B6" w:sz="12"/>
        </w:pBdr>
        <w:spacing w:after="120" w:before="360"/>
      </w:pPr>
      <w:r>
        <w:t xml:space="preserve">1. Datasets</w:t>
      </w:r>
    </w:p>
    <w:p>
      <w:pPr>
        <w:spacing w:after="80" w:before="60"/>
      </w:pPr>
      <w:r>
        <w:rPr>
          <w:color w:val="1A1A1A"/>
          <w:sz w:val="20"/>
          <w:szCs w:val="20"/>
        </w:rPr>
        <w:t xml:space="preserve">AnxioSense currently uses two publicly available datasets for evaluation: </w:t>
      </w:r>
      <w:r>
        <w:rPr>
          <w:b/>
          <w:bCs/>
          <w:color w:val="1A1A1A"/>
          <w:sz w:val="20"/>
          <w:szCs w:val="20"/>
        </w:rPr>
        <w:t xml:space="preserve">Dreaddit</w:t>
      </w:r>
      <w:r>
        <w:rPr>
          <w:color w:val="1A1A1A"/>
          <w:sz w:val="20"/>
          <w:szCs w:val="20"/>
        </w:rPr>
        <w:t xml:space="preserve"> and </w:t>
      </w:r>
      <w:r>
        <w:rPr>
          <w:b/>
          <w:bCs/>
          <w:color w:val="1A1A1A"/>
          <w:sz w:val="20"/>
          <w:szCs w:val="20"/>
        </w:rPr>
        <w:t xml:space="preserve">GoEmotions</w:t>
      </w:r>
      <w:r>
        <w:rPr>
          <w:color w:val="1A1A1A"/>
          <w:sz w:val="20"/>
          <w:szCs w:val="20"/>
        </w:rPr>
        <w:t xml:space="preserve">. Neither dataset is used to fine-tune a model — both serve as ground-truth evaluation corpora. A third category, the RAG knowledge base (clinical guideline documents), is described in Section 1.3. Any datasets that have been requested but not yet obtained are listed in Section 1.4.</w:t>
      </w:r>
    </w:p>
    <w:p>
      <w:pPr>
        <w:spacing w:after="0" w:before="100"/>
      </w:pPr>
    </w:p>
    <w:p>
      <w:pPr>
        <w:spacing w:after="60" w:before="60"/>
      </w:pPr>
      <w:r>
        <w:rPr>
          <w:b/>
          <w:bCs/>
          <w:color w:val="1F3864"/>
          <w:sz w:val="20"/>
          <w:szCs w:val="20"/>
        </w:rPr>
        <w:t xml:space="preserve">Dataset Status Legend:</w:t>
      </w:r>
    </w:p>
    <w:tbl>
      <w:tblPr>
        <w:tblW w:type="dxa" w:w="8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67"/>
        <w:gridCol w:w="2867"/>
        <w:gridCol w:w="2866"/>
      </w:tblGrid>
      <w:tr>
        <w:tc>
          <w:tcPr>
            <w:tcBorders>
              <w:top w:val="single" w:color="AAAAAA" w:sz="4"/>
              <w:left w:val="single" w:color="AAAAAA" w:sz="4"/>
              <w:bottom w:val="single" w:color="AAAAAA" w:sz="4"/>
              <w:right w:val="single" w:color="AAAAAA" w:sz="4"/>
            </w:tcBorders>
            <w:shd w:fill="1A5C38" w:color="auto" w:val="clear"/>
            <w:tcMar>
              <w:top w:type="dxa" w:w="60"/>
              <w:left w:type="dxa" w:w="80"/>
              <w:bottom w:type="dxa" w:w="60"/>
              <w:right w:type="dxa" w:w="80"/>
            </w:tcMar>
          </w:tcPr>
          <w:p>
            <w:pPr>
              <w:spacing w:after="50" w:before="50"/>
              <w:jc w:val="center"/>
            </w:pPr>
            <w:r>
              <w:rPr>
                <w:b/>
                <w:bCs/>
                <w:color w:val="FFFFFF"/>
                <w:sz w:val="18"/>
                <w:szCs w:val="18"/>
              </w:rPr>
              <w:t xml:space="preserve">✅  Currently Used</w:t>
            </w:r>
          </w:p>
        </w:tc>
        <w:tc>
          <w:tcPr>
            <w:tcBorders>
              <w:top w:val="single" w:color="AAAAAA" w:sz="4"/>
              <w:left w:val="single" w:color="AAAAAA" w:sz="4"/>
              <w:bottom w:val="single" w:color="AAAAAA" w:sz="4"/>
              <w:right w:val="single" w:color="AAAAAA" w:sz="4"/>
            </w:tcBorders>
            <w:shd w:fill="2E75B6" w:color="auto" w:val="clear"/>
            <w:tcMar>
              <w:top w:type="dxa" w:w="60"/>
              <w:left w:type="dxa" w:w="80"/>
              <w:bottom w:type="dxa" w:w="60"/>
              <w:right w:type="dxa" w:w="80"/>
            </w:tcMar>
          </w:tcPr>
          <w:p>
            <w:pPr>
              <w:spacing w:after="50" w:before="50"/>
              <w:jc w:val="center"/>
            </w:pPr>
            <w:r>
              <w:rPr>
                <w:b/>
                <w:bCs/>
                <w:color w:val="FFFFFF"/>
                <w:sz w:val="18"/>
                <w:szCs w:val="18"/>
              </w:rPr>
              <w:t xml:space="preserve">🔵  Planned</w:t>
            </w:r>
          </w:p>
        </w:tc>
        <w:tc>
          <w:tcPr>
            <w:tcBorders>
              <w:top w:val="single" w:color="AAAAAA" w:sz="4"/>
              <w:left w:val="single" w:color="AAAAAA" w:sz="4"/>
              <w:bottom w:val="single" w:color="AAAAAA" w:sz="4"/>
              <w:right w:val="single" w:color="AAAAAA" w:sz="4"/>
            </w:tcBorders>
            <w:shd w:fill="7B5800" w:color="auto" w:val="clear"/>
            <w:tcMar>
              <w:top w:type="dxa" w:w="60"/>
              <w:left w:type="dxa" w:w="80"/>
              <w:bottom w:type="dxa" w:w="60"/>
              <w:right w:type="dxa" w:w="80"/>
            </w:tcMar>
          </w:tcPr>
          <w:p>
            <w:pPr>
              <w:spacing w:after="50" w:before="50"/>
              <w:jc w:val="center"/>
            </w:pPr>
            <w:r>
              <w:rPr>
                <w:b/>
                <w:bCs/>
                <w:color w:val="FFFFFF"/>
                <w:sz w:val="18"/>
                <w:szCs w:val="18"/>
              </w:rPr>
              <w:t xml:space="preserve">⚠️  Requested / Pending Access</w:t>
            </w:r>
          </w:p>
        </w:tc>
      </w:tr>
    </w:tbl>
    <w:p>
      <w:pPr>
        <w:spacing w:after="0" w:before="140"/>
      </w:pPr>
    </w:p>
    <w:p>
      <w:pPr>
        <w:pStyle w:val="Heading2"/>
        <w:spacing w:after="80" w:before="240"/>
      </w:pPr>
      <w:r>
        <w:t xml:space="preserve">1.1  Dreaddit  [ ✅ Currently Used ]</w:t>
      </w:r>
    </w:p>
    <w:tbl>
      <w:tblPr>
        <w:tblW w:type="dxa" w:w="8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300"/>
      </w:tblGrid>
      <w:tr>
        <w:tc>
          <w:tcPr>
            <w:gridSpan w:val="2"/>
            <w:tcBorders>
              <w:top w:val="single" w:color="AAAAAA" w:sz="4"/>
              <w:left w:val="single" w:color="AAAAAA" w:sz="4"/>
              <w:bottom w:val="single" w:color="AAAAAA" w:sz="4"/>
              <w:right w:val="single" w:color="AAAAAA" w:sz="4"/>
            </w:tcBorders>
            <w:shd w:fill="2E75B6" w:color="auto" w:val="clear"/>
            <w:tcMar>
              <w:top w:type="dxa" w:w="50"/>
              <w:left w:type="dxa" w:w="100"/>
              <w:bottom w:type="dxa" w:w="50"/>
              <w:right w:type="dxa" w:w="100"/>
            </w:tcMar>
          </w:tcPr>
          <w:p>
            <w:pPr>
              <w:spacing w:after="30" w:before="30"/>
            </w:pPr>
            <w:r>
              <w:rPr>
                <w:b/>
                <w:bCs/>
                <w:color w:val="FFFFFF"/>
                <w:sz w:val="17"/>
                <w:szCs w:val="17"/>
              </w:rPr>
              <w:t xml:space="preserve">Identification</w:t>
            </w:r>
          </w:p>
        </w:tc>
      </w:tr>
      <w:tr>
        <w:tc>
          <w:tcPr>
            <w:tcW w:type="dxa" w:w="2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b/>
                <w:bCs/>
                <w:color w:val="1F3864"/>
                <w:sz w:val="18"/>
                <w:szCs w:val="18"/>
              </w:rPr>
              <w:t xml:space="preserve">Name</w:t>
            </w:r>
          </w:p>
        </w:tc>
        <w:tc>
          <w:tcPr>
            <w:tcW w:type="dxa" w:w="6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color w:val="1A1A1A"/>
                <w:sz w:val="18"/>
                <w:szCs w:val="18"/>
              </w:rPr>
              <w:t xml:space="preserve">Dreaddit</w:t>
            </w:r>
          </w:p>
        </w:tc>
      </w:tr>
      <w:tr>
        <w:tc>
          <w:tcPr>
            <w:tcW w:type="dxa" w:w="2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b/>
                <w:bCs/>
                <w:color w:val="1F3864"/>
                <w:sz w:val="18"/>
                <w:szCs w:val="18"/>
              </w:rPr>
              <w:t xml:space="preserve">Authors</w:t>
            </w:r>
          </w:p>
        </w:tc>
        <w:tc>
          <w:tcPr>
            <w:tcW w:type="dxa" w:w="6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color w:val="1A1A1A"/>
                <w:sz w:val="18"/>
                <w:szCs w:val="18"/>
              </w:rPr>
              <w:t xml:space="preserve">Elsbeth Turcan, Kathleen McKeown</w:t>
            </w:r>
          </w:p>
        </w:tc>
      </w:tr>
      <w:tr>
        <w:tc>
          <w:tcPr>
            <w:tcW w:type="dxa" w:w="2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b/>
                <w:bCs/>
                <w:color w:val="1F3864"/>
                <w:sz w:val="18"/>
                <w:szCs w:val="18"/>
              </w:rPr>
              <w:t xml:space="preserve">Year</w:t>
            </w:r>
          </w:p>
        </w:tc>
        <w:tc>
          <w:tcPr>
            <w:tcW w:type="dxa" w:w="6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color w:val="1A1A1A"/>
                <w:sz w:val="18"/>
                <w:szCs w:val="18"/>
              </w:rPr>
              <w:t xml:space="preserve">2019</w:t>
            </w:r>
          </w:p>
        </w:tc>
      </w:tr>
      <w:tr>
        <w:tc>
          <w:tcPr>
            <w:tcW w:type="dxa" w:w="2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b/>
                <w:bCs/>
                <w:color w:val="1F3864"/>
                <w:sz w:val="18"/>
                <w:szCs w:val="18"/>
              </w:rPr>
              <w:t xml:space="preserve">Paper</w:t>
            </w:r>
          </w:p>
        </w:tc>
        <w:tc>
          <w:tcPr>
            <w:tcW w:type="dxa" w:w="6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color w:val="1A1A1A"/>
                <w:sz w:val="18"/>
                <w:szCs w:val="18"/>
              </w:rPr>
              <w:t xml:space="preserve">"Dreaddit: A Reddit Dataset for Stress Analysis in Social Media." Proceedings of the 10th Workshop on Computational Approaches to Subjectivity, Sentiment and Social Media Analysis (CLPsych @ EMNLP 2019).</w:t>
            </w:r>
          </w:p>
        </w:tc>
      </w:tr>
      <w:tr>
        <w:tc>
          <w:tcPr>
            <w:tcW w:type="dxa" w:w="2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b/>
                <w:bCs/>
                <w:color w:val="1F3864"/>
                <w:sz w:val="18"/>
                <w:szCs w:val="18"/>
              </w:rPr>
              <w:t xml:space="preserve">Official Links</w:t>
            </w:r>
          </w:p>
        </w:tc>
        <w:tc>
          <w:tcPr>
            <w:tcW w:type="dxa" w:w="6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color w:val="2E75B6"/>
                <w:sz w:val="18"/>
                <w:szCs w:val="18"/>
              </w:rPr>
              <w:t xml:space="preserve">Paper: https://arxiv.org/abs/1911.00133</w:t>
            </w:r>
            <w:r>
              <w:rPr>
                <w:color w:val="2E75B6"/>
                <w:sz w:val="18"/>
                <w:szCs w:val="18"/>
              </w:rPr>
              <w:t xml:space="preserve">
Dataset: https://huggingface.co/datasets/dreaddit</w:t>
            </w:r>
          </w:p>
        </w:tc>
      </w:tr>
      <w:tr>
        <w:tc>
          <w:tcPr>
            <w:tcW w:type="dxa" w:w="2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b/>
                <w:bCs/>
                <w:color w:val="1F3864"/>
                <w:sz w:val="18"/>
                <w:szCs w:val="18"/>
              </w:rPr>
              <w:t xml:space="preserve">License</w:t>
            </w:r>
          </w:p>
        </w:tc>
        <w:tc>
          <w:tcPr>
            <w:tcW w:type="dxa" w:w="6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color w:val="1A1A1A"/>
                <w:sz w:val="18"/>
                <w:szCs w:val="18"/>
              </w:rPr>
              <w:t xml:space="preserve">CC BY 4.0</w:t>
            </w:r>
          </w:p>
        </w:tc>
      </w:tr>
      <w:tr>
        <w:tc>
          <w:tcPr>
            <w:gridSpan w:val="2"/>
            <w:tcBorders>
              <w:top w:val="single" w:color="AAAAAA" w:sz="4"/>
              <w:left w:val="single" w:color="AAAAAA" w:sz="4"/>
              <w:bottom w:val="single" w:color="AAAAAA" w:sz="4"/>
              <w:right w:val="single" w:color="AAAAAA" w:sz="4"/>
            </w:tcBorders>
            <w:shd w:fill="2E75B6" w:color="auto" w:val="clear"/>
            <w:tcMar>
              <w:top w:type="dxa" w:w="50"/>
              <w:left w:type="dxa" w:w="100"/>
              <w:bottom w:type="dxa" w:w="50"/>
              <w:right w:type="dxa" w:w="100"/>
            </w:tcMar>
          </w:tcPr>
          <w:p>
            <w:pPr>
              <w:spacing w:after="30" w:before="30"/>
            </w:pPr>
            <w:r>
              <w:rPr>
                <w:b/>
                <w:bCs/>
                <w:color w:val="FFFFFF"/>
                <w:sz w:val="17"/>
                <w:szCs w:val="17"/>
              </w:rPr>
              <w:t xml:space="preserve">AnxioSense Usage</w:t>
            </w:r>
          </w:p>
        </w:tc>
      </w:tr>
      <w:tr>
        <w:tc>
          <w:tcPr>
            <w:tcW w:type="dxa" w:w="2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b/>
                <w:bCs/>
                <w:color w:val="1F3864"/>
                <w:sz w:val="18"/>
                <w:szCs w:val="18"/>
              </w:rPr>
              <w:t xml:space="preserve">Status</w:t>
            </w:r>
          </w:p>
        </w:tc>
        <w:tc>
          <w:tcPr>
            <w:tcW w:type="dxa" w:w="6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color w:val="1A1A1A"/>
                <w:sz w:val="18"/>
                <w:szCs w:val="18"/>
              </w:rPr>
              <w:t xml:space="preserve">✅ Currently Used — CSV files obtained and verified; subset extracted and analysed.</w:t>
            </w:r>
          </w:p>
        </w:tc>
      </w:tr>
      <w:tr>
        <w:tc>
          <w:tcPr>
            <w:tcW w:type="dxa" w:w="2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b/>
                <w:bCs/>
                <w:color w:val="1F3864"/>
                <w:sz w:val="18"/>
                <w:szCs w:val="18"/>
              </w:rPr>
              <w:t xml:space="preserve">Purpose in AnxioSense</w:t>
            </w:r>
          </w:p>
        </w:tc>
        <w:tc>
          <w:tcPr>
            <w:tcW w:type="dxa" w:w="6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color w:val="1A1A1A"/>
                <w:sz w:val="18"/>
                <w:szCs w:val="18"/>
              </w:rPr>
              <w:t xml:space="preserve">Evaluation corpus: the held-out test split (n = 324 posts) provides a benchmark for assessing whether the pipeline correctly identifies anxiety signal in unseen text. Posts were also sampled informally during design of the five manual calibration test cases.</w:t>
            </w:r>
          </w:p>
        </w:tc>
      </w:tr>
      <w:tr>
        <w:tc>
          <w:tcPr>
            <w:tcW w:type="dxa" w:w="2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b/>
                <w:bCs/>
                <w:color w:val="1F3864"/>
                <w:sz w:val="18"/>
                <w:szCs w:val="18"/>
              </w:rPr>
              <w:t xml:space="preserve">Ground Truth Available?</w:t>
            </w:r>
          </w:p>
        </w:tc>
        <w:tc>
          <w:tcPr>
            <w:tcW w:type="dxa" w:w="6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color w:val="1A1A1A"/>
                <w:sz w:val="18"/>
                <w:szCs w:val="18"/>
              </w:rPr>
              <w:t xml:space="preserve">Partial. Labels are crowdsourced binary stress/anxiety annotations (Amazon Mechanical Turk) supplemented by LIWC lexicon anxiety subscale scores. No clinical diagnosis or GAD-7 score is included.</w:t>
            </w:r>
          </w:p>
        </w:tc>
      </w:tr>
      <w:tr>
        <w:tc>
          <w:tcPr>
            <w:tcW w:type="dxa" w:w="2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b/>
                <w:bCs/>
                <w:color w:val="1F3864"/>
                <w:sz w:val="18"/>
                <w:szCs w:val="18"/>
              </w:rPr>
              <w:t xml:space="preserve">Why I Selected It</w:t>
            </w:r>
          </w:p>
        </w:tc>
        <w:tc>
          <w:tcPr>
            <w:tcW w:type="dxa" w:w="6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color w:val="1A1A1A"/>
                <w:sz w:val="18"/>
                <w:szCs w:val="18"/>
              </w:rPr>
              <w:t xml:space="preserve">The dataset contains self-reported Reddit posts from anxiety-specific communities (r/anxiety, r/ptsd, r/stress), which closely match the population and input modality AnxioSense targets — free-text descriptions of emotional state. It is publicly available, widely cited in the NLP mental health literature, and requires no ethics approval for research use.</w:t>
            </w:r>
          </w:p>
        </w:tc>
      </w:tr>
      <w:tr>
        <w:tc>
          <w:tcPr>
            <w:gridSpan w:val="2"/>
            <w:tcBorders>
              <w:top w:val="single" w:color="AAAAAA" w:sz="4"/>
              <w:left w:val="single" w:color="AAAAAA" w:sz="4"/>
              <w:bottom w:val="single" w:color="AAAAAA" w:sz="4"/>
              <w:right w:val="single" w:color="AAAAAA" w:sz="4"/>
            </w:tcBorders>
            <w:shd w:fill="2E75B6" w:color="auto" w:val="clear"/>
            <w:tcMar>
              <w:top w:type="dxa" w:w="50"/>
              <w:left w:type="dxa" w:w="100"/>
              <w:bottom w:type="dxa" w:w="50"/>
              <w:right w:type="dxa" w:w="100"/>
            </w:tcMar>
          </w:tcPr>
          <w:p>
            <w:pPr>
              <w:spacing w:after="30" w:before="30"/>
            </w:pPr>
            <w:r>
              <w:rPr>
                <w:b/>
                <w:bCs/>
                <w:color w:val="FFFFFF"/>
                <w:sz w:val="17"/>
                <w:szCs w:val="17"/>
              </w:rPr>
              <w:t xml:space="preserve">Dataset Details</w:t>
            </w:r>
          </w:p>
        </w:tc>
      </w:tr>
      <w:tr>
        <w:tc>
          <w:tcPr>
            <w:tcW w:type="dxa" w:w="2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b/>
                <w:bCs/>
                <w:color w:val="1F3864"/>
                <w:sz w:val="18"/>
                <w:szCs w:val="18"/>
              </w:rPr>
              <w:t xml:space="preserve">Full Dataset Size</w:t>
            </w:r>
          </w:p>
        </w:tc>
        <w:tc>
          <w:tcPr>
            <w:tcW w:type="dxa" w:w="6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color w:val="1A1A1A"/>
                <w:sz w:val="18"/>
                <w:szCs w:val="18"/>
              </w:rPr>
              <w:t xml:space="preserve">≈ 3,553 Reddit posts across all subreddits (original train + test splits)</w:t>
            </w:r>
          </w:p>
        </w:tc>
      </w:tr>
      <w:tr>
        <w:tc>
          <w:tcPr>
            <w:tcW w:type="dxa" w:w="2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b/>
                <w:bCs/>
                <w:color w:val="1F3864"/>
                <w:sz w:val="18"/>
                <w:szCs w:val="18"/>
              </w:rPr>
              <w:t xml:space="preserve">AnxioSense Subset</w:t>
            </w:r>
          </w:p>
        </w:tc>
        <w:tc>
          <w:tcPr>
            <w:tcW w:type="dxa" w:w="6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color w:val="1A1A1A"/>
                <w:sz w:val="18"/>
                <w:szCs w:val="18"/>
              </w:rPr>
              <w:t xml:space="preserve">1,531 posts — filtered to anxiety-relevant subreddits
Train: 1,207  |  Test: 324</w:t>
            </w:r>
          </w:p>
        </w:tc>
      </w:tr>
      <w:tr>
        <w:tc>
          <w:tcPr>
            <w:tcW w:type="dxa" w:w="2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b/>
                <w:bCs/>
                <w:color w:val="1F3864"/>
                <w:sz w:val="18"/>
                <w:szCs w:val="18"/>
              </w:rPr>
              <w:t xml:space="preserve">Labels</w:t>
            </w:r>
          </w:p>
        </w:tc>
        <w:tc>
          <w:tcPr>
            <w:tcW w:type="dxa" w:w="6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color w:val="1A1A1A"/>
                <w:sz w:val="18"/>
                <w:szCs w:val="18"/>
              </w:rPr>
              <w:t xml:space="preserve">Binary: 0 = not stressed / not anxious (479 posts, 31.3 %)
1 = stressed / anxious (1,052 posts, 68.7 %)</w:t>
            </w:r>
          </w:p>
        </w:tc>
      </w:tr>
      <w:tr>
        <w:tc>
          <w:tcPr>
            <w:tcW w:type="dxa" w:w="2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b/>
                <w:bCs/>
                <w:color w:val="1F3864"/>
                <w:sz w:val="18"/>
                <w:szCs w:val="18"/>
              </w:rPr>
              <w:t xml:space="preserve">Ground Truth Method</w:t>
            </w:r>
          </w:p>
        </w:tc>
        <w:tc>
          <w:tcPr>
            <w:tcW w:type="dxa" w:w="6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color w:val="1A1A1A"/>
                <w:sz w:val="18"/>
                <w:szCs w:val="18"/>
              </w:rPr>
              <w:t xml:space="preserve">Crowdsourced annotation via Amazon Mechanical Turk; LIWC anxiety subscale (lex_liwc_anx) used as an auxiliary signal. Majority vote across annotators determines the binary label.</w:t>
            </w:r>
          </w:p>
        </w:tc>
      </w:tr>
      <w:tr>
        <w:tc>
          <w:tcPr>
            <w:tcW w:type="dxa" w:w="2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b/>
                <w:bCs/>
                <w:color w:val="1F3864"/>
                <w:sz w:val="18"/>
                <w:szCs w:val="18"/>
              </w:rPr>
              <w:t xml:space="preserve">GAD-7 Included</w:t>
            </w:r>
          </w:p>
        </w:tc>
        <w:tc>
          <w:tcPr>
            <w:tcW w:type="dxa" w:w="6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color w:val="1A1A1A"/>
                <w:sz w:val="18"/>
                <w:szCs w:val="18"/>
              </w:rPr>
              <w:t xml:space="preserve">No</w:t>
            </w:r>
          </w:p>
        </w:tc>
      </w:tr>
      <w:tr>
        <w:tc>
          <w:tcPr>
            <w:tcW w:type="dxa" w:w="2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b/>
                <w:bCs/>
                <w:color w:val="1F3864"/>
                <w:sz w:val="18"/>
                <w:szCs w:val="18"/>
              </w:rPr>
              <w:t xml:space="preserve">Subreddits in Subset</w:t>
            </w:r>
          </w:p>
        </w:tc>
        <w:tc>
          <w:tcPr>
            <w:tcW w:type="dxa" w:w="6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color w:val="1A1A1A"/>
                <w:sz w:val="18"/>
                <w:szCs w:val="18"/>
              </w:rPr>
              <w:t xml:space="preserve">r/anxiety (481), r/ptsd (331), r/relationships (255), r/domesticviolence (133), r/survivorsofabuse (129), r/assistance (76), r/homeless (59), r/stress (32), r/almosthomeless (24), r/food_pantry (11)</w:t>
            </w:r>
          </w:p>
        </w:tc>
      </w:tr>
      <w:tr>
        <w:tc>
          <w:tcPr>
            <w:tcW w:type="dxa" w:w="2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b/>
                <w:bCs/>
                <w:color w:val="1F3864"/>
                <w:sz w:val="18"/>
                <w:szCs w:val="18"/>
              </w:rPr>
              <w:t xml:space="preserve">Strengths</w:t>
            </w:r>
          </w:p>
        </w:tc>
        <w:tc>
          <w:tcPr>
            <w:tcW w:type="dxa" w:w="6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color w:val="1A1A1A"/>
                <w:sz w:val="18"/>
                <w:szCs w:val="18"/>
              </w:rPr>
              <w:t xml:space="preserve">Naturalistic anxiety language from self-reporting individuals; multi-subreddit coverage spanning anxiety, PTSD, and acute psychosocial stressors; includes LIWC scores as independent lexical signal; widely cited benchmark.</w:t>
            </w:r>
          </w:p>
        </w:tc>
      </w:tr>
      <w:tr>
        <w:tc>
          <w:tcPr>
            <w:tcW w:type="dxa" w:w="2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b/>
                <w:bCs/>
                <w:color w:val="1F3864"/>
                <w:sz w:val="18"/>
                <w:szCs w:val="18"/>
              </w:rPr>
              <w:t xml:space="preserve">Limitations</w:t>
            </w:r>
          </w:p>
        </w:tc>
        <w:tc>
          <w:tcPr>
            <w:tcW w:type="dxa" w:w="6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color w:val="1A1A1A"/>
                <w:sz w:val="18"/>
                <w:szCs w:val="18"/>
              </w:rPr>
              <w:t xml:space="preserve">Binary labels only — no severity gradient or GAD-7 score; Reddit population (self-selecting, English-speaking) is not representative of the general clinical population; stress and anxiety are conflated under a single label.</w:t>
            </w:r>
          </w:p>
        </w:tc>
      </w:tr>
    </w:tbl>
    <w:p>
      <w:pPr>
        <w:spacing w:after="0" w:before="160"/>
      </w:pPr>
    </w:p>
    <w:p>
      <w:pPr>
        <w:pStyle w:val="Heading2"/>
        <w:spacing w:after="80" w:before="240"/>
      </w:pPr>
      <w:r>
        <w:t xml:space="preserve">1.2  GoEmotions  [ ✅ Currently Used ]</w:t>
      </w:r>
    </w:p>
    <w:tbl>
      <w:tblPr>
        <w:tblW w:type="dxa" w:w="8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300"/>
      </w:tblGrid>
      <w:tr>
        <w:tc>
          <w:tcPr>
            <w:gridSpan w:val="2"/>
            <w:tcBorders>
              <w:top w:val="single" w:color="AAAAAA" w:sz="4"/>
              <w:left w:val="single" w:color="AAAAAA" w:sz="4"/>
              <w:bottom w:val="single" w:color="AAAAAA" w:sz="4"/>
              <w:right w:val="single" w:color="AAAAAA" w:sz="4"/>
            </w:tcBorders>
            <w:shd w:fill="2E75B6" w:color="auto" w:val="clear"/>
            <w:tcMar>
              <w:top w:type="dxa" w:w="50"/>
              <w:left w:type="dxa" w:w="100"/>
              <w:bottom w:type="dxa" w:w="50"/>
              <w:right w:type="dxa" w:w="100"/>
            </w:tcMar>
          </w:tcPr>
          <w:p>
            <w:pPr>
              <w:spacing w:after="30" w:before="30"/>
            </w:pPr>
            <w:r>
              <w:rPr>
                <w:b/>
                <w:bCs/>
                <w:color w:val="FFFFFF"/>
                <w:sz w:val="17"/>
                <w:szCs w:val="17"/>
              </w:rPr>
              <w:t xml:space="preserve">Identification</w:t>
            </w:r>
          </w:p>
        </w:tc>
      </w:tr>
      <w:tr>
        <w:tc>
          <w:tcPr>
            <w:tcW w:type="dxa" w:w="2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b/>
                <w:bCs/>
                <w:color w:val="1F3864"/>
                <w:sz w:val="18"/>
                <w:szCs w:val="18"/>
              </w:rPr>
              <w:t xml:space="preserve">Name</w:t>
            </w:r>
          </w:p>
        </w:tc>
        <w:tc>
          <w:tcPr>
            <w:tcW w:type="dxa" w:w="6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color w:val="1A1A1A"/>
                <w:sz w:val="18"/>
                <w:szCs w:val="18"/>
              </w:rPr>
              <w:t xml:space="preserve">GoEmotions</w:t>
            </w:r>
          </w:p>
        </w:tc>
      </w:tr>
      <w:tr>
        <w:tc>
          <w:tcPr>
            <w:tcW w:type="dxa" w:w="2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b/>
                <w:bCs/>
                <w:color w:val="1F3864"/>
                <w:sz w:val="18"/>
                <w:szCs w:val="18"/>
              </w:rPr>
              <w:t xml:space="preserve">Authors</w:t>
            </w:r>
          </w:p>
        </w:tc>
        <w:tc>
          <w:tcPr>
            <w:tcW w:type="dxa" w:w="6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color w:val="1A1A1A"/>
                <w:sz w:val="18"/>
                <w:szCs w:val="18"/>
              </w:rPr>
              <w:t xml:space="preserve">Dorottya Demszky, Dana Movshovitz-Attias, Jeongwoo Ko, Alan Cowen, Gaurav Nemade, Sujith Ravi (Google Research)</w:t>
            </w:r>
          </w:p>
        </w:tc>
      </w:tr>
      <w:tr>
        <w:tc>
          <w:tcPr>
            <w:tcW w:type="dxa" w:w="2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b/>
                <w:bCs/>
                <w:color w:val="1F3864"/>
                <w:sz w:val="18"/>
                <w:szCs w:val="18"/>
              </w:rPr>
              <w:t xml:space="preserve">Year</w:t>
            </w:r>
          </w:p>
        </w:tc>
        <w:tc>
          <w:tcPr>
            <w:tcW w:type="dxa" w:w="6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color w:val="1A1A1A"/>
                <w:sz w:val="18"/>
                <w:szCs w:val="18"/>
              </w:rPr>
              <w:t xml:space="preserve">2020</w:t>
            </w:r>
          </w:p>
        </w:tc>
      </w:tr>
      <w:tr>
        <w:tc>
          <w:tcPr>
            <w:tcW w:type="dxa" w:w="2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b/>
                <w:bCs/>
                <w:color w:val="1F3864"/>
                <w:sz w:val="18"/>
                <w:szCs w:val="18"/>
              </w:rPr>
              <w:t xml:space="preserve">Paper</w:t>
            </w:r>
          </w:p>
        </w:tc>
        <w:tc>
          <w:tcPr>
            <w:tcW w:type="dxa" w:w="6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color w:val="1A1A1A"/>
                <w:sz w:val="18"/>
                <w:szCs w:val="18"/>
              </w:rPr>
              <w:t xml:space="preserve">"GoEmotions: A Dataset of Fine-Grained Emotions." Proceedings of the 58th Annual Meeting of the Association for Computational Linguistics (ACL 2020).</w:t>
            </w:r>
          </w:p>
        </w:tc>
      </w:tr>
      <w:tr>
        <w:tc>
          <w:tcPr>
            <w:tcW w:type="dxa" w:w="2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b/>
                <w:bCs/>
                <w:color w:val="1F3864"/>
                <w:sz w:val="18"/>
                <w:szCs w:val="18"/>
              </w:rPr>
              <w:t xml:space="preserve">Official Links</w:t>
            </w:r>
          </w:p>
        </w:tc>
        <w:tc>
          <w:tcPr>
            <w:tcW w:type="dxa" w:w="6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color w:val="2E75B6"/>
                <w:sz w:val="18"/>
                <w:szCs w:val="18"/>
              </w:rPr>
              <w:t xml:space="preserve">Paper: https://aclanthology.org/2020.acl-main.372</w:t>
            </w:r>
            <w:r>
              <w:rPr>
                <w:color w:val="2E75B6"/>
                <w:sz w:val="18"/>
                <w:szCs w:val="18"/>
              </w:rPr>
              <w:t xml:space="preserve">
Dataset: https://huggingface.co/datasets/google-research-datasets/go_emotions</w:t>
            </w:r>
            <w:r>
              <w:rPr>
                <w:color w:val="2E75B6"/>
                <w:sz w:val="18"/>
                <w:szCs w:val="18"/>
              </w:rPr>
              <w:t xml:space="preserve">
GitHub: https://github.com/google-research/google-research/tree/master/goemotions</w:t>
            </w:r>
          </w:p>
        </w:tc>
      </w:tr>
      <w:tr>
        <w:tc>
          <w:tcPr>
            <w:tcW w:type="dxa" w:w="2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b/>
                <w:bCs/>
                <w:color w:val="1F3864"/>
                <w:sz w:val="18"/>
                <w:szCs w:val="18"/>
              </w:rPr>
              <w:t xml:space="preserve">License</w:t>
            </w:r>
          </w:p>
        </w:tc>
        <w:tc>
          <w:tcPr>
            <w:tcW w:type="dxa" w:w="6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color w:val="1A1A1A"/>
                <w:sz w:val="18"/>
                <w:szCs w:val="18"/>
              </w:rPr>
              <w:t xml:space="preserve">Apache 2.0</w:t>
            </w:r>
          </w:p>
        </w:tc>
      </w:tr>
      <w:tr>
        <w:tc>
          <w:tcPr>
            <w:gridSpan w:val="2"/>
            <w:tcBorders>
              <w:top w:val="single" w:color="AAAAAA" w:sz="4"/>
              <w:left w:val="single" w:color="AAAAAA" w:sz="4"/>
              <w:bottom w:val="single" w:color="AAAAAA" w:sz="4"/>
              <w:right w:val="single" w:color="AAAAAA" w:sz="4"/>
            </w:tcBorders>
            <w:shd w:fill="2E75B6" w:color="auto" w:val="clear"/>
            <w:tcMar>
              <w:top w:type="dxa" w:w="50"/>
              <w:left w:type="dxa" w:w="100"/>
              <w:bottom w:type="dxa" w:w="50"/>
              <w:right w:type="dxa" w:w="100"/>
            </w:tcMar>
          </w:tcPr>
          <w:p>
            <w:pPr>
              <w:spacing w:after="30" w:before="30"/>
            </w:pPr>
            <w:r>
              <w:rPr>
                <w:b/>
                <w:bCs/>
                <w:color w:val="FFFFFF"/>
                <w:sz w:val="17"/>
                <w:szCs w:val="17"/>
              </w:rPr>
              <w:t xml:space="preserve">AnxioSense Usage</w:t>
            </w:r>
          </w:p>
        </w:tc>
      </w:tr>
      <w:tr>
        <w:tc>
          <w:tcPr>
            <w:tcW w:type="dxa" w:w="2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b/>
                <w:bCs/>
                <w:color w:val="1F3864"/>
                <w:sz w:val="18"/>
                <w:szCs w:val="18"/>
              </w:rPr>
              <w:t xml:space="preserve">Status</w:t>
            </w:r>
          </w:p>
        </w:tc>
        <w:tc>
          <w:tcPr>
            <w:tcW w:type="dxa" w:w="6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color w:val="1A1A1A"/>
                <w:sz w:val="18"/>
                <w:szCs w:val="18"/>
              </w:rPr>
              <w:t xml:space="preserve">✅ Currently Used — full dataset downloaded; anxiety-relevant subset of 27,647 comments extracted using filter_goemotions_anxiosense.py.</w:t>
            </w:r>
          </w:p>
        </w:tc>
      </w:tr>
      <w:tr>
        <w:tc>
          <w:tcPr>
            <w:tcW w:type="dxa" w:w="2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b/>
                <w:bCs/>
                <w:color w:val="1F3864"/>
                <w:sz w:val="18"/>
                <w:szCs w:val="18"/>
              </w:rPr>
              <w:t xml:space="preserve">Purpose in AnxioSense</w:t>
            </w:r>
          </w:p>
        </w:tc>
        <w:tc>
          <w:tcPr>
            <w:tcW w:type="dxa" w:w="6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color w:val="1A1A1A"/>
                <w:sz w:val="18"/>
                <w:szCs w:val="18"/>
              </w:rPr>
              <w:t xml:space="preserve">Two roles: (1) The GoEmotions 28-class taxonomy informed the emotion-agent's reasoning categories — specifically the 10 anxiety-adjacent labels (fear, nervousness, grief, sadness, anger, annoyance, disappointment, relief, joy, neutral). (2) The anxiety-relevant subset constitutes a held-out evaluation corpus for future emotion classification accuracy testing.</w:t>
            </w:r>
          </w:p>
        </w:tc>
      </w:tr>
      <w:tr>
        <w:tc>
          <w:tcPr>
            <w:tcW w:type="dxa" w:w="2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b/>
                <w:bCs/>
                <w:color w:val="1F3864"/>
                <w:sz w:val="18"/>
                <w:szCs w:val="18"/>
              </w:rPr>
              <w:t xml:space="preserve">Ground Truth Available?</w:t>
            </w:r>
          </w:p>
        </w:tc>
        <w:tc>
          <w:tcPr>
            <w:tcW w:type="dxa" w:w="6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color w:val="1A1A1A"/>
                <w:sz w:val="18"/>
                <w:szCs w:val="18"/>
              </w:rPr>
              <w:t xml:space="preserve">Yes. Each comment was rated by ≥ 3 human annotators; a label is assigned if ≥ 2 annotators agreed. Comments may carry multiple active emotion labels (multi-label).</w:t>
            </w:r>
          </w:p>
        </w:tc>
      </w:tr>
      <w:tr>
        <w:tc>
          <w:tcPr>
            <w:tcW w:type="dxa" w:w="2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b/>
                <w:bCs/>
                <w:color w:val="1F3864"/>
                <w:sz w:val="18"/>
                <w:szCs w:val="18"/>
              </w:rPr>
              <w:t xml:space="preserve">Why I Selected It</w:t>
            </w:r>
          </w:p>
        </w:tc>
        <w:tc>
          <w:tcPr>
            <w:tcW w:type="dxa" w:w="6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color w:val="1A1A1A"/>
                <w:sz w:val="18"/>
                <w:szCs w:val="18"/>
              </w:rPr>
              <w:t xml:space="preserve">GoEmotions provides the largest publicly available fine-grained emotion taxonomy anchored to real social media text. The nervousness and fear labels directly map to anxiety-relevant affect. The Apache 2.0 licence permits research use without restriction, and the dataset is actively maintained by Google Research.</w:t>
            </w:r>
          </w:p>
        </w:tc>
      </w:tr>
      <w:tr>
        <w:tc>
          <w:tcPr>
            <w:gridSpan w:val="2"/>
            <w:tcBorders>
              <w:top w:val="single" w:color="AAAAAA" w:sz="4"/>
              <w:left w:val="single" w:color="AAAAAA" w:sz="4"/>
              <w:bottom w:val="single" w:color="AAAAAA" w:sz="4"/>
              <w:right w:val="single" w:color="AAAAAA" w:sz="4"/>
            </w:tcBorders>
            <w:shd w:fill="2E75B6" w:color="auto" w:val="clear"/>
            <w:tcMar>
              <w:top w:type="dxa" w:w="50"/>
              <w:left w:type="dxa" w:w="100"/>
              <w:bottom w:type="dxa" w:w="50"/>
              <w:right w:type="dxa" w:w="100"/>
            </w:tcMar>
          </w:tcPr>
          <w:p>
            <w:pPr>
              <w:spacing w:after="30" w:before="30"/>
            </w:pPr>
            <w:r>
              <w:rPr>
                <w:b/>
                <w:bCs/>
                <w:color w:val="FFFFFF"/>
                <w:sz w:val="17"/>
                <w:szCs w:val="17"/>
              </w:rPr>
              <w:t xml:space="preserve">Dataset Details</w:t>
            </w:r>
          </w:p>
        </w:tc>
      </w:tr>
      <w:tr>
        <w:tc>
          <w:tcPr>
            <w:tcW w:type="dxa" w:w="2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b/>
                <w:bCs/>
                <w:color w:val="1F3864"/>
                <w:sz w:val="18"/>
                <w:szCs w:val="18"/>
              </w:rPr>
              <w:t xml:space="preserve">Full Dataset Size</w:t>
            </w:r>
          </w:p>
        </w:tc>
        <w:tc>
          <w:tcPr>
            <w:tcW w:type="dxa" w:w="6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color w:val="1A1A1A"/>
                <w:sz w:val="18"/>
                <w:szCs w:val="18"/>
              </w:rPr>
              <w:t xml:space="preserve">54,263 Reddit comments
Train: 43,410  |  Validation: 5,426  |  Test: 5,427</w:t>
            </w:r>
          </w:p>
        </w:tc>
      </w:tr>
      <w:tr>
        <w:tc>
          <w:tcPr>
            <w:tcW w:type="dxa" w:w="2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b/>
                <w:bCs/>
                <w:color w:val="1F3864"/>
                <w:sz w:val="18"/>
                <w:szCs w:val="18"/>
              </w:rPr>
              <w:t xml:space="preserve">AnxioSense Subset</w:t>
            </w:r>
          </w:p>
        </w:tc>
        <w:tc>
          <w:tcPr>
            <w:tcW w:type="dxa" w:w="6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color w:val="1A1A1A"/>
                <w:sz w:val="18"/>
                <w:szCs w:val="18"/>
              </w:rPr>
              <w:t xml:space="preserve">27,647 comments with ≥ 1 anxiety-relevant label
Train: 22,161  |  Validation: 2,729  |  Test: 2,757</w:t>
            </w:r>
          </w:p>
        </w:tc>
      </w:tr>
      <w:tr>
        <w:tc>
          <w:tcPr>
            <w:tcW w:type="dxa" w:w="2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b/>
                <w:bCs/>
                <w:color w:val="1F3864"/>
                <w:sz w:val="18"/>
                <w:szCs w:val="18"/>
              </w:rPr>
              <w:t xml:space="preserve">Emotion Classes (Full)</w:t>
            </w:r>
          </w:p>
        </w:tc>
        <w:tc>
          <w:tcPr>
            <w:tcW w:type="dxa" w:w="6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color w:val="1A1A1A"/>
                <w:sz w:val="18"/>
                <w:szCs w:val="18"/>
              </w:rPr>
              <w:t xml:space="preserve">28 classes: 27 fine-grained emotion labels + neutral</w:t>
            </w:r>
          </w:p>
        </w:tc>
      </w:tr>
      <w:tr>
        <w:tc>
          <w:tcPr>
            <w:tcW w:type="dxa" w:w="2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b/>
                <w:bCs/>
                <w:color w:val="1F3864"/>
                <w:sz w:val="18"/>
                <w:szCs w:val="18"/>
              </w:rPr>
              <w:t xml:space="preserve">Anxiety-Relevant Labels (Subset)</w:t>
            </w:r>
          </w:p>
        </w:tc>
        <w:tc>
          <w:tcPr>
            <w:tcW w:type="dxa" w:w="6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color w:val="1A1A1A"/>
                <w:sz w:val="18"/>
                <w:szCs w:val="18"/>
              </w:rPr>
              <w:t xml:space="preserve">anger (1,960), annoyance (3,093), disappointment (1,583), fear (764), grief (96), joy (1,785), nervousness (208), relief (182), sadness (1,625), neutral (17,772)</w:t>
            </w:r>
          </w:p>
        </w:tc>
      </w:tr>
      <w:tr>
        <w:tc>
          <w:tcPr>
            <w:tcW w:type="dxa" w:w="2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b/>
                <w:bCs/>
                <w:color w:val="1F3864"/>
                <w:sz w:val="18"/>
                <w:szCs w:val="18"/>
              </w:rPr>
              <w:t xml:space="preserve">Ground Truth Method</w:t>
            </w:r>
          </w:p>
        </w:tc>
        <w:tc>
          <w:tcPr>
            <w:tcW w:type="dxa" w:w="6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color w:val="1A1A1A"/>
                <w:sz w:val="18"/>
                <w:szCs w:val="18"/>
              </w:rPr>
              <w:t xml:space="preserve">Human annotation: ≥ 3 raters per comment; label assigned on majority agreement (≥ 2/3). Multi-label: a single comment may carry several active emotion labels.</w:t>
            </w:r>
          </w:p>
        </w:tc>
      </w:tr>
      <w:tr>
        <w:tc>
          <w:tcPr>
            <w:tcW w:type="dxa" w:w="2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b/>
                <w:bCs/>
                <w:color w:val="1F3864"/>
                <w:sz w:val="18"/>
                <w:szCs w:val="18"/>
              </w:rPr>
              <w:t xml:space="preserve">GAD-7 Included</w:t>
            </w:r>
          </w:p>
        </w:tc>
        <w:tc>
          <w:tcPr>
            <w:tcW w:type="dxa" w:w="6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color w:val="1A1A1A"/>
                <w:sz w:val="18"/>
                <w:szCs w:val="18"/>
              </w:rPr>
              <w:t xml:space="preserve">No</w:t>
            </w:r>
          </w:p>
        </w:tc>
      </w:tr>
      <w:tr>
        <w:tc>
          <w:tcPr>
            <w:tcW w:type="dxa" w:w="2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b/>
                <w:bCs/>
                <w:color w:val="1F3864"/>
                <w:sz w:val="18"/>
                <w:szCs w:val="18"/>
              </w:rPr>
              <w:t xml:space="preserve">Strengths</w:t>
            </w:r>
          </w:p>
        </w:tc>
        <w:tc>
          <w:tcPr>
            <w:tcW w:type="dxa" w:w="6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color w:val="1A1A1A"/>
                <w:sz w:val="18"/>
                <w:szCs w:val="18"/>
              </w:rPr>
              <w:t xml:space="preserve">Large scale (54,263 examples); fine-grained 27-class taxonomy beyond simple sentiment; multi-label capability; consistent annotation methodology; widely cited ACL 2020 benchmark.</w:t>
            </w:r>
          </w:p>
        </w:tc>
      </w:tr>
      <w:tr>
        <w:tc>
          <w:tcPr>
            <w:tcW w:type="dxa" w:w="2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b/>
                <w:bCs/>
                <w:color w:val="1F3864"/>
                <w:sz w:val="18"/>
                <w:szCs w:val="18"/>
              </w:rPr>
              <w:t xml:space="preserve">Limitations</w:t>
            </w:r>
          </w:p>
        </w:tc>
        <w:tc>
          <w:tcPr>
            <w:tcW w:type="dxa" w:w="6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color w:val="1A1A1A"/>
                <w:sz w:val="18"/>
                <w:szCs w:val="18"/>
              </w:rPr>
              <w:t xml:space="preserve">Not clinically sourced — emotion labels do not map directly to diagnostic affect categories; severe class imbalance (nervousness: 208 vs. neutral: 17,772 examples); no mental health diagnoses or psychometric scores.</w:t>
            </w:r>
          </w:p>
        </w:tc>
      </w:tr>
    </w:tbl>
    <w:p>
      <w:pPr>
        <w:spacing w:after="0" w:before="160"/>
      </w:pPr>
    </w:p>
    <w:p>
      <w:pPr>
        <w:pStyle w:val="Heading2"/>
        <w:spacing w:after="80" w:before="240"/>
      </w:pPr>
      <w:r>
        <w:t xml:space="preserve">1.3  RAG Knowledge Base (Clinical Reference Documents)  [ ✅ Currently Implemented ]</w:t>
      </w:r>
    </w:p>
    <w:p>
      <w:pPr>
        <w:spacing w:after="80" w:before="60"/>
      </w:pPr>
      <w:r>
        <w:rPr>
          <w:color w:val="1A1A1A"/>
          <w:sz w:val="20"/>
          <w:szCs w:val="20"/>
        </w:rPr>
        <w:t xml:space="preserve">Alongside the two evaluation datasets, AnxioSense maintains a local vector knowledge base populated from publicly available clinical guideline documents. These are not research datasets — they are the factual grounding source for the retrieval-augmented generation (RAG) pipeline.</w:t>
      </w:r>
    </w:p>
    <w:tbl>
      <w:tblPr>
        <w:tblW w:type="dxa" w:w="8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300"/>
      </w:tblGrid>
      <w:tr>
        <w:tc>
          <w:tcPr>
            <w:tcW w:type="dxa" w:w="2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b/>
                <w:bCs/>
                <w:color w:val="1F3864"/>
                <w:sz w:val="18"/>
                <w:szCs w:val="18"/>
              </w:rPr>
              <w:t xml:space="preserve">Content</w:t>
            </w:r>
          </w:p>
        </w:tc>
        <w:tc>
          <w:tcPr>
            <w:tcW w:type="dxa" w:w="6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color w:val="1A1A1A"/>
                <w:sz w:val="18"/>
                <w:szCs w:val="18"/>
              </w:rPr>
              <w:t xml:space="preserve">ICD-11 (WHO, 2025) — Generalised Anxiety Disorder criteria (6B00)
DSM-5 (APA, 2013) — anxiety disorder diagnostic criteria
GAD-7 scoring rubric and severity bands (Spitzer et al., 2006)
Clinical descriptions of anxiety symptom clusters and differentiation criteria</w:t>
            </w:r>
          </w:p>
        </w:tc>
      </w:tr>
      <w:tr>
        <w:tc>
          <w:tcPr>
            <w:tcW w:type="dxa" w:w="2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b/>
                <w:bCs/>
                <w:color w:val="1F3864"/>
                <w:sz w:val="18"/>
                <w:szCs w:val="18"/>
              </w:rPr>
              <w:t xml:space="preserve">Official Links</w:t>
            </w:r>
          </w:p>
        </w:tc>
        <w:tc>
          <w:tcPr>
            <w:tcW w:type="dxa" w:w="6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color w:val="2E75B6"/>
                <w:sz w:val="18"/>
                <w:szCs w:val="18"/>
              </w:rPr>
              <w:t xml:space="preserve">ICD-11: https://icd.who.int/browse/2025-01/mms/en#334423054</w:t>
            </w:r>
            <w:r>
              <w:rPr>
                <w:color w:val="2E75B6"/>
                <w:sz w:val="18"/>
                <w:szCs w:val="18"/>
              </w:rPr>
              <w:t xml:space="preserve">
GAD-7 (Spitzer et al., 2006): https://pubmed.ncbi.nlm.nih.gov/16801507/</w:t>
            </w:r>
            <w:r>
              <w:rPr>
                <w:color w:val="1A1A1A"/>
                <w:sz w:val="18"/>
                <w:szCs w:val="18"/>
              </w:rPr>
              <w:t xml:space="preserve">
DSM-5: American Psychiatric Association, 2013 (ISBN 978-0-89042-555-8) — no public URL.</w:t>
            </w:r>
          </w:p>
        </w:tc>
      </w:tr>
      <w:tr>
        <w:tc>
          <w:tcPr>
            <w:tcW w:type="dxa" w:w="2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b/>
                <w:bCs/>
                <w:color w:val="1F3864"/>
                <w:sz w:val="18"/>
                <w:szCs w:val="18"/>
              </w:rPr>
              <w:t xml:space="preserve">Storage</w:t>
            </w:r>
          </w:p>
        </w:tc>
        <w:tc>
          <w:tcPr>
            <w:tcW w:type="dxa" w:w="6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color w:val="1A1A1A"/>
                <w:sz w:val="18"/>
                <w:szCs w:val="18"/>
              </w:rPr>
              <w:t xml:space="preserve">Local LibSQL vector database (anxiosense-vectors.db). Content chunked, embedded with fastembed bge-small-en-v1.5 (384 dims), indexed via HNSW in libSQL.</w:t>
            </w:r>
          </w:p>
        </w:tc>
      </w:tr>
      <w:tr>
        <w:tc>
          <w:tcPr>
            <w:tcW w:type="dxa" w:w="2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b/>
                <w:bCs/>
                <w:color w:val="1F3864"/>
                <w:sz w:val="18"/>
                <w:szCs w:val="18"/>
              </w:rPr>
              <w:t xml:space="preserve">Retrieval metric</w:t>
            </w:r>
          </w:p>
        </w:tc>
        <w:tc>
          <w:tcPr>
            <w:tcW w:type="dxa" w:w="6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color w:val="1A1A1A"/>
                <w:sz w:val="18"/>
                <w:szCs w:val="18"/>
              </w:rPr>
              <w:t xml:space="preserve">Cosine similarity via libSQL's vector_distance_cos function: score = 1 − vector_distance_cos(embedding, query_vector).</w:t>
            </w:r>
          </w:p>
        </w:tc>
      </w:tr>
    </w:tbl>
    <w:p>
      <w:pPr>
        <w:spacing w:after="0" w:before="160"/>
      </w:pPr>
    </w:p>
    <w:p>
      <w:pPr>
        <w:pStyle w:val="Heading2"/>
        <w:spacing w:after="80" w:before="240"/>
      </w:pPr>
      <w:r>
        <w:t xml:space="preserve">1.4  Requested Datasets (Pending Access)</w:t>
      </w:r>
    </w:p>
    <w:p>
      <w:pPr>
        <w:spacing w:after="120" w:before="60"/>
      </w:pPr>
      <w:r>
        <w:rPr>
          <w:b/>
          <w:bCs/>
          <w:color w:val="7B5800"/>
          <w:sz w:val="20"/>
          <w:szCs w:val="20"/>
        </w:rPr>
        <w:t xml:space="preserve">⚠️  Note to Aya: </w:t>
      </w:r>
      <w:r>
        <w:rPr>
          <w:i/>
          <w:iCs/>
          <w:color w:val="7B5800"/>
          <w:sz w:val="20"/>
          <w:szCs w:val="20"/>
        </w:rPr>
        <w:t xml:space="preserve">This section is reserved for datasets you have requested from supervisors, data custodians, or ethics-gated repositories that you do not yet have access to. No such datasets were identifiable from the documents you uploaded. Please add them here before the supervisor meeting. A template row is provided below.</w:t>
      </w:r>
    </w:p>
    <w:tbl>
      <w:tblPr>
        <w:tblW w:type="dxa" w:w="8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300"/>
      </w:tblGrid>
      <w:tr>
        <w:tc>
          <w:tcPr>
            <w:gridSpan w:val="2"/>
            <w:tcBorders>
              <w:top w:val="single" w:color="AAAAAA" w:sz="4"/>
              <w:left w:val="single" w:color="AAAAAA" w:sz="4"/>
              <w:bottom w:val="single" w:color="AAAAAA" w:sz="4"/>
              <w:right w:val="single" w:color="AAAAAA" w:sz="4"/>
            </w:tcBorders>
            <w:shd w:fill="2E75B6" w:color="auto" w:val="clear"/>
            <w:tcMar>
              <w:top w:type="dxa" w:w="50"/>
              <w:left w:type="dxa" w:w="100"/>
              <w:bottom w:type="dxa" w:w="50"/>
              <w:right w:type="dxa" w:w="100"/>
            </w:tcMar>
          </w:tcPr>
          <w:p>
            <w:pPr>
              <w:spacing w:after="30" w:before="30"/>
            </w:pPr>
            <w:r>
              <w:rPr>
                <w:b/>
                <w:bCs/>
                <w:color w:val="FFFFFF"/>
                <w:sz w:val="17"/>
                <w:szCs w:val="17"/>
              </w:rPr>
              <w:t xml:space="preserve">Template — fill in one row per pending dataset</w:t>
            </w:r>
          </w:p>
        </w:tc>
      </w:tr>
      <w:tr>
        <w:tc>
          <w:tcPr>
            <w:tcW w:type="dxa" w:w="2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b/>
                <w:bCs/>
                <w:color w:val="1F3864"/>
                <w:sz w:val="18"/>
                <w:szCs w:val="18"/>
              </w:rPr>
              <w:t xml:space="preserve">Dataset Name</w:t>
            </w:r>
          </w:p>
        </w:tc>
        <w:tc>
          <w:tcPr>
            <w:tcW w:type="dxa" w:w="6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color w:val="1A1A1A"/>
                <w:sz w:val="18"/>
                <w:szCs w:val="18"/>
              </w:rPr>
              <w:t xml:space="preserve">[Name of dataset requested]</w:t>
            </w:r>
          </w:p>
        </w:tc>
      </w:tr>
      <w:tr>
        <w:tc>
          <w:tcPr>
            <w:tcW w:type="dxa" w:w="2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b/>
                <w:bCs/>
                <w:color w:val="1F3864"/>
                <w:sz w:val="18"/>
                <w:szCs w:val="18"/>
              </w:rPr>
              <w:t xml:space="preserve">Requested From</w:t>
            </w:r>
          </w:p>
        </w:tc>
        <w:tc>
          <w:tcPr>
            <w:tcW w:type="dxa" w:w="6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color w:val="1A1A1A"/>
                <w:sz w:val="18"/>
                <w:szCs w:val="18"/>
              </w:rPr>
              <w:t xml:space="preserve">[Supervisor / data repository / author email / ethics board]</w:t>
            </w:r>
          </w:p>
        </w:tc>
      </w:tr>
      <w:tr>
        <w:tc>
          <w:tcPr>
            <w:tcW w:type="dxa" w:w="2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b/>
                <w:bCs/>
                <w:color w:val="1F3864"/>
                <w:sz w:val="18"/>
                <w:szCs w:val="18"/>
              </w:rPr>
              <w:t xml:space="preserve">Status</w:t>
            </w:r>
          </w:p>
        </w:tc>
        <w:tc>
          <w:tcPr>
            <w:tcW w:type="dxa" w:w="6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color w:val="1A1A1A"/>
                <w:sz w:val="18"/>
                <w:szCs w:val="18"/>
              </w:rPr>
              <w:t xml:space="preserve">⚠️ Pending Access</w:t>
            </w:r>
          </w:p>
        </w:tc>
      </w:tr>
      <w:tr>
        <w:tc>
          <w:tcPr>
            <w:tcW w:type="dxa" w:w="2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b/>
                <w:bCs/>
                <w:color w:val="1F3864"/>
                <w:sz w:val="18"/>
                <w:szCs w:val="18"/>
              </w:rPr>
              <w:t xml:space="preserve">Purpose if Obtained</w:t>
            </w:r>
          </w:p>
        </w:tc>
        <w:tc>
          <w:tcPr>
            <w:tcW w:type="dxa" w:w="6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color w:val="1A1A1A"/>
                <w:sz w:val="18"/>
                <w:szCs w:val="18"/>
              </w:rPr>
              <w:t xml:space="preserve">[What you would use it for in AnxioSense]</w:t>
            </w:r>
          </w:p>
        </w:tc>
      </w:tr>
      <w:tr>
        <w:tc>
          <w:tcPr>
            <w:tcW w:type="dxa" w:w="2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b/>
                <w:bCs/>
                <w:color w:val="1F3864"/>
                <w:sz w:val="18"/>
                <w:szCs w:val="18"/>
              </w:rPr>
              <w:t xml:space="preserve">Ground Truth Available?</w:t>
            </w:r>
          </w:p>
        </w:tc>
        <w:tc>
          <w:tcPr>
            <w:tcW w:type="dxa" w:w="6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color w:val="1A1A1A"/>
                <w:sz w:val="18"/>
                <w:szCs w:val="18"/>
              </w:rPr>
              <w:t xml:space="preserve">[Yes / No / Partial — describe]</w:t>
            </w:r>
          </w:p>
        </w:tc>
      </w:tr>
      <w:tr>
        <w:tc>
          <w:tcPr>
            <w:tcW w:type="dxa" w:w="2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b/>
                <w:bCs/>
                <w:color w:val="1F3864"/>
                <w:sz w:val="18"/>
                <w:szCs w:val="18"/>
              </w:rPr>
              <w:t xml:space="preserve">Reason for Selection</w:t>
            </w:r>
          </w:p>
        </w:tc>
        <w:tc>
          <w:tcPr>
            <w:tcW w:type="dxa" w:w="6300"/>
            <w:tcBorders>
              <w:top w:val="single" w:color="AAAAAA" w:sz="4"/>
              <w:left w:val="single" w:color="AAAAAA" w:sz="4"/>
              <w:bottom w:val="single" w:color="AAAAAA" w:sz="4"/>
              <w:right w:val="single" w:color="AAAAAA" w:sz="4"/>
            </w:tcBorders>
            <w:shd w:fill="F2F2F2" w:color="auto" w:val="clear"/>
            <w:tcMar>
              <w:top w:type="dxa" w:w="60"/>
              <w:left w:type="dxa" w:w="80"/>
              <w:bottom w:type="dxa" w:w="60"/>
              <w:right w:type="dxa" w:w="80"/>
            </w:tcMar>
          </w:tcPr>
          <w:p>
            <w:pPr>
              <w:spacing w:after="40" w:before="40"/>
            </w:pPr>
            <w:r>
              <w:rPr>
                <w:color w:val="1A1A1A"/>
                <w:sz w:val="18"/>
                <w:szCs w:val="18"/>
              </w:rPr>
              <w:t xml:space="preserve">[Why this dataset is appropriate for AnxioSense]</w:t>
            </w:r>
          </w:p>
        </w:tc>
      </w:tr>
      <w:tr>
        <w:tc>
          <w:tcPr>
            <w:tcW w:type="dxa" w:w="2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b/>
                <w:bCs/>
                <w:color w:val="1F3864"/>
                <w:sz w:val="18"/>
                <w:szCs w:val="18"/>
              </w:rPr>
              <w:t xml:space="preserve">Expected Timeline</w:t>
            </w:r>
          </w:p>
        </w:tc>
        <w:tc>
          <w:tcPr>
            <w:tcW w:type="dxa" w:w="63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40" w:before="40"/>
            </w:pPr>
            <w:r>
              <w:rPr>
                <w:color w:val="1A1A1A"/>
                <w:sz w:val="18"/>
                <w:szCs w:val="18"/>
              </w:rPr>
              <w:t xml:space="preserve">[When access is expected, if known]</w:t>
            </w:r>
          </w:p>
        </w:tc>
      </w:tr>
    </w:tbl>
    <w:p>
      <w:pPr>
        <w:spacing w:after="0" w:before="80"/>
      </w:pPr>
    </w:p>
    <w:p>
      <w:pPr>
        <w:spacing w:after="80" w:before="60"/>
      </w:pPr>
      <w:r>
        <w:rPr>
          <w:i/>
          <w:iCs/>
          <w:color w:val="1A1A1A"/>
          <w:sz w:val="20"/>
          <w:szCs w:val="20"/>
        </w:rPr>
        <w:t xml:space="preserve">If a GAD-7-scored clinical dataset is identified and requested from supervisors, </w:t>
      </w:r>
      <w:r>
        <w:rPr>
          <w:i/>
          <w:iCs/>
          <w:color w:val="1A1A1A"/>
          <w:sz w:val="20"/>
          <w:szCs w:val="20"/>
        </w:rPr>
        <w:t xml:space="preserve">add it here with status "Requested / Pending Ethics Approval" rather than listing it in the evaluation roadmap as though it is already planned autonomously.</w:t>
      </w:r>
    </w:p>
    <w:p>
      <w:pPr>
        <w:spacing w:after="0" w:before="160"/>
      </w:pPr>
    </w:p>
    <w:p>
      <w:pPr>
        <w:spacing w:after="0" w:before="0"/>
      </w:pPr>
      <w:r>
        <w:br w:type="page"/>
      </w:r>
    </w:p>
    <w:p>
      <w:pPr>
        <w:pStyle w:val="Heading1"/>
        <w:pBdr>
          <w:bottom w:val="thick" w:color="2E75B6" w:sz="12"/>
        </w:pBdr>
        <w:spacing w:after="120" w:before="360"/>
      </w:pPr>
      <w:r>
        <w:t xml:space="preserve">2. How the Literature Informed AnxioSense</w:t>
      </w:r>
    </w:p>
    <w:p>
      <w:pPr>
        <w:spacing w:after="80" w:before="60"/>
      </w:pPr>
      <w:r>
        <w:rPr>
          <w:color w:val="1A1A1A"/>
          <w:sz w:val="20"/>
          <w:szCs w:val="20"/>
        </w:rPr>
        <w:t xml:space="preserve">Every architectural decision in AnxioSense is traceable to a peer-reviewed source. The table below maps each choice to the paper(s) that motivated it, the relevant finding, and how it is implemented in the current system. All papers listed here appear in the EECS4080 project proposal or course report.</w:t>
      </w:r>
    </w:p>
    <w:p>
      <w:pPr>
        <w:spacing w:after="0" w:before="80"/>
      </w:pPr>
    </w:p>
    <w:tbl>
      <w:tblPr>
        <w:tblW w:type="dxa" w:w="8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300"/>
        <w:gridCol w:w="2000"/>
        <w:gridCol w:w="2200"/>
      </w:tblGrid>
      <w:tr>
        <w:trPr>
          <w:tblHeader/>
        </w:trPr>
        <w:tc>
          <w:tcPr>
            <w:tcW w:type="dxa" w:w="2100"/>
            <w:tcBorders>
              <w:top w:val="single" w:color="AAAAAA" w:sz="4"/>
              <w:left w:val="single" w:color="AAAAAA" w:sz="4"/>
              <w:bottom w:val="single" w:color="AAAAAA" w:sz="4"/>
              <w:right w:val="single" w:color="AAAAAA" w:sz="4"/>
            </w:tcBorders>
            <w:shd w:fill="2E75B6" w:color="auto" w:val="clear"/>
            <w:tcMar>
              <w:top w:type="dxa" w:w="50"/>
              <w:left w:type="dxa" w:w="70"/>
              <w:bottom w:type="dxa" w:w="50"/>
              <w:right w:type="dxa" w:w="70"/>
            </w:tcMar>
          </w:tcPr>
          <w:p>
            <w:pPr>
              <w:spacing w:after="40" w:before="40"/>
            </w:pPr>
            <w:r>
              <w:rPr>
                <w:b/>
                <w:bCs/>
                <w:color w:val="FFFFFF"/>
                <w:sz w:val="17"/>
                <w:szCs w:val="17"/>
              </w:rPr>
              <w:t xml:space="preserve">Design Decision</w:t>
            </w:r>
          </w:p>
        </w:tc>
        <w:tc>
          <w:tcPr>
            <w:tcW w:type="dxa" w:w="2300"/>
            <w:tcBorders>
              <w:top w:val="single" w:color="AAAAAA" w:sz="4"/>
              <w:left w:val="single" w:color="AAAAAA" w:sz="4"/>
              <w:bottom w:val="single" w:color="AAAAAA" w:sz="4"/>
              <w:right w:val="single" w:color="AAAAAA" w:sz="4"/>
            </w:tcBorders>
            <w:shd w:fill="2E75B6" w:color="auto" w:val="clear"/>
            <w:tcMar>
              <w:top w:type="dxa" w:w="50"/>
              <w:left w:type="dxa" w:w="70"/>
              <w:bottom w:type="dxa" w:w="50"/>
              <w:right w:type="dxa" w:w="70"/>
            </w:tcMar>
          </w:tcPr>
          <w:p>
            <w:pPr>
              <w:spacing w:after="40" w:before="40"/>
            </w:pPr>
            <w:r>
              <w:rPr>
                <w:b/>
                <w:bCs/>
                <w:color w:val="FFFFFF"/>
                <w:sz w:val="17"/>
                <w:szCs w:val="17"/>
              </w:rPr>
              <w:t xml:space="preserve">Paper(s)</w:t>
            </w:r>
          </w:p>
        </w:tc>
        <w:tc>
          <w:tcPr>
            <w:tcW w:type="dxa" w:w="2000"/>
            <w:tcBorders>
              <w:top w:val="single" w:color="AAAAAA" w:sz="4"/>
              <w:left w:val="single" w:color="AAAAAA" w:sz="4"/>
              <w:bottom w:val="single" w:color="AAAAAA" w:sz="4"/>
              <w:right w:val="single" w:color="AAAAAA" w:sz="4"/>
            </w:tcBorders>
            <w:shd w:fill="2E75B6" w:color="auto" w:val="clear"/>
            <w:tcMar>
              <w:top w:type="dxa" w:w="50"/>
              <w:left w:type="dxa" w:w="70"/>
              <w:bottom w:type="dxa" w:w="50"/>
              <w:right w:type="dxa" w:w="70"/>
            </w:tcMar>
          </w:tcPr>
          <w:p>
            <w:pPr>
              <w:spacing w:after="40" w:before="40"/>
            </w:pPr>
            <w:r>
              <w:rPr>
                <w:b/>
                <w:bCs/>
                <w:color w:val="FFFFFF"/>
                <w:sz w:val="17"/>
                <w:szCs w:val="17"/>
              </w:rPr>
              <w:t xml:space="preserve">Key Finding</w:t>
            </w:r>
          </w:p>
        </w:tc>
        <w:tc>
          <w:tcPr>
            <w:tcW w:type="dxa" w:w="2200"/>
            <w:tcBorders>
              <w:top w:val="single" w:color="AAAAAA" w:sz="4"/>
              <w:left w:val="single" w:color="AAAAAA" w:sz="4"/>
              <w:bottom w:val="single" w:color="AAAAAA" w:sz="4"/>
              <w:right w:val="single" w:color="AAAAAA" w:sz="4"/>
            </w:tcBorders>
            <w:shd w:fill="2E75B6" w:color="auto" w:val="clear"/>
            <w:tcMar>
              <w:top w:type="dxa" w:w="50"/>
              <w:left w:type="dxa" w:w="70"/>
              <w:bottom w:type="dxa" w:w="50"/>
              <w:right w:type="dxa" w:w="70"/>
            </w:tcMar>
          </w:tcPr>
          <w:p>
            <w:pPr>
              <w:spacing w:after="40" w:before="40"/>
            </w:pPr>
            <w:r>
              <w:rPr>
                <w:b/>
                <w:bCs/>
                <w:color w:val="FFFFFF"/>
                <w:sz w:val="17"/>
                <w:szCs w:val="17"/>
              </w:rPr>
              <w:t xml:space="preserve">AnxioSense Implementation</w:t>
            </w:r>
          </w:p>
        </w:tc>
      </w:tr>
      <w:tr>
        <w:trPr>
          <w:tblHeader w:val="false"/>
        </w:trPr>
        <w:tc>
          <w:tcPr>
            <w:tcW w:type="dxa" w:w="21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Multi-agent architecture</w:t>
            </w:r>
          </w:p>
        </w:tc>
        <w:tc>
          <w:tcPr>
            <w:tcW w:type="dxa" w:w="23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Sharma et al. (2026); He et al. (2025)</w:t>
            </w:r>
          </w:p>
        </w:tc>
        <w:tc>
          <w:tcPr>
            <w:tcW w:type="dxa" w:w="20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Task decomposition and role specialisation outperform single-model systems; validation loops improve output quality.</w:t>
            </w:r>
          </w:p>
        </w:tc>
        <w:tc>
          <w:tcPr>
            <w:tcW w:type="dxa" w:w="22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5 active agents: emotion, symptom, context, referral, report. Validation agent registered but not currently in workflow.</w:t>
            </w:r>
          </w:p>
        </w:tc>
      </w:tr>
      <w:tr>
        <w:trPr>
          <w:tblHeader w:val="false"/>
        </w:trPr>
        <w:tc>
          <w:tcPr>
            <w:tcW w:type="dxa" w:w="21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Emotion detection agent</w:t>
            </w:r>
          </w:p>
        </w:tc>
        <w:tc>
          <w:tcPr>
            <w:tcW w:type="dxa" w:w="23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Liu et al. (2025) — EmoScan; Demszky et al. (2020) — GoEmotions</w:t>
            </w:r>
          </w:p>
        </w:tc>
        <w:tc>
          <w:tcPr>
            <w:tcW w:type="dxa" w:w="20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EmoScan demonstrated that emotion-first two-agent screening improves contextual understanding. GoEmotions provides a principled 28-class taxonomy.</w:t>
            </w:r>
          </w:p>
        </w:tc>
        <w:tc>
          <w:tcPr>
            <w:tcW w:type="dxa" w:w="22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emotion-agent classifies affect from user text; GoEmotions label set informs the emotion categories used in the system prompt.</w:t>
            </w:r>
          </w:p>
        </w:tc>
      </w:tr>
      <w:tr>
        <w:trPr>
          <w:tblHeader w:val="false"/>
        </w:trPr>
        <w:tc>
          <w:tcPr>
            <w:tcW w:type="dxa" w:w="21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Symptom extraction agent</w:t>
            </w:r>
          </w:p>
        </w:tc>
        <w:tc>
          <w:tcPr>
            <w:tcW w:type="dxa" w:w="23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Xu et al. (2025)</w:t>
            </w:r>
          </w:p>
        </w:tc>
        <w:tc>
          <w:tcPr>
            <w:tcW w:type="dxa" w:w="20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LLM-as-feature-extractor for psychiatric symptoms consistently outperformed direct LLM classification on outpatient transcripts.</w:t>
            </w:r>
          </w:p>
        </w:tc>
        <w:tc>
          <w:tcPr>
            <w:tcW w:type="dxa" w:w="22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symptom-agent extracts GAD-7-aligned symptom patterns from conversational text input.</w:t>
            </w:r>
          </w:p>
        </w:tc>
      </w:tr>
      <w:tr>
        <w:trPr>
          <w:tblHeader w:val="false"/>
        </w:trPr>
        <w:tc>
          <w:tcPr>
            <w:tcW w:type="dxa" w:w="21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Context analysis agent</w:t>
            </w:r>
          </w:p>
        </w:tc>
        <w:tc>
          <w:tcPr>
            <w:tcW w:type="dxa" w:w="23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Wright-Berryman et al. (2023)</w:t>
            </w:r>
          </w:p>
        </w:tc>
        <w:tc>
          <w:tcPr>
            <w:tcW w:type="dxa" w:w="20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Open-ended conversational input yielded AUC 0.74 for anxiety detection — richer signal than fixed questionnaire items.</w:t>
            </w:r>
          </w:p>
        </w:tc>
        <w:tc>
          <w:tcPr>
            <w:tcW w:type="dxa" w:w="22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context-agent reasons over user narrative for contextual stressors and duration patterns.</w:t>
            </w:r>
          </w:p>
        </w:tc>
      </w:tr>
      <w:tr>
        <w:trPr>
          <w:tblHeader w:val="false"/>
        </w:trPr>
        <w:tc>
          <w:tcPr>
            <w:tcW w:type="dxa" w:w="21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RAG pipeline (ICD-11 / DSM-5 / GAD-7 KB)</w:t>
            </w:r>
          </w:p>
        </w:tc>
        <w:tc>
          <w:tcPr>
            <w:tcW w:type="dxa" w:w="23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Ravenda et al. (2025); Ge et al. (2025)</w:t>
            </w:r>
          </w:p>
        </w:tc>
        <w:tc>
          <w:tcPr>
            <w:tcW w:type="dxa" w:w="20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Adaptive RAG with a psychometrically grounded KB improved both performance and interpretability; retrieval quality can matter as much as raw model capacity.</w:t>
            </w:r>
          </w:p>
        </w:tc>
        <w:tc>
          <w:tcPr>
            <w:tcW w:type="dxa" w:w="22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LibSQLVector HNSW index over clinical chunks. fastembed bge-small-en-v1.5 for dense retrieval.</w:t>
            </w:r>
          </w:p>
        </w:tc>
      </w:tr>
      <w:tr>
        <w:trPr>
          <w:tblHeader w:val="false"/>
        </w:trPr>
        <w:tc>
          <w:tcPr>
            <w:tcW w:type="dxa" w:w="21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Evidence validation step</w:t>
            </w:r>
          </w:p>
        </w:tc>
        <w:tc>
          <w:tcPr>
            <w:tcW w:type="dxa" w:w="23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Zeng et al. (2025); Sun et al. (2026)</w:t>
            </w:r>
          </w:p>
        </w:tc>
        <w:tc>
          <w:tcPr>
            <w:tcW w:type="dxa" w:w="20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Validation agents improved output quality from 43.2% → 70.7%. LLMs frequently underperform on clinical content without explicit grounding checks.</w:t>
            </w:r>
          </w:p>
        </w:tc>
        <w:tc>
          <w:tcPr>
            <w:tcW w:type="dxa" w:w="22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evidence-validation-step classifies each agent claim: supported ≥ 0.72, partial ≥ 0.55, unsupported &lt; 0.55 (cosine similarity to KB chunks).</w:t>
            </w:r>
          </w:p>
        </w:tc>
      </w:tr>
      <w:tr>
        <w:trPr>
          <w:tblHeader w:val="false"/>
        </w:trPr>
        <w:tc>
          <w:tcPr>
            <w:tcW w:type="dxa" w:w="21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CoT + one-shot prompting (cot-oneshot-v1)</w:t>
            </w:r>
          </w:p>
        </w:tc>
        <w:tc>
          <w:tcPr>
            <w:tcW w:type="dxa" w:w="23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Roy et al. (2025)</w:t>
            </w:r>
          </w:p>
        </w:tc>
        <w:tc>
          <w:tcPr>
            <w:tcW w:type="dxa" w:w="20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Few-shot prompting substantially improved diagnostic consistency across all LLMs tested; open-source Mistral was competitive with GPT-4o.</w:t>
            </w:r>
          </w:p>
        </w:tc>
        <w:tc>
          <w:tcPr>
            <w:tcW w:type="dxa" w:w="22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All agents use chain-of-thought reasoning with a single worked example in their system prompt.</w:t>
            </w:r>
          </w:p>
        </w:tc>
      </w:tr>
      <w:tr>
        <w:trPr>
          <w:tblHeader w:val="false"/>
        </w:trPr>
        <w:tc>
          <w:tcPr>
            <w:tcW w:type="dxa" w:w="21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Tiered referral (low / moderate / urgent)</w:t>
            </w:r>
          </w:p>
        </w:tc>
        <w:tc>
          <w:tcPr>
            <w:tcW w:type="dxa" w:w="23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Sharma et al. (2026)</w:t>
            </w:r>
          </w:p>
        </w:tc>
        <w:tc>
          <w:tcPr>
            <w:tcW w:type="dxa" w:w="20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Responsible AI psychiatry requires tiered referral aligned with clinical urgency; automation bias must be actively guarded against.</w:t>
            </w:r>
          </w:p>
        </w:tc>
        <w:tc>
          <w:tcPr>
            <w:tcW w:type="dxa" w:w="22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referral-agent assigns low / moderate / urgent based on GAD-7 band and crisis language detection.</w:t>
            </w:r>
          </w:p>
        </w:tc>
      </w:tr>
      <w:tr>
        <w:trPr>
          <w:tblHeader w:val="false"/>
        </w:trPr>
        <w:tc>
          <w:tcPr>
            <w:tcW w:type="dxa" w:w="21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Explainability + KB citation in reports</w:t>
            </w:r>
          </w:p>
        </w:tc>
        <w:tc>
          <w:tcPr>
            <w:tcW w:type="dxa" w:w="23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García-Méndez et al. (2026) — Celia</w:t>
            </w:r>
          </w:p>
        </w:tc>
        <w:tc>
          <w:tcPr>
            <w:tcW w:type="dxa" w:w="20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Celia reported 99.08% anxiety detection accuracy (AUC 99.78). Explainability mechanisms improved clinician trust and engagement.</w:t>
            </w:r>
          </w:p>
        </w:tc>
        <w:tc>
          <w:tcPr>
            <w:tcW w:type="dxa" w:w="22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report-agent cites retrieved KB chunk IDs and cosine scores in every output report.</w:t>
            </w:r>
          </w:p>
        </w:tc>
      </w:tr>
      <w:tr>
        <w:trPr>
          <w:tblHeader w:val="false"/>
        </w:trPr>
        <w:tc>
          <w:tcPr>
            <w:tcW w:type="dxa" w:w="21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AI as screening aid only; clinician oversight</w:t>
            </w:r>
          </w:p>
        </w:tc>
        <w:tc>
          <w:tcPr>
            <w:tcW w:type="dxa" w:w="23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Sharma et al. (2026); Roy et al. (2025); Sun et al. (2026)</w:t>
            </w:r>
          </w:p>
        </w:tc>
        <w:tc>
          <w:tcPr>
            <w:tcW w:type="dxa" w:w="20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Privacy risks, automation bias, and clinical liability require AI to remain a support tool, not a diagnostic authority.</w:t>
            </w:r>
          </w:p>
        </w:tc>
        <w:tc>
          <w:tcPr>
            <w:tcW w:type="dxa" w:w="22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All reports include a mandatory disclaimer. Referral recommendations are phrased as suggestions, not diagnoses.</w:t>
            </w:r>
          </w:p>
        </w:tc>
      </w:tr>
      <w:tr>
        <w:trPr>
          <w:tblHeader w:val="false"/>
        </w:trPr>
        <w:tc>
          <w:tcPr>
            <w:tcW w:type="dxa" w:w="21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GAD-7 severity bands</w:t>
            </w:r>
          </w:p>
        </w:tc>
        <w:tc>
          <w:tcPr>
            <w:tcW w:type="dxa" w:w="23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Spitzer, Kroenke, Williams &amp; Löwe (2006)</w:t>
            </w:r>
          </w:p>
        </w:tc>
        <w:tc>
          <w:tcPr>
            <w:tcW w:type="dxa" w:w="20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Published validated cutoffs: Minimal 0–4, Mild 5–9, Moderate 10–14, Severe 15–21.</w:t>
            </w:r>
          </w:p>
        </w:tc>
        <w:tc>
          <w:tcPr>
            <w:tcW w:type="dxa" w:w="22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b w:val="false"/>
                <w:bCs w:val="false"/>
                <w:color w:val="1A1A1A"/>
                <w:sz w:val="17"/>
                <w:szCs w:val="17"/>
              </w:rPr>
              <w:t xml:space="preserve">GAD-7 score computed from symptom-agent output; severity band assigned per Spitzer et al. (2006).</w:t>
            </w:r>
          </w:p>
        </w:tc>
      </w:tr>
    </w:tbl>
    <w:p>
      <w:pPr>
        <w:spacing w:after="0" w:before="200"/>
      </w:pPr>
    </w:p>
    <w:p>
      <w:pPr>
        <w:pStyle w:val="Heading1"/>
        <w:pBdr>
          <w:bottom w:val="thick" w:color="2E75B6" w:sz="12"/>
        </w:pBdr>
        <w:spacing w:after="120" w:before="360"/>
      </w:pPr>
      <w:r>
        <w:t xml:space="preserve">3. Evaluation Strategy</w:t>
      </w:r>
    </w:p>
    <w:p>
      <w:pPr>
        <w:spacing w:after="80" w:before="60"/>
      </w:pPr>
      <w:r>
        <w:rPr>
          <w:color w:val="1A1A1A"/>
          <w:sz w:val="20"/>
          <w:szCs w:val="20"/>
        </w:rPr>
        <w:t xml:space="preserve">AnxioSense is at the research-prototype stage. The current evaluation is formative — designed to verify correct pipeline behaviour and surface failure modes before formal empirical evaluation. The distinction between what is already implemented and what is planned is marked clearly in each subsection below.</w:t>
      </w:r>
    </w:p>
    <w:p>
      <w:pPr>
        <w:pStyle w:val="Heading2"/>
        <w:spacing w:after="80" w:before="240"/>
      </w:pPr>
      <w:r>
        <w:t xml:space="preserve">3.1  Automated Test Suite  [ ✅ Currently Implemented ]</w:t>
      </w:r>
    </w:p>
    <w:p>
      <w:pPr>
        <w:spacing w:after="80" w:before="60"/>
      </w:pPr>
      <w:r>
        <w:rPr>
          <w:color w:val="1A1A1A"/>
          <w:sz w:val="20"/>
          <w:szCs w:val="20"/>
        </w:rPr>
        <w:t xml:space="preserve">The project has 75 automated unit and integration tests (TypeScript / Vitest), all passing as of the current commit. Tests cover:</w:t>
      </w:r>
    </w:p>
    <w:p>
      <w:pPr>
        <w:pStyle w:val="ListParagraph"/>
        <w:numPr>
          <w:ilvl w:val="0"/>
          <w:numId w:val="1"/>
        </w:numPr>
        <w:spacing w:after="40" w:before="40"/>
      </w:pPr>
      <w:r>
        <w:rPr>
          <w:b/>
          <w:bCs/>
          <w:color w:val="1A1A1A"/>
          <w:sz w:val="20"/>
          <w:szCs w:val="20"/>
        </w:rPr>
        <w:t xml:space="preserve"/>
      </w:r>
      <w:r>
        <w:rPr>
          <w:color w:val="1A1A1A"/>
          <w:sz w:val="20"/>
          <w:szCs w:val="20"/>
        </w:rPr>
        <w:t xml:space="preserve">Pre-assessment validation: correct rejection of inputs that are too short, contain injection attempts, or fail the language pre-check. Arabic and other non-Latin scripts bypass the semantic sufficiency checker and are forwarded to the pipeline.</w:t>
      </w:r>
    </w:p>
    <w:p>
      <w:pPr>
        <w:pStyle w:val="ListParagraph"/>
        <w:numPr>
          <w:ilvl w:val="0"/>
          <w:numId w:val="1"/>
        </w:numPr>
        <w:spacing w:after="40" w:before="40"/>
      </w:pPr>
      <w:r>
        <w:rPr>
          <w:b/>
          <w:bCs/>
          <w:color w:val="1A1A1A"/>
          <w:sz w:val="20"/>
          <w:szCs w:val="20"/>
        </w:rPr>
        <w:t xml:space="preserve"/>
      </w:r>
      <w:r>
        <w:rPr>
          <w:color w:val="1A1A1A"/>
          <w:sz w:val="20"/>
          <w:szCs w:val="20"/>
        </w:rPr>
        <w:t xml:space="preserve">GAD-7 scoring: all four published severity bands (Minimal 0–4, Mild 5–9, Moderate 10–14, Severe 15–21) tested against expected scores.</w:t>
      </w:r>
    </w:p>
    <w:p>
      <w:pPr>
        <w:pStyle w:val="ListParagraph"/>
        <w:numPr>
          <w:ilvl w:val="0"/>
          <w:numId w:val="1"/>
        </w:numPr>
        <w:spacing w:after="40" w:before="40"/>
      </w:pPr>
      <w:r>
        <w:rPr>
          <w:b/>
          <w:bCs/>
          <w:color w:val="1A1A1A"/>
          <w:sz w:val="20"/>
          <w:szCs w:val="20"/>
        </w:rPr>
        <w:t xml:space="preserve"/>
      </w:r>
      <w:r>
        <w:rPr>
          <w:color w:val="1A1A1A"/>
          <w:sz w:val="20"/>
          <w:szCs w:val="20"/>
        </w:rPr>
        <w:t xml:space="preserve">Referral logic: urgent path triggered by crisis safety notice detection; moderate and low paths triggered by GAD-7 thresholds; silent default to low when riskLevel lookup fails.</w:t>
      </w:r>
    </w:p>
    <w:p>
      <w:pPr>
        <w:pStyle w:val="ListParagraph"/>
        <w:numPr>
          <w:ilvl w:val="0"/>
          <w:numId w:val="1"/>
        </w:numPr>
        <w:spacing w:after="40" w:before="40"/>
      </w:pPr>
      <w:r>
        <w:rPr>
          <w:b/>
          <w:bCs/>
          <w:color w:val="1A1A1A"/>
          <w:sz w:val="20"/>
          <w:szCs w:val="20"/>
        </w:rPr>
        <w:t xml:space="preserve"/>
      </w:r>
      <w:r>
        <w:rPr>
          <w:color w:val="1A1A1A"/>
          <w:sz w:val="20"/>
          <w:szCs w:val="20"/>
        </w:rPr>
        <w:t xml:space="preserve">Evidence validation: supported / partially_supported / unsupported classification tested against synthetic score fixtures.</w:t>
      </w:r>
    </w:p>
    <w:p>
      <w:pPr>
        <w:pStyle w:val="ListParagraph"/>
        <w:numPr>
          <w:ilvl w:val="0"/>
          <w:numId w:val="1"/>
        </w:numPr>
        <w:spacing w:after="40" w:before="40"/>
      </w:pPr>
      <w:r>
        <w:rPr>
          <w:b/>
          <w:bCs/>
          <w:color w:val="1A1A1A"/>
          <w:sz w:val="20"/>
          <w:szCs w:val="20"/>
        </w:rPr>
        <w:t xml:space="preserve"/>
      </w:r>
      <w:r>
        <w:rPr>
          <w:color w:val="1A1A1A"/>
          <w:sz w:val="20"/>
          <w:szCs w:val="20"/>
        </w:rPr>
        <w:t xml:space="preserve">Report format: output schema validation (sessionId, claimValidations, riskLevel, differentiationAssessment, overallConsistencyNotes).</w:t>
      </w:r>
    </w:p>
    <w:p>
      <w:pPr>
        <w:pStyle w:val="ListParagraph"/>
        <w:numPr>
          <w:ilvl w:val="0"/>
          <w:numId w:val="1"/>
        </w:numPr>
        <w:spacing w:after="40" w:before="40"/>
      </w:pPr>
      <w:r>
        <w:rPr>
          <w:b/>
          <w:bCs/>
          <w:color w:val="1A1A1A"/>
          <w:sz w:val="20"/>
          <w:szCs w:val="20"/>
        </w:rPr>
        <w:t xml:space="preserve"/>
      </w:r>
      <w:r>
        <w:rPr>
          <w:color w:val="1A1A1A"/>
          <w:sz w:val="20"/>
          <w:szCs w:val="20"/>
        </w:rPr>
        <w:t xml:space="preserve">Grounding evaluation: TF-IDF grounding score pipeline tested end-to-end.</w:t>
      </w:r>
    </w:p>
    <w:p>
      <w:pPr>
        <w:spacing w:after="0" w:before="80"/>
      </w:pPr>
    </w:p>
    <w:p>
      <w:pPr>
        <w:pStyle w:val="Heading2"/>
        <w:spacing w:after="80" w:before="240"/>
      </w:pPr>
      <w:r>
        <w:t xml:space="preserve">3.2  Manual Calibration Test Cases  [ ✅ Currently Implemented — n = 5 ]</w:t>
      </w:r>
    </w:p>
    <w:p>
      <w:pPr>
        <w:spacing w:after="80" w:before="60"/>
      </w:pPr>
      <w:r>
        <w:rPr>
          <w:color w:val="1A1A1A"/>
          <w:sz w:val="20"/>
          <w:szCs w:val="20"/>
        </w:rPr>
        <w:t xml:space="preserve">Cosine similarity thresholds in the evidence-validation step (SUPPORTED_THRESHOLD = 0.72, PARTIAL_THRESHOLD = 0.55) were set empirically based on observed score distributions across five test cases. This is an acknowledged limitation; see Section 3.5.</w:t>
      </w:r>
    </w:p>
    <w:p>
      <w:pPr>
        <w:spacing w:after="0" w:before="60"/>
      </w:pPr>
    </w:p>
    <w:tbl>
      <w:tblPr>
        <w:tblW w:type="dxa" w:w="8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800"/>
        <w:gridCol w:w="4000"/>
        <w:gridCol w:w="2300"/>
      </w:tblGrid>
      <w:tr>
        <w:trPr>
          <w:tblHeader/>
        </w:trPr>
        <w:tc>
          <w:tcPr>
            <w:tcW w:type="dxa" w:w="500"/>
            <w:tcBorders>
              <w:top w:val="single" w:color="AAAAAA" w:sz="4"/>
              <w:left w:val="single" w:color="AAAAAA" w:sz="4"/>
              <w:bottom w:val="single" w:color="AAAAAA" w:sz="4"/>
              <w:right w:val="single" w:color="AAAAAA" w:sz="4"/>
            </w:tcBorders>
            <w:shd w:fill="1F3864" w:color="auto" w:val="clear"/>
            <w:tcMar>
              <w:top w:type="dxa" w:w="60"/>
              <w:left w:type="dxa" w:w="80"/>
              <w:bottom w:type="dxa" w:w="60"/>
              <w:right w:type="dxa" w:w="80"/>
            </w:tcMar>
          </w:tcPr>
          <w:p>
            <w:pPr>
              <w:spacing w:after="50" w:before="50"/>
            </w:pPr>
            <w:r>
              <w:rPr>
                <w:b/>
                <w:bCs/>
                <w:color w:val="FFFFFF"/>
                <w:sz w:val="18"/>
                <w:szCs w:val="18"/>
              </w:rPr>
              <w:t xml:space="preserve">#</w:t>
            </w:r>
          </w:p>
        </w:tc>
        <w:tc>
          <w:tcPr>
            <w:tcW w:type="dxa" w:w="1800"/>
            <w:tcBorders>
              <w:top w:val="single" w:color="AAAAAA" w:sz="4"/>
              <w:left w:val="single" w:color="AAAAAA" w:sz="4"/>
              <w:bottom w:val="single" w:color="AAAAAA" w:sz="4"/>
              <w:right w:val="single" w:color="AAAAAA" w:sz="4"/>
            </w:tcBorders>
            <w:shd w:fill="1F3864" w:color="auto" w:val="clear"/>
            <w:tcMar>
              <w:top w:type="dxa" w:w="60"/>
              <w:left w:type="dxa" w:w="80"/>
              <w:bottom w:type="dxa" w:w="60"/>
              <w:right w:type="dxa" w:w="80"/>
            </w:tcMar>
          </w:tcPr>
          <w:p>
            <w:pPr>
              <w:spacing w:after="50" w:before="50"/>
            </w:pPr>
            <w:r>
              <w:rPr>
                <w:b/>
                <w:bCs/>
                <w:color w:val="FFFFFF"/>
                <w:sz w:val="18"/>
                <w:szCs w:val="18"/>
              </w:rPr>
              <w:t xml:space="preserve">Case Type</w:t>
            </w:r>
          </w:p>
        </w:tc>
        <w:tc>
          <w:tcPr>
            <w:tcW w:type="dxa" w:w="4000"/>
            <w:tcBorders>
              <w:top w:val="single" w:color="AAAAAA" w:sz="4"/>
              <w:left w:val="single" w:color="AAAAAA" w:sz="4"/>
              <w:bottom w:val="single" w:color="AAAAAA" w:sz="4"/>
              <w:right w:val="single" w:color="AAAAAA" w:sz="4"/>
            </w:tcBorders>
            <w:shd w:fill="1F3864" w:color="auto" w:val="clear"/>
            <w:tcMar>
              <w:top w:type="dxa" w:w="60"/>
              <w:left w:type="dxa" w:w="80"/>
              <w:bottom w:type="dxa" w:w="60"/>
              <w:right w:type="dxa" w:w="80"/>
            </w:tcMar>
          </w:tcPr>
          <w:p>
            <w:pPr>
              <w:spacing w:after="50" w:before="50"/>
            </w:pPr>
            <w:r>
              <w:rPr>
                <w:b/>
                <w:bCs/>
                <w:color w:val="FFFFFF"/>
                <w:sz w:val="18"/>
                <w:szCs w:val="18"/>
              </w:rPr>
              <w:t xml:space="preserve">Input Description</w:t>
            </w:r>
          </w:p>
        </w:tc>
        <w:tc>
          <w:tcPr>
            <w:tcW w:type="dxa" w:w="2300"/>
            <w:tcBorders>
              <w:top w:val="single" w:color="AAAAAA" w:sz="4"/>
              <w:left w:val="single" w:color="AAAAAA" w:sz="4"/>
              <w:bottom w:val="single" w:color="AAAAAA" w:sz="4"/>
              <w:right w:val="single" w:color="AAAAAA" w:sz="4"/>
            </w:tcBorders>
            <w:shd w:fill="1F3864" w:color="auto" w:val="clear"/>
            <w:tcMar>
              <w:top w:type="dxa" w:w="60"/>
              <w:left w:type="dxa" w:w="80"/>
              <w:bottom w:type="dxa" w:w="60"/>
              <w:right w:type="dxa" w:w="80"/>
            </w:tcMar>
          </w:tcPr>
          <w:p>
            <w:pPr>
              <w:spacing w:after="50" w:before="50"/>
            </w:pPr>
            <w:r>
              <w:rPr>
                <w:b/>
                <w:bCs/>
                <w:color w:val="FFFFFF"/>
                <w:sz w:val="18"/>
                <w:szCs w:val="18"/>
              </w:rPr>
              <w:t xml:space="preserve">Pipeline Result</w:t>
            </w:r>
          </w:p>
        </w:tc>
      </w:tr>
      <w:tr>
        <w:tc>
          <w:tcPr>
            <w:tcW w:type="dxa" w:w="5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color w:val="1A1A1A"/>
                <w:sz w:val="17"/>
                <w:szCs w:val="17"/>
              </w:rPr>
              <w:t xml:space="preserve">1</w:t>
            </w:r>
          </w:p>
        </w:tc>
        <w:tc>
          <w:tcPr>
            <w:tcW w:type="dxa" w:w="18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color w:val="1A1A1A"/>
                <w:sz w:val="17"/>
                <w:szCs w:val="17"/>
              </w:rPr>
              <w:t xml:space="preserve">High anxiety</w:t>
            </w:r>
          </w:p>
        </w:tc>
        <w:tc>
          <w:tcPr>
            <w:tcW w:type="dxa" w:w="40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color w:val="1A1A1A"/>
                <w:sz w:val="17"/>
                <w:szCs w:val="17"/>
              </w:rPr>
              <w:t xml:space="preserve">Multi-symptom GAD-7 narrative (excessive worry, sleep disruption, muscle tension, fatigue)</w:t>
            </w:r>
          </w:p>
        </w:tc>
        <w:tc>
          <w:tcPr>
            <w:tcW w:type="dxa" w:w="23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color w:val="1A1A1A"/>
                <w:sz w:val="17"/>
                <w:szCs w:val="17"/>
              </w:rPr>
              <w:t xml:space="preserve">Top cosine ≈ 0.78–0.81 → supported</w:t>
            </w:r>
          </w:p>
        </w:tc>
      </w:tr>
      <w:tr>
        <w:tc>
          <w:tcPr>
            <w:tcW w:type="dxa" w:w="500"/>
            <w:tcBorders>
              <w:top w:val="single" w:color="AAAAAA" w:sz="4"/>
              <w:left w:val="single" w:color="AAAAAA" w:sz="4"/>
              <w:bottom w:val="single" w:color="AAAAAA" w:sz="4"/>
              <w:right w:val="single" w:color="AAAAAA" w:sz="4"/>
            </w:tcBorders>
            <w:shd w:fill="F2F2F2" w:color="auto" w:val="clear"/>
            <w:tcMar>
              <w:top w:type="dxa" w:w="50"/>
              <w:left w:type="dxa" w:w="70"/>
              <w:bottom w:type="dxa" w:w="50"/>
              <w:right w:type="dxa" w:w="70"/>
            </w:tcMar>
          </w:tcPr>
          <w:p>
            <w:pPr>
              <w:spacing w:after="40" w:before="40"/>
            </w:pPr>
            <w:r>
              <w:rPr>
                <w:color w:val="1A1A1A"/>
                <w:sz w:val="17"/>
                <w:szCs w:val="17"/>
              </w:rPr>
              <w:t xml:space="preserve">2</w:t>
            </w:r>
          </w:p>
        </w:tc>
        <w:tc>
          <w:tcPr>
            <w:tcW w:type="dxa" w:w="1800"/>
            <w:tcBorders>
              <w:top w:val="single" w:color="AAAAAA" w:sz="4"/>
              <w:left w:val="single" w:color="AAAAAA" w:sz="4"/>
              <w:bottom w:val="single" w:color="AAAAAA" w:sz="4"/>
              <w:right w:val="single" w:color="AAAAAA" w:sz="4"/>
            </w:tcBorders>
            <w:shd w:fill="F2F2F2" w:color="auto" w:val="clear"/>
            <w:tcMar>
              <w:top w:type="dxa" w:w="50"/>
              <w:left w:type="dxa" w:w="70"/>
              <w:bottom w:type="dxa" w:w="50"/>
              <w:right w:type="dxa" w:w="70"/>
            </w:tcMar>
          </w:tcPr>
          <w:p>
            <w:pPr>
              <w:spacing w:after="40" w:before="40"/>
            </w:pPr>
            <w:r>
              <w:rPr>
                <w:color w:val="1A1A1A"/>
                <w:sz w:val="17"/>
                <w:szCs w:val="17"/>
              </w:rPr>
              <w:t xml:space="preserve">Moderate anxiety</w:t>
            </w:r>
          </w:p>
        </w:tc>
        <w:tc>
          <w:tcPr>
            <w:tcW w:type="dxa" w:w="4000"/>
            <w:tcBorders>
              <w:top w:val="single" w:color="AAAAAA" w:sz="4"/>
              <w:left w:val="single" w:color="AAAAAA" w:sz="4"/>
              <w:bottom w:val="single" w:color="AAAAAA" w:sz="4"/>
              <w:right w:val="single" w:color="AAAAAA" w:sz="4"/>
            </w:tcBorders>
            <w:shd w:fill="F2F2F2" w:color="auto" w:val="clear"/>
            <w:tcMar>
              <w:top w:type="dxa" w:w="50"/>
              <w:left w:type="dxa" w:w="70"/>
              <w:bottom w:type="dxa" w:w="50"/>
              <w:right w:type="dxa" w:w="70"/>
            </w:tcMar>
          </w:tcPr>
          <w:p>
            <w:pPr>
              <w:spacing w:after="40" w:before="40"/>
            </w:pPr>
            <w:r>
              <w:rPr>
                <w:color w:val="1A1A1A"/>
                <w:sz w:val="17"/>
                <w:szCs w:val="17"/>
              </w:rPr>
              <w:t xml:space="preserve">Partial symptom overlap; some anxiety language but below full GAD-7 threshold</w:t>
            </w:r>
          </w:p>
        </w:tc>
        <w:tc>
          <w:tcPr>
            <w:tcW w:type="dxa" w:w="2300"/>
            <w:tcBorders>
              <w:top w:val="single" w:color="AAAAAA" w:sz="4"/>
              <w:left w:val="single" w:color="AAAAAA" w:sz="4"/>
              <w:bottom w:val="single" w:color="AAAAAA" w:sz="4"/>
              <w:right w:val="single" w:color="AAAAAA" w:sz="4"/>
            </w:tcBorders>
            <w:shd w:fill="F2F2F2" w:color="auto" w:val="clear"/>
            <w:tcMar>
              <w:top w:type="dxa" w:w="50"/>
              <w:left w:type="dxa" w:w="70"/>
              <w:bottom w:type="dxa" w:w="50"/>
              <w:right w:type="dxa" w:w="70"/>
            </w:tcMar>
          </w:tcPr>
          <w:p>
            <w:pPr>
              <w:spacing w:after="40" w:before="40"/>
            </w:pPr>
            <w:r>
              <w:rPr>
                <w:color w:val="1A1A1A"/>
                <w:sz w:val="17"/>
                <w:szCs w:val="17"/>
              </w:rPr>
              <w:t xml:space="preserve">Top cosine ≈ 0.73–0.74 → supported/partial boundary</w:t>
            </w:r>
          </w:p>
        </w:tc>
      </w:tr>
      <w:tr>
        <w:tc>
          <w:tcPr>
            <w:tcW w:type="dxa" w:w="5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color w:val="1A1A1A"/>
                <w:sz w:val="17"/>
                <w:szCs w:val="17"/>
              </w:rPr>
              <w:t xml:space="preserve">3</w:t>
            </w:r>
          </w:p>
        </w:tc>
        <w:tc>
          <w:tcPr>
            <w:tcW w:type="dxa" w:w="18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color w:val="1A1A1A"/>
                <w:sz w:val="17"/>
                <w:szCs w:val="17"/>
              </w:rPr>
              <w:t xml:space="preserve">Subthreshold distress</w:t>
            </w:r>
          </w:p>
        </w:tc>
        <w:tc>
          <w:tcPr>
            <w:tcW w:type="dxa" w:w="40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color w:val="1A1A1A"/>
                <w:sz w:val="17"/>
                <w:szCs w:val="17"/>
              </w:rPr>
              <w:t xml:space="preserve">Emotional content but no clear GAD-7 symptoms</w:t>
            </w:r>
          </w:p>
        </w:tc>
        <w:tc>
          <w:tcPr>
            <w:tcW w:type="dxa" w:w="23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color w:val="1A1A1A"/>
                <w:sz w:val="17"/>
                <w:szCs w:val="17"/>
              </w:rPr>
              <w:t xml:space="preserve">Top cosine ≈ 0.60–0.69 → partially_supported</w:t>
            </w:r>
          </w:p>
        </w:tc>
      </w:tr>
      <w:tr>
        <w:tc>
          <w:tcPr>
            <w:tcW w:type="dxa" w:w="500"/>
            <w:tcBorders>
              <w:top w:val="single" w:color="AAAAAA" w:sz="4"/>
              <w:left w:val="single" w:color="AAAAAA" w:sz="4"/>
              <w:bottom w:val="single" w:color="AAAAAA" w:sz="4"/>
              <w:right w:val="single" w:color="AAAAAA" w:sz="4"/>
            </w:tcBorders>
            <w:shd w:fill="F2F2F2" w:color="auto" w:val="clear"/>
            <w:tcMar>
              <w:top w:type="dxa" w:w="50"/>
              <w:left w:type="dxa" w:w="70"/>
              <w:bottom w:type="dxa" w:w="50"/>
              <w:right w:type="dxa" w:w="70"/>
            </w:tcMar>
          </w:tcPr>
          <w:p>
            <w:pPr>
              <w:spacing w:after="40" w:before="40"/>
            </w:pPr>
            <w:r>
              <w:rPr>
                <w:color w:val="1A1A1A"/>
                <w:sz w:val="17"/>
                <w:szCs w:val="17"/>
              </w:rPr>
              <w:t xml:space="preserve">4</w:t>
            </w:r>
          </w:p>
        </w:tc>
        <w:tc>
          <w:tcPr>
            <w:tcW w:type="dxa" w:w="1800"/>
            <w:tcBorders>
              <w:top w:val="single" w:color="AAAAAA" w:sz="4"/>
              <w:left w:val="single" w:color="AAAAAA" w:sz="4"/>
              <w:bottom w:val="single" w:color="AAAAAA" w:sz="4"/>
              <w:right w:val="single" w:color="AAAAAA" w:sz="4"/>
            </w:tcBorders>
            <w:shd w:fill="F2F2F2" w:color="auto" w:val="clear"/>
            <w:tcMar>
              <w:top w:type="dxa" w:w="50"/>
              <w:left w:type="dxa" w:w="70"/>
              <w:bottom w:type="dxa" w:w="50"/>
              <w:right w:type="dxa" w:w="70"/>
            </w:tcMar>
          </w:tcPr>
          <w:p>
            <w:pPr>
              <w:spacing w:after="40" w:before="40"/>
            </w:pPr>
            <w:r>
              <w:rPr>
                <w:color w:val="1A1A1A"/>
                <w:sz w:val="17"/>
                <w:szCs w:val="17"/>
              </w:rPr>
              <w:t xml:space="preserve">Crisis language</w:t>
            </w:r>
          </w:p>
        </w:tc>
        <w:tc>
          <w:tcPr>
            <w:tcW w:type="dxa" w:w="4000"/>
            <w:tcBorders>
              <w:top w:val="single" w:color="AAAAAA" w:sz="4"/>
              <w:left w:val="single" w:color="AAAAAA" w:sz="4"/>
              <w:bottom w:val="single" w:color="AAAAAA" w:sz="4"/>
              <w:right w:val="single" w:color="AAAAAA" w:sz="4"/>
            </w:tcBorders>
            <w:shd w:fill="F2F2F2" w:color="auto" w:val="clear"/>
            <w:tcMar>
              <w:top w:type="dxa" w:w="50"/>
              <w:left w:type="dxa" w:w="70"/>
              <w:bottom w:type="dxa" w:w="50"/>
              <w:right w:type="dxa" w:w="70"/>
            </w:tcMar>
          </w:tcPr>
          <w:p>
            <w:pPr>
              <w:spacing w:after="40" w:before="40"/>
            </w:pPr>
            <w:r>
              <w:rPr>
                <w:color w:val="1A1A1A"/>
                <w:sz w:val="17"/>
                <w:szCs w:val="17"/>
              </w:rPr>
              <w:t xml:space="preserve">Post containing urgent safety-relevant language</w:t>
            </w:r>
          </w:p>
        </w:tc>
        <w:tc>
          <w:tcPr>
            <w:tcW w:type="dxa" w:w="2300"/>
            <w:tcBorders>
              <w:top w:val="single" w:color="AAAAAA" w:sz="4"/>
              <w:left w:val="single" w:color="AAAAAA" w:sz="4"/>
              <w:bottom w:val="single" w:color="AAAAAA" w:sz="4"/>
              <w:right w:val="single" w:color="AAAAAA" w:sz="4"/>
            </w:tcBorders>
            <w:shd w:fill="F2F2F2" w:color="auto" w:val="clear"/>
            <w:tcMar>
              <w:top w:type="dxa" w:w="50"/>
              <w:left w:type="dxa" w:w="70"/>
              <w:bottom w:type="dxa" w:w="50"/>
              <w:right w:type="dxa" w:w="70"/>
            </w:tcMar>
          </w:tcPr>
          <w:p>
            <w:pPr>
              <w:spacing w:after="40" w:before="40"/>
            </w:pPr>
            <w:r>
              <w:rPr>
                <w:color w:val="1A1A1A"/>
                <w:sz w:val="17"/>
                <w:szCs w:val="17"/>
              </w:rPr>
              <w:t xml:space="preserve">Correctly routes to urgent; isUrgentReport = true</w:t>
            </w:r>
          </w:p>
        </w:tc>
      </w:tr>
      <w:tr>
        <w:tc>
          <w:tcPr>
            <w:tcW w:type="dxa" w:w="5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color w:val="1A1A1A"/>
                <w:sz w:val="17"/>
                <w:szCs w:val="17"/>
              </w:rPr>
              <w:t xml:space="preserve">5</w:t>
            </w:r>
          </w:p>
        </w:tc>
        <w:tc>
          <w:tcPr>
            <w:tcW w:type="dxa" w:w="18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color w:val="1A1A1A"/>
                <w:sz w:val="17"/>
                <w:szCs w:val="17"/>
              </w:rPr>
              <w:t xml:space="preserve">Non-anxiety text</w:t>
            </w:r>
          </w:p>
        </w:tc>
        <w:tc>
          <w:tcPr>
            <w:tcW w:type="dxa" w:w="40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color w:val="1A1A1A"/>
                <w:sz w:val="17"/>
                <w:szCs w:val="17"/>
              </w:rPr>
              <w:t xml:space="preserve">Neutral content; no anxiety signal</w:t>
            </w:r>
          </w:p>
        </w:tc>
        <w:tc>
          <w:tcPr>
            <w:tcW w:type="dxa" w:w="23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color w:val="1A1A1A"/>
                <w:sz w:val="17"/>
                <w:szCs w:val="17"/>
              </w:rPr>
              <w:t xml:space="preserve">Top cosine &lt; 0.55 → unsupported</w:t>
            </w:r>
          </w:p>
        </w:tc>
      </w:tr>
    </w:tbl>
    <w:p>
      <w:pPr>
        <w:spacing w:after="0" w:before="120"/>
      </w:pPr>
    </w:p>
    <w:p>
      <w:pPr>
        <w:pStyle w:val="Heading2"/>
        <w:spacing w:after="80" w:before="240"/>
      </w:pPr>
      <w:r>
        <w:t xml:space="preserve">3.3  Grounding Evaluation  [ ✅ Currently Implemented ]</w:t>
      </w:r>
    </w:p>
    <w:p>
      <w:pPr>
        <w:spacing w:after="80" w:before="60"/>
      </w:pPr>
      <w:r>
        <w:rPr>
          <w:color w:val="1A1A1A"/>
          <w:sz w:val="20"/>
          <w:szCs w:val="20"/>
        </w:rPr>
        <w:t xml:space="preserve">The grounding evaluation measures lexical overlap between the user's input text and the generated report, providing a coarse check that the report content reflects what the user actually wrote.</w:t>
      </w:r>
    </w:p>
    <w:p>
      <w:pPr>
        <w:pStyle w:val="ListParagraph"/>
        <w:numPr>
          <w:ilvl w:val="0"/>
          <w:numId w:val="1"/>
        </w:numPr>
        <w:spacing w:after="40" w:before="40"/>
      </w:pPr>
      <w:r>
        <w:rPr>
          <w:b/>
          <w:bCs/>
          <w:color w:val="1A1A1A"/>
          <w:sz w:val="20"/>
          <w:szCs w:val="20"/>
        </w:rPr>
        <w:t xml:space="preserve">Method: </w:t>
      </w:r>
      <w:r>
        <w:rPr>
          <w:color w:val="1A1A1A"/>
          <w:sz w:val="20"/>
          <w:szCs w:val="20"/>
        </w:rPr>
        <w:t xml:space="preserve">TF-IDF cosine similarity over a two-document corpus (user text + report). Implemented in the Express server process (port 3001), separate from the Mastra workflow.</w:t>
      </w:r>
    </w:p>
    <w:p>
      <w:pPr>
        <w:pStyle w:val="ListParagraph"/>
        <w:numPr>
          <w:ilvl w:val="0"/>
          <w:numId w:val="1"/>
        </w:numPr>
        <w:spacing w:after="40" w:before="40"/>
      </w:pPr>
      <w:r>
        <w:rPr>
          <w:b/>
          <w:bCs/>
          <w:color w:val="1A1A1A"/>
          <w:sz w:val="20"/>
          <w:szCs w:val="20"/>
        </w:rPr>
        <w:t xml:space="preserve">Current use: </w:t>
      </w:r>
      <w:r>
        <w:rPr>
          <w:color w:val="1A1A1A"/>
          <w:sz w:val="20"/>
          <w:szCs w:val="20"/>
        </w:rPr>
        <w:t xml:space="preserve">Score is returned in the API response for logging and debugging. It is not used to gate pipeline output at present.</w:t>
      </w:r>
    </w:p>
    <w:p>
      <w:pPr>
        <w:pStyle w:val="ListParagraph"/>
        <w:numPr>
          <w:ilvl w:val="0"/>
          <w:numId w:val="1"/>
        </w:numPr>
        <w:spacing w:after="40" w:before="40"/>
      </w:pPr>
      <w:r>
        <w:rPr>
          <w:b/>
          <w:bCs/>
          <w:color w:val="1A1A1A"/>
          <w:sz w:val="20"/>
          <w:szCs w:val="20"/>
        </w:rPr>
        <w:t xml:space="preserve">Why TF-IDF and not embedding-based similarity: </w:t>
      </w:r>
      <w:r>
        <w:rPr>
          <w:color w:val="1A1A1A"/>
          <w:sz w:val="20"/>
          <w:szCs w:val="20"/>
        </w:rPr>
        <w:t xml:space="preserve">The fastembed model runs exclusively in the Mastra process (port 4111). Loading a duplicate model in the Express server is architecturally prohibited. TF-IDF is therefore the correct engineering choice for the grounding step in the current architecture.</w:t>
      </w:r>
    </w:p>
    <w:p>
      <w:pPr>
        <w:spacing w:after="0" w:before="80"/>
      </w:pPr>
    </w:p>
    <w:p>
      <w:pPr>
        <w:pStyle w:val="Heading2"/>
        <w:spacing w:after="80" w:before="240"/>
      </w:pPr>
      <w:r>
        <w:t xml:space="preserve">3.4  Evidence Validation (Cosine Similarity Thresholds)  [ ✅ Currently Implemented ]</w:t>
      </w:r>
    </w:p>
    <w:p>
      <w:pPr>
        <w:spacing w:after="80" w:before="60"/>
      </w:pPr>
      <w:r>
        <w:rPr>
          <w:color w:val="1A1A1A"/>
          <w:sz w:val="20"/>
          <w:szCs w:val="20"/>
        </w:rPr>
        <w:t xml:space="preserve">The evidence-validation step classifies each claim the agent pipeline generates against the knowledge base. Cosine similarity scores are computed by the LibSQLVector retrieval layer (not at the validation step itself) and attached to each retrieved chunk.</w:t>
      </w:r>
    </w:p>
    <w:p>
      <w:pPr>
        <w:spacing w:after="0" w:before="60"/>
      </w:pPr>
    </w:p>
    <w:tbl>
      <w:tblPr>
        <w:tblW w:type="dxa" w:w="8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400"/>
        <w:gridCol w:w="4000"/>
      </w:tblGrid>
      <w:tr>
        <w:trPr>
          <w:tblHeader/>
        </w:trPr>
        <w:tc>
          <w:tcPr>
            <w:tcW w:type="dxa" w:w="2200"/>
            <w:tcBorders>
              <w:top w:val="single" w:color="AAAAAA" w:sz="4"/>
              <w:left w:val="single" w:color="AAAAAA" w:sz="4"/>
              <w:bottom w:val="single" w:color="AAAAAA" w:sz="4"/>
              <w:right w:val="single" w:color="AAAAAA" w:sz="4"/>
            </w:tcBorders>
            <w:shd w:fill="2E75B6" w:color="auto" w:val="clear"/>
            <w:tcMar>
              <w:top w:type="dxa" w:w="60"/>
              <w:left w:type="dxa" w:w="80"/>
              <w:bottom w:type="dxa" w:w="60"/>
              <w:right w:type="dxa" w:w="80"/>
            </w:tcMar>
          </w:tcPr>
          <w:p>
            <w:pPr>
              <w:spacing w:after="50" w:before="50"/>
            </w:pPr>
            <w:r>
              <w:rPr>
                <w:b/>
                <w:bCs/>
                <w:color w:val="FFFFFF"/>
                <w:sz w:val="18"/>
                <w:szCs w:val="18"/>
              </w:rPr>
              <w:t xml:space="preserve">Verdict</w:t>
            </w:r>
          </w:p>
        </w:tc>
        <w:tc>
          <w:tcPr>
            <w:tcW w:type="dxa" w:w="2400"/>
            <w:tcBorders>
              <w:top w:val="single" w:color="AAAAAA" w:sz="4"/>
              <w:left w:val="single" w:color="AAAAAA" w:sz="4"/>
              <w:bottom w:val="single" w:color="AAAAAA" w:sz="4"/>
              <w:right w:val="single" w:color="AAAAAA" w:sz="4"/>
            </w:tcBorders>
            <w:shd w:fill="2E75B6" w:color="auto" w:val="clear"/>
            <w:tcMar>
              <w:top w:type="dxa" w:w="60"/>
              <w:left w:type="dxa" w:w="80"/>
              <w:bottom w:type="dxa" w:w="60"/>
              <w:right w:type="dxa" w:w="80"/>
            </w:tcMar>
          </w:tcPr>
          <w:p>
            <w:pPr>
              <w:spacing w:after="50" w:before="50"/>
            </w:pPr>
            <w:r>
              <w:rPr>
                <w:b/>
                <w:bCs/>
                <w:color w:val="FFFFFF"/>
                <w:sz w:val="18"/>
                <w:szCs w:val="18"/>
              </w:rPr>
              <w:t xml:space="preserve">Cosine Threshold</w:t>
            </w:r>
          </w:p>
        </w:tc>
        <w:tc>
          <w:tcPr>
            <w:tcW w:type="dxa" w:w="4000"/>
            <w:tcBorders>
              <w:top w:val="single" w:color="AAAAAA" w:sz="4"/>
              <w:left w:val="single" w:color="AAAAAA" w:sz="4"/>
              <w:bottom w:val="single" w:color="AAAAAA" w:sz="4"/>
              <w:right w:val="single" w:color="AAAAAA" w:sz="4"/>
            </w:tcBorders>
            <w:shd w:fill="2E75B6" w:color="auto" w:val="clear"/>
            <w:tcMar>
              <w:top w:type="dxa" w:w="60"/>
              <w:left w:type="dxa" w:w="80"/>
              <w:bottom w:type="dxa" w:w="60"/>
              <w:right w:type="dxa" w:w="80"/>
            </w:tcMar>
          </w:tcPr>
          <w:p>
            <w:pPr>
              <w:spacing w:after="50" w:before="50"/>
            </w:pPr>
            <w:r>
              <w:rPr>
                <w:b/>
                <w:bCs/>
                <w:color w:val="FFFFFF"/>
                <w:sz w:val="18"/>
                <w:szCs w:val="18"/>
              </w:rPr>
              <w:t xml:space="preserve">Interpretation</w:t>
            </w:r>
          </w:p>
        </w:tc>
      </w:tr>
      <w:tr>
        <w:tc>
          <w:tcPr>
            <w:tcW w:type="dxa" w:w="22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color w:val="1A1A1A"/>
                <w:sz w:val="17"/>
                <w:szCs w:val="17"/>
              </w:rPr>
              <w:t xml:space="preserve">supported</w:t>
            </w:r>
          </w:p>
        </w:tc>
        <w:tc>
          <w:tcPr>
            <w:tcW w:type="dxa" w:w="24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color w:val="1A1A1A"/>
                <w:sz w:val="17"/>
                <w:szCs w:val="17"/>
              </w:rPr>
              <w:t xml:space="preserve">≥ 0.72</w:t>
            </w:r>
          </w:p>
        </w:tc>
        <w:tc>
          <w:tcPr>
            <w:tcW w:type="dxa" w:w="40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color w:val="1A1A1A"/>
                <w:sz w:val="17"/>
                <w:szCs w:val="17"/>
              </w:rPr>
              <w:t xml:space="preserve">Strong semantic match to KB evidence (observed: ≈ 0.78–0.81 for clear GAD-7 symptom matches). Report cites evidence with confidence.</w:t>
            </w:r>
          </w:p>
        </w:tc>
      </w:tr>
      <w:tr>
        <w:tc>
          <w:tcPr>
            <w:tcW w:type="dxa" w:w="2200"/>
            <w:tcBorders>
              <w:top w:val="single" w:color="AAAAAA" w:sz="4"/>
              <w:left w:val="single" w:color="AAAAAA" w:sz="4"/>
              <w:bottom w:val="single" w:color="AAAAAA" w:sz="4"/>
              <w:right w:val="single" w:color="AAAAAA" w:sz="4"/>
            </w:tcBorders>
            <w:shd w:fill="F2F2F2" w:color="auto" w:val="clear"/>
            <w:tcMar>
              <w:top w:type="dxa" w:w="50"/>
              <w:left w:type="dxa" w:w="70"/>
              <w:bottom w:type="dxa" w:w="50"/>
              <w:right w:type="dxa" w:w="70"/>
            </w:tcMar>
          </w:tcPr>
          <w:p>
            <w:pPr>
              <w:spacing w:after="40" w:before="40"/>
            </w:pPr>
            <w:r>
              <w:rPr>
                <w:color w:val="1A1A1A"/>
                <w:sz w:val="17"/>
                <w:szCs w:val="17"/>
              </w:rPr>
              <w:t xml:space="preserve">partially_supported</w:t>
            </w:r>
          </w:p>
        </w:tc>
        <w:tc>
          <w:tcPr>
            <w:tcW w:type="dxa" w:w="2400"/>
            <w:tcBorders>
              <w:top w:val="single" w:color="AAAAAA" w:sz="4"/>
              <w:left w:val="single" w:color="AAAAAA" w:sz="4"/>
              <w:bottom w:val="single" w:color="AAAAAA" w:sz="4"/>
              <w:right w:val="single" w:color="AAAAAA" w:sz="4"/>
            </w:tcBorders>
            <w:shd w:fill="F2F2F2" w:color="auto" w:val="clear"/>
            <w:tcMar>
              <w:top w:type="dxa" w:w="50"/>
              <w:left w:type="dxa" w:w="70"/>
              <w:bottom w:type="dxa" w:w="50"/>
              <w:right w:type="dxa" w:w="70"/>
            </w:tcMar>
          </w:tcPr>
          <w:p>
            <w:pPr>
              <w:spacing w:after="40" w:before="40"/>
            </w:pPr>
            <w:r>
              <w:rPr>
                <w:color w:val="1A1A1A"/>
                <w:sz w:val="17"/>
                <w:szCs w:val="17"/>
              </w:rPr>
              <w:t xml:space="preserve">≥ 0.55 and &lt; 0.72</w:t>
            </w:r>
          </w:p>
        </w:tc>
        <w:tc>
          <w:tcPr>
            <w:tcW w:type="dxa" w:w="4000"/>
            <w:tcBorders>
              <w:top w:val="single" w:color="AAAAAA" w:sz="4"/>
              <w:left w:val="single" w:color="AAAAAA" w:sz="4"/>
              <w:bottom w:val="single" w:color="AAAAAA" w:sz="4"/>
              <w:right w:val="single" w:color="AAAAAA" w:sz="4"/>
            </w:tcBorders>
            <w:shd w:fill="F2F2F2" w:color="auto" w:val="clear"/>
            <w:tcMar>
              <w:top w:type="dxa" w:w="50"/>
              <w:left w:type="dxa" w:w="70"/>
              <w:bottom w:type="dxa" w:w="50"/>
              <w:right w:type="dxa" w:w="70"/>
            </w:tcMar>
          </w:tcPr>
          <w:p>
            <w:pPr>
              <w:spacing w:after="40" w:before="40"/>
            </w:pPr>
            <w:r>
              <w:rPr>
                <w:color w:val="1A1A1A"/>
                <w:sz w:val="17"/>
                <w:szCs w:val="17"/>
              </w:rPr>
              <w:t xml:space="preserve">Moderate overlap; report cites evidence with an explicit caution note (observed: ≈ 0.60–0.74 for related but indirect matches).</w:t>
            </w:r>
          </w:p>
        </w:tc>
      </w:tr>
      <w:tr>
        <w:tc>
          <w:tcPr>
            <w:tcW w:type="dxa" w:w="22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color w:val="1A1A1A"/>
                <w:sz w:val="17"/>
                <w:szCs w:val="17"/>
              </w:rPr>
              <w:t xml:space="preserve">unsupported</w:t>
            </w:r>
          </w:p>
        </w:tc>
        <w:tc>
          <w:tcPr>
            <w:tcW w:type="dxa" w:w="24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color w:val="1A1A1A"/>
                <w:sz w:val="17"/>
                <w:szCs w:val="17"/>
              </w:rPr>
              <w:t xml:space="preserve">&lt; 0.55 or no chunks</w:t>
            </w:r>
          </w:p>
        </w:tc>
        <w:tc>
          <w:tcPr>
            <w:tcW w:type="dxa" w:w="40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color w:val="1A1A1A"/>
                <w:sz w:val="17"/>
                <w:szCs w:val="17"/>
              </w:rPr>
              <w:t xml:space="preserve">Insufficient KB evidence. Claim flagged as unsupported in the consistency summary; not cited.</w:t>
            </w:r>
          </w:p>
        </w:tc>
      </w:tr>
    </w:tbl>
    <w:p>
      <w:pPr>
        <w:spacing w:after="0" w:before="100"/>
      </w:pPr>
    </w:p>
    <w:p>
      <w:pPr>
        <w:pStyle w:val="Heading2"/>
        <w:spacing w:after="80" w:before="240"/>
      </w:pPr>
      <w:r>
        <w:t xml:space="preserve">3.5  Current Evaluation Limitations</w:t>
      </w:r>
    </w:p>
    <w:p>
      <w:pPr>
        <w:pStyle w:val="ListParagraph"/>
        <w:numPr>
          <w:ilvl w:val="0"/>
          <w:numId w:val="1"/>
        </w:numPr>
        <w:spacing w:after="40" w:before="40"/>
      </w:pPr>
      <w:r>
        <w:rPr>
          <w:b/>
          <w:bCs/>
          <w:color w:val="1A1A1A"/>
          <w:sz w:val="20"/>
          <w:szCs w:val="20"/>
        </w:rPr>
        <w:t xml:space="preserve">Small calibration set: </w:t>
      </w:r>
      <w:r>
        <w:rPr>
          <w:color w:val="1A1A1A"/>
          <w:sz w:val="20"/>
          <w:szCs w:val="20"/>
        </w:rPr>
        <w:t xml:space="preserve">Cosine thresholds (0.72, 0.55) were set on n = 5 test cases. This is below the minimum required for statistically reliable threshold calibration. The thresholds should be treated as provisional until validated on the held-out dataset.</w:t>
      </w:r>
    </w:p>
    <w:p>
      <w:pPr>
        <w:pStyle w:val="ListParagraph"/>
        <w:numPr>
          <w:ilvl w:val="0"/>
          <w:numId w:val="1"/>
        </w:numPr>
        <w:spacing w:after="40" w:before="40"/>
      </w:pPr>
      <w:r>
        <w:rPr>
          <w:b/>
          <w:bCs/>
          <w:color w:val="1A1A1A"/>
          <w:sz w:val="20"/>
          <w:szCs w:val="20"/>
        </w:rPr>
        <w:t xml:space="preserve">No formal held-out evaluation yet: </w:t>
      </w:r>
      <w:r>
        <w:rPr>
          <w:color w:val="1A1A1A"/>
          <w:sz w:val="20"/>
          <w:szCs w:val="20"/>
        </w:rPr>
        <w:t xml:space="preserve">The Dreaddit test split (n = 324) and GoEmotions anxiety subset test split (n = 2,757) exist but have not yet been used for systematic end-to-end evaluation of pipeline outputs.</w:t>
      </w:r>
    </w:p>
    <w:p>
      <w:pPr>
        <w:pStyle w:val="ListParagraph"/>
        <w:numPr>
          <w:ilvl w:val="0"/>
          <w:numId w:val="1"/>
        </w:numPr>
        <w:spacing w:after="40" w:before="40"/>
      </w:pPr>
      <w:r>
        <w:rPr>
          <w:b/>
          <w:bCs/>
          <w:color w:val="1A1A1A"/>
          <w:sz w:val="20"/>
          <w:szCs w:val="20"/>
        </w:rPr>
        <w:t xml:space="preserve">No clinical validation: </w:t>
      </w:r>
      <w:r>
        <w:rPr>
          <w:color w:val="1A1A1A"/>
          <w:sz w:val="20"/>
          <w:szCs w:val="20"/>
        </w:rPr>
        <w:t xml:space="preserve">Pipeline outputs have not been reviewed by licensed clinicians. AnxioSense must not be used for real screening until expert clinical review is completed.</w:t>
      </w:r>
    </w:p>
    <w:p>
      <w:pPr>
        <w:pStyle w:val="ListParagraph"/>
        <w:numPr>
          <w:ilvl w:val="0"/>
          <w:numId w:val="1"/>
        </w:numPr>
        <w:spacing w:after="40" w:before="40"/>
      </w:pPr>
      <w:r>
        <w:rPr>
          <w:b/>
          <w:bCs/>
          <w:color w:val="1A1A1A"/>
          <w:sz w:val="20"/>
          <w:szCs w:val="20"/>
        </w:rPr>
        <w:t xml:space="preserve">Grounding metric is lexical only: </w:t>
      </w:r>
      <w:r>
        <w:rPr>
          <w:color w:val="1A1A1A"/>
          <w:sz w:val="20"/>
          <w:szCs w:val="20"/>
        </w:rPr>
        <w:t xml:space="preserve">TF-IDF measures word overlap, not semantic meaning. A report that accurately paraphrases user content without verbatim overlap may receive a misleadingly low grounding score.</w:t>
      </w:r>
    </w:p>
    <w:p>
      <w:pPr>
        <w:pStyle w:val="ListParagraph"/>
        <w:numPr>
          <w:ilvl w:val="0"/>
          <w:numId w:val="1"/>
        </w:numPr>
        <w:spacing w:after="40" w:before="40"/>
      </w:pPr>
      <w:r>
        <w:rPr>
          <w:b/>
          <w:bCs/>
          <w:color w:val="1A1A1A"/>
          <w:sz w:val="20"/>
          <w:szCs w:val="20"/>
        </w:rPr>
        <w:t xml:space="preserve">Multilingual support is limited: </w:t>
      </w:r>
      <w:r>
        <w:rPr>
          <w:color w:val="1A1A1A"/>
          <w:sz w:val="20"/>
          <w:szCs w:val="20"/>
        </w:rPr>
        <w:t xml:space="preserve">The semantic sufficiency checker (regex \b[a-z]{3,}\b) returns no matches for non-Latin scripts and bypasses those inputs without assessment. This is a known gap for Arabic and other scripts present in the target population.</w:t>
      </w:r>
    </w:p>
    <w:p>
      <w:pPr>
        <w:spacing w:after="0" w:before="80"/>
      </w:pPr>
    </w:p>
    <w:p>
      <w:pPr>
        <w:pStyle w:val="Heading2"/>
        <w:spacing w:after="80" w:before="240"/>
      </w:pPr>
      <w:r>
        <w:t xml:space="preserve">3.6  Future Evaluation Roadmap  [ 🔵 Planned ]</w:t>
      </w:r>
    </w:p>
    <w:p>
      <w:pPr>
        <w:pStyle w:val="ListParagraph"/>
        <w:numPr>
          <w:ilvl w:val="0"/>
          <w:numId w:val="1"/>
        </w:numPr>
        <w:spacing w:after="40" w:before="40"/>
      </w:pPr>
      <w:r>
        <w:rPr>
          <w:b/>
          <w:bCs/>
          <w:color w:val="1A1A1A"/>
          <w:sz w:val="20"/>
          <w:szCs w:val="20"/>
        </w:rPr>
        <w:t xml:space="preserve">Held-out evaluation: </w:t>
      </w:r>
      <w:r>
        <w:rPr>
          <w:color w:val="1A1A1A"/>
          <w:sz w:val="20"/>
          <w:szCs w:val="20"/>
        </w:rPr>
        <w:t xml:space="preserve">Run the full pipeline on the Dreaddit test split (n = 324) and GoEmotions anxiety-relevant test split (n = 2,757). Compute precision, recall, F1, and AUC against ground-truth labels.</w:t>
      </w:r>
    </w:p>
    <w:p>
      <w:pPr>
        <w:pStyle w:val="ListParagraph"/>
        <w:numPr>
          <w:ilvl w:val="0"/>
          <w:numId w:val="1"/>
        </w:numPr>
        <w:spacing w:after="40" w:before="40"/>
      </w:pPr>
      <w:r>
        <w:rPr>
          <w:b/>
          <w:bCs/>
          <w:color w:val="1A1A1A"/>
          <w:sz w:val="20"/>
          <w:szCs w:val="20"/>
        </w:rPr>
        <w:t xml:space="preserve">Threshold re-calibration: </w:t>
      </w:r>
      <w:r>
        <w:rPr>
          <w:color w:val="1A1A1A"/>
          <w:sz w:val="20"/>
          <w:szCs w:val="20"/>
        </w:rPr>
        <w:t xml:space="preserve">Re-calibrate SUPPORTED_THRESHOLD and PARTIAL_THRESHOLD using results from held-out evaluation, with statistical justification.</w:t>
      </w:r>
    </w:p>
    <w:p>
      <w:pPr>
        <w:pStyle w:val="ListParagraph"/>
        <w:numPr>
          <w:ilvl w:val="0"/>
          <w:numId w:val="1"/>
        </w:numPr>
        <w:spacing w:after="40" w:before="40"/>
      </w:pPr>
      <w:r>
        <w:rPr>
          <w:b/>
          <w:bCs/>
          <w:color w:val="1A1A1A"/>
          <w:sz w:val="20"/>
          <w:szCs w:val="20"/>
        </w:rPr>
        <w:t xml:space="preserve">Clinician review study: </w:t>
      </w:r>
      <w:r>
        <w:rPr>
          <w:color w:val="1A1A1A"/>
          <w:sz w:val="20"/>
          <w:szCs w:val="20"/>
        </w:rPr>
        <w:t xml:space="preserve">Recruit 2–3 licensed mental health professionals to review a set of anonymised pipeline-generated reports and rate clinical appropriateness, accuracy, and safety.</w:t>
      </w:r>
    </w:p>
    <w:p>
      <w:pPr>
        <w:pStyle w:val="ListParagraph"/>
        <w:numPr>
          <w:ilvl w:val="0"/>
          <w:numId w:val="1"/>
        </w:numPr>
        <w:spacing w:after="40" w:before="40"/>
      </w:pPr>
      <w:r>
        <w:rPr>
          <w:b/>
          <w:bCs/>
          <w:color w:val="1A1A1A"/>
          <w:sz w:val="20"/>
          <w:szCs w:val="20"/>
        </w:rPr>
        <w:t xml:space="preserve">GAD-7-scored dataset: </w:t>
      </w:r>
      <w:r>
        <w:rPr>
          <w:color w:val="1A1A1A"/>
          <w:sz w:val="20"/>
          <w:szCs w:val="20"/>
        </w:rPr>
        <w:t xml:space="preserve">If access is obtained, evaluate GAD-7 score accuracy against clinical ground-truth scores. This dataset has not been identified or requested yet and is contingent on supervisor guidance.</w:t>
      </w:r>
    </w:p>
    <w:p>
      <w:pPr>
        <w:pStyle w:val="ListParagraph"/>
        <w:numPr>
          <w:ilvl w:val="0"/>
          <w:numId w:val="1"/>
        </w:numPr>
        <w:spacing w:after="40" w:before="40"/>
      </w:pPr>
      <w:r>
        <w:rPr>
          <w:b/>
          <w:bCs/>
          <w:color w:val="1A1A1A"/>
          <w:sz w:val="20"/>
          <w:szCs w:val="20"/>
        </w:rPr>
        <w:t xml:space="preserve">Semantic grounding metric: </w:t>
      </w:r>
      <w:r>
        <w:rPr>
          <w:color w:val="1A1A1A"/>
          <w:sz w:val="20"/>
          <w:szCs w:val="20"/>
        </w:rPr>
        <w:t xml:space="preserve">Add an embedding-based grounding metric as a Mastra-side workflow step, using the fastembed model already loaded in the Mastra process, to complement the TF-IDF metric.</w:t>
      </w:r>
    </w:p>
    <w:p>
      <w:pPr>
        <w:pStyle w:val="ListParagraph"/>
        <w:numPr>
          <w:ilvl w:val="0"/>
          <w:numId w:val="1"/>
        </w:numPr>
        <w:spacing w:after="40" w:before="40"/>
      </w:pPr>
      <w:r>
        <w:rPr>
          <w:b/>
          <w:bCs/>
          <w:color w:val="1A1A1A"/>
          <w:sz w:val="20"/>
          <w:szCs w:val="20"/>
        </w:rPr>
        <w:t xml:space="preserve">Novelty comparison: </w:t>
      </w:r>
      <w:r>
        <w:rPr>
          <w:color w:val="1A1A1A"/>
          <w:sz w:val="20"/>
          <w:szCs w:val="20"/>
        </w:rPr>
        <w:t xml:space="preserve">Formally compare AnxioSense output quality against EmoScan (Liu et al., 2025) and Celia (García-Méndez et al., 2026) on equivalent inputs to establish relative contribution.</w:t>
      </w:r>
    </w:p>
    <w:p>
      <w:pPr>
        <w:spacing w:after="0" w:before="200"/>
      </w:pPr>
    </w:p>
    <w:p>
      <w:pPr>
        <w:spacing w:after="0" w:before="0"/>
      </w:pPr>
      <w:r>
        <w:br w:type="page"/>
      </w:r>
    </w:p>
    <w:p>
      <w:pPr>
        <w:pStyle w:val="Heading1"/>
        <w:pBdr>
          <w:bottom w:val="thick" w:color="2E75B6" w:sz="12"/>
        </w:pBdr>
        <w:spacing w:after="120" w:before="360"/>
      </w:pPr>
      <w:r>
        <w:t xml:space="preserve">4. Component–Literature Mapping (Quick Reference)</w:t>
      </w:r>
    </w:p>
    <w:p>
      <w:pPr>
        <w:spacing w:after="80" w:before="60"/>
      </w:pPr>
      <w:r>
        <w:rPr>
          <w:color w:val="1A1A1A"/>
          <w:sz w:val="20"/>
          <w:szCs w:val="20"/>
        </w:rPr>
        <w:t xml:space="preserve">This table maps every major AnxioSense component to its literary or empirical basis. Items labelled ✅ are currently implemented; items labelled 🔵 are planned.</w:t>
      </w:r>
    </w:p>
    <w:p>
      <w:pPr>
        <w:spacing w:after="0" w:before="80"/>
      </w:pPr>
    </w:p>
    <w:tbl>
      <w:tblPr>
        <w:tblW w:type="dxa" w:w="8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400"/>
        <w:gridCol w:w="3600"/>
      </w:tblGrid>
      <w:tr>
        <w:trPr>
          <w:tblHeader/>
        </w:trPr>
        <w:tc>
          <w:tcPr>
            <w:tcW w:type="dxa" w:w="2600"/>
            <w:tcBorders>
              <w:top w:val="single" w:color="AAAAAA" w:sz="4"/>
              <w:left w:val="single" w:color="AAAAAA" w:sz="4"/>
              <w:bottom w:val="single" w:color="AAAAAA" w:sz="4"/>
              <w:right w:val="single" w:color="AAAAAA" w:sz="4"/>
            </w:tcBorders>
            <w:shd w:fill="1F3864" w:color="auto" w:val="clear"/>
            <w:tcMar>
              <w:top w:type="dxa" w:w="60"/>
              <w:left w:type="dxa" w:w="80"/>
              <w:bottom w:type="dxa" w:w="60"/>
              <w:right w:type="dxa" w:w="80"/>
            </w:tcMar>
          </w:tcPr>
          <w:p>
            <w:pPr>
              <w:spacing w:after="50" w:before="50"/>
            </w:pPr>
            <w:r>
              <w:rPr>
                <w:b/>
                <w:bCs/>
                <w:color w:val="FFFFFF"/>
                <w:sz w:val="18"/>
                <w:szCs w:val="18"/>
              </w:rPr>
              <w:t xml:space="preserve">Component</w:t>
            </w:r>
          </w:p>
        </w:tc>
        <w:tc>
          <w:tcPr>
            <w:tcW w:type="dxa" w:w="2400"/>
            <w:tcBorders>
              <w:top w:val="single" w:color="AAAAAA" w:sz="4"/>
              <w:left w:val="single" w:color="AAAAAA" w:sz="4"/>
              <w:bottom w:val="single" w:color="AAAAAA" w:sz="4"/>
              <w:right w:val="single" w:color="AAAAAA" w:sz="4"/>
            </w:tcBorders>
            <w:shd w:fill="1F3864" w:color="auto" w:val="clear"/>
            <w:tcMar>
              <w:top w:type="dxa" w:w="60"/>
              <w:left w:type="dxa" w:w="80"/>
              <w:bottom w:type="dxa" w:w="60"/>
              <w:right w:type="dxa" w:w="80"/>
            </w:tcMar>
          </w:tcPr>
          <w:p>
            <w:pPr>
              <w:spacing w:after="50" w:before="50"/>
            </w:pPr>
            <w:r>
              <w:rPr>
                <w:b/>
                <w:bCs/>
                <w:color w:val="FFFFFF"/>
                <w:sz w:val="18"/>
                <w:szCs w:val="18"/>
              </w:rPr>
              <w:t xml:space="preserve">Based On</w:t>
            </w:r>
          </w:p>
        </w:tc>
        <w:tc>
          <w:tcPr>
            <w:tcW w:type="dxa" w:w="3600"/>
            <w:tcBorders>
              <w:top w:val="single" w:color="AAAAAA" w:sz="4"/>
              <w:left w:val="single" w:color="AAAAAA" w:sz="4"/>
              <w:bottom w:val="single" w:color="AAAAAA" w:sz="4"/>
              <w:right w:val="single" w:color="AAAAAA" w:sz="4"/>
            </w:tcBorders>
            <w:shd w:fill="1F3864" w:color="auto" w:val="clear"/>
            <w:tcMar>
              <w:top w:type="dxa" w:w="60"/>
              <w:left w:type="dxa" w:w="80"/>
              <w:bottom w:type="dxa" w:w="60"/>
              <w:right w:type="dxa" w:w="80"/>
            </w:tcMar>
          </w:tcPr>
          <w:p>
            <w:pPr>
              <w:spacing w:after="50" w:before="50"/>
            </w:pPr>
            <w:r>
              <w:rPr>
                <w:b/>
                <w:bCs/>
                <w:color w:val="FFFFFF"/>
                <w:sz w:val="18"/>
                <w:szCs w:val="18"/>
              </w:rPr>
              <w:t xml:space="preserve">Status + Evidence</w:t>
            </w:r>
          </w:p>
        </w:tc>
      </w:tr>
      <w:tr>
        <w:trPr>
          <w:tblHeader w:val="false"/>
        </w:trPr>
        <w:tc>
          <w:tcPr>
            <w:tcW w:type="dxa" w:w="26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Multi-agent pipeline (5 active agents)</w:t>
            </w:r>
          </w:p>
        </w:tc>
        <w:tc>
          <w:tcPr>
            <w:tcW w:type="dxa" w:w="24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Sharma et al. (2026); He et al. (2025)</w:t>
            </w:r>
          </w:p>
        </w:tc>
        <w:tc>
          <w:tcPr>
            <w:tcW w:type="dxa" w:w="36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  Task decomposition + role specialisation outperform single-model approaches.</w:t>
            </w:r>
          </w:p>
        </w:tc>
      </w:tr>
      <w:tr>
        <w:trPr>
          <w:tblHeader w:val="false"/>
        </w:trPr>
        <w:tc>
          <w:tcPr>
            <w:tcW w:type="dxa" w:w="26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emotion-agent (GoEmotions taxonomy)</w:t>
            </w:r>
          </w:p>
        </w:tc>
        <w:tc>
          <w:tcPr>
            <w:tcW w:type="dxa" w:w="24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Liu et al. (2025) — EmoScan;
Demszky et al. (2020) — GoEmotions</w:t>
            </w:r>
          </w:p>
        </w:tc>
        <w:tc>
          <w:tcPr>
            <w:tcW w:type="dxa" w:w="36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  Emotion-first two-agent screening; 28-class taxonomy provides principled label set.</w:t>
            </w:r>
          </w:p>
        </w:tc>
      </w:tr>
      <w:tr>
        <w:trPr>
          <w:tblHeader w:val="false"/>
        </w:trPr>
        <w:tc>
          <w:tcPr>
            <w:tcW w:type="dxa" w:w="26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symptom-agent (GAD-7 symptom extraction)</w:t>
            </w:r>
          </w:p>
        </w:tc>
        <w:tc>
          <w:tcPr>
            <w:tcW w:type="dxa" w:w="24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Xu et al. (2025);
Spitzer et al. (2006)</w:t>
            </w:r>
          </w:p>
        </w:tc>
        <w:tc>
          <w:tcPr>
            <w:tcW w:type="dxa" w:w="36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  LLM-as-feature-extractor outperforms direct classification; published GAD-7 bands used for severity.</w:t>
            </w:r>
          </w:p>
        </w:tc>
      </w:tr>
      <w:tr>
        <w:trPr>
          <w:tblHeader w:val="false"/>
        </w:trPr>
        <w:tc>
          <w:tcPr>
            <w:tcW w:type="dxa" w:w="26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context-agent</w:t>
            </w:r>
          </w:p>
        </w:tc>
        <w:tc>
          <w:tcPr>
            <w:tcW w:type="dxa" w:w="24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Wright-Berryman et al. (2023)</w:t>
            </w:r>
          </w:p>
        </w:tc>
        <w:tc>
          <w:tcPr>
            <w:tcW w:type="dxa" w:w="36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  Open-ended text yielded AUC 0.74 for anxiety; richer than fixed questionnaire items.</w:t>
            </w:r>
          </w:p>
        </w:tc>
      </w:tr>
      <w:tr>
        <w:trPr>
          <w:tblHeader w:val="false"/>
        </w:trPr>
        <w:tc>
          <w:tcPr>
            <w:tcW w:type="dxa" w:w="26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RAG pipeline
(ICD-11 / DSM-5 / GAD-7 KB)</w:t>
            </w:r>
          </w:p>
        </w:tc>
        <w:tc>
          <w:tcPr>
            <w:tcW w:type="dxa" w:w="24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Ravenda et al. (2025) — ACL;
Ge et al. (2025)</w:t>
            </w:r>
          </w:p>
        </w:tc>
        <w:tc>
          <w:tcPr>
            <w:tcW w:type="dxa" w:w="36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  Adaptive RAG with psychometrically grounded KB improved performance and interpretability.</w:t>
            </w:r>
          </w:p>
        </w:tc>
      </w:tr>
      <w:tr>
        <w:trPr>
          <w:tblHeader w:val="false"/>
        </w:trPr>
        <w:tc>
          <w:tcPr>
            <w:tcW w:type="dxa" w:w="26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referral-agent (low / moderate / urgent)</w:t>
            </w:r>
          </w:p>
        </w:tc>
        <w:tc>
          <w:tcPr>
            <w:tcW w:type="dxa" w:w="24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Sharma et al. (2026)</w:t>
            </w:r>
          </w:p>
        </w:tc>
        <w:tc>
          <w:tcPr>
            <w:tcW w:type="dxa" w:w="36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  Responsible AI psychiatry requires tiered referral; human oversight preserved.</w:t>
            </w:r>
          </w:p>
        </w:tc>
      </w:tr>
      <w:tr>
        <w:trPr>
          <w:tblHeader w:val="false"/>
        </w:trPr>
        <w:tc>
          <w:tcPr>
            <w:tcW w:type="dxa" w:w="26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report-agent (explainability + KB citation)</w:t>
            </w:r>
          </w:p>
        </w:tc>
        <w:tc>
          <w:tcPr>
            <w:tcW w:type="dxa" w:w="24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García-Méndez et al. (2026) — Celia;
Liu et al. (2025) — EmoScan</w:t>
            </w:r>
          </w:p>
        </w:tc>
        <w:tc>
          <w:tcPr>
            <w:tcW w:type="dxa" w:w="36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  Explainability mechanisms improve clinician trust; KB chunk IDs and cosine scores cited in reports.</w:t>
            </w:r>
          </w:p>
        </w:tc>
      </w:tr>
      <w:tr>
        <w:trPr>
          <w:tblHeader w:val="false"/>
        </w:trPr>
        <w:tc>
          <w:tcPr>
            <w:tcW w:type="dxa" w:w="26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evidence-validation-step
(thresholds: supported ≥ 0.72, partial ≥ 0.55)</w:t>
            </w:r>
          </w:p>
        </w:tc>
        <w:tc>
          <w:tcPr>
            <w:tcW w:type="dxa" w:w="24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Zeng et al. (2025); Sun et al. (2026);
Empirical (n = 5 baseline)</w:t>
            </w:r>
          </w:p>
        </w:tc>
        <w:tc>
          <w:tcPr>
            <w:tcW w:type="dxa" w:w="36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  Validation improved output quality 43.2% → 70.7%. Thresholds provisional (n = 5).</w:t>
            </w:r>
          </w:p>
        </w:tc>
      </w:tr>
      <w:tr>
        <w:trPr>
          <w:tblHeader w:val="false"/>
        </w:trPr>
        <w:tc>
          <w:tcPr>
            <w:tcW w:type="dxa" w:w="26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CoT + one-shot prompting (cot-oneshot-v1)</w:t>
            </w:r>
          </w:p>
        </w:tc>
        <w:tc>
          <w:tcPr>
            <w:tcW w:type="dxa" w:w="24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Roy et al. (2025)</w:t>
            </w:r>
          </w:p>
        </w:tc>
        <w:tc>
          <w:tcPr>
            <w:tcW w:type="dxa" w:w="36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  Few-shot prompting substantially improved diagnostic consistency across all LLMs tested.</w:t>
            </w:r>
          </w:p>
        </w:tc>
      </w:tr>
      <w:tr>
        <w:trPr>
          <w:tblHeader w:val="false"/>
        </w:trPr>
        <w:tc>
          <w:tcPr>
            <w:tcW w:type="dxa" w:w="26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GAD-7 severity bands</w:t>
            </w:r>
          </w:p>
        </w:tc>
        <w:tc>
          <w:tcPr>
            <w:tcW w:type="dxa" w:w="24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Spitzer, Kroenke, Williams &amp; Löwe (2006)</w:t>
            </w:r>
          </w:p>
        </w:tc>
        <w:tc>
          <w:tcPr>
            <w:tcW w:type="dxa" w:w="36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  Published validated cutoffs: Minimal 0–4, Mild 5–9, Moderate 10–14, Severe 15–21.</w:t>
            </w:r>
          </w:p>
        </w:tc>
      </w:tr>
      <w:tr>
        <w:trPr>
          <w:tblHeader w:val="false"/>
        </w:trPr>
        <w:tc>
          <w:tcPr>
            <w:tcW w:type="dxa" w:w="26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Dreaddit (evaluation dataset)</w:t>
            </w:r>
          </w:p>
        </w:tc>
        <w:tc>
          <w:tcPr>
            <w:tcW w:type="dxa" w:w="24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Turcan &amp; McKeown (2019)</w:t>
            </w:r>
          </w:p>
        </w:tc>
        <w:tc>
          <w:tcPr>
            <w:tcW w:type="dxa" w:w="36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  1,531 anxiety-relevant posts (train: 1,207; test: 324). Binary labels. Held-out test evaluation pending.</w:t>
            </w:r>
          </w:p>
        </w:tc>
      </w:tr>
      <w:tr>
        <w:trPr>
          <w:tblHeader w:val="false"/>
        </w:trPr>
        <w:tc>
          <w:tcPr>
            <w:tcW w:type="dxa" w:w="26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GoEmotions (evaluation dataset)</w:t>
            </w:r>
          </w:p>
        </w:tc>
        <w:tc>
          <w:tcPr>
            <w:tcW w:type="dxa" w:w="24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Demszky et al. (2020)</w:t>
            </w:r>
          </w:p>
        </w:tc>
        <w:tc>
          <w:tcPr>
            <w:tcW w:type="dxa" w:w="36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  27,647-comment anxiety subset. Informs emotion-agent taxonomy. Formal evaluation pending.</w:t>
            </w:r>
          </w:p>
        </w:tc>
      </w:tr>
      <w:tr>
        <w:trPr>
          <w:tblHeader w:val="false"/>
        </w:trPr>
        <w:tc>
          <w:tcPr>
            <w:tcW w:type="dxa" w:w="26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Formal held-out evaluation</w:t>
            </w:r>
          </w:p>
        </w:tc>
        <w:tc>
          <w:tcPr>
            <w:tcW w:type="dxa" w:w="24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Dreaddit test split; GoEmotions test split</w:t>
            </w:r>
          </w:p>
        </w:tc>
        <w:tc>
          <w:tcPr>
            <w:tcW w:type="dxa" w:w="36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  Planned. Data available; evaluation not yet run.</w:t>
            </w:r>
          </w:p>
        </w:tc>
      </w:tr>
      <w:tr>
        <w:trPr>
          <w:tblHeader w:val="false"/>
        </w:trPr>
        <w:tc>
          <w:tcPr>
            <w:tcW w:type="dxa" w:w="26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Clinical validation</w:t>
            </w:r>
          </w:p>
        </w:tc>
        <w:tc>
          <w:tcPr>
            <w:tcW w:type="dxa" w:w="24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Sharma et al. (2026); Roy et al. (2025)</w:t>
            </w:r>
          </w:p>
        </w:tc>
        <w:tc>
          <w:tcPr>
            <w:tcW w:type="dxa" w:w="36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  Planned. Clinician review study not yet conducted.</w:t>
            </w:r>
          </w:p>
        </w:tc>
      </w:tr>
      <w:tr>
        <w:trPr>
          <w:tblHeader w:val="false"/>
        </w:trPr>
        <w:tc>
          <w:tcPr>
            <w:tcW w:type="dxa" w:w="26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GAD-7-scored clinical dataset</w:t>
            </w:r>
          </w:p>
        </w:tc>
        <w:tc>
          <w:tcPr>
            <w:tcW w:type="dxa" w:w="24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To be identified</w:t>
            </w:r>
          </w:p>
        </w:tc>
        <w:tc>
          <w:tcPr>
            <w:tcW w:type="dxa" w:w="36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  Planned, subject to supervisor guidance and data access.</w:t>
            </w:r>
          </w:p>
        </w:tc>
      </w:tr>
      <w:tr>
        <w:trPr>
          <w:tblHeader w:val="false"/>
        </w:trPr>
        <w:tc>
          <w:tcPr>
            <w:tcW w:type="dxa" w:w="26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Novelty comparison vs. EmoScan, Celia</w:t>
            </w:r>
          </w:p>
        </w:tc>
        <w:tc>
          <w:tcPr>
            <w:tcW w:type="dxa" w:w="24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Liu et al. (2025); García-Méndez et al. (2026)</w:t>
            </w:r>
          </w:p>
        </w:tc>
        <w:tc>
          <w:tcPr>
            <w:tcW w:type="dxa" w:w="3600"/>
            <w:tcBorders>
              <w:top w:val="single" w:color="AAAAAA" w:sz="4"/>
              <w:left w:val="single" w:color="AAAAAA" w:sz="4"/>
              <w:bottom w:val="single" w:color="AAAAAA" w:sz="4"/>
              <w:right w:val="single" w:color="AAAAAA" w:sz="4"/>
            </w:tcBorders>
            <w:shd w:fill="FFFFFF" w:color="auto" w:val="clear"/>
            <w:tcMar>
              <w:top w:type="dxa" w:w="60"/>
              <w:left w:type="dxa" w:w="80"/>
              <w:bottom w:type="dxa" w:w="60"/>
              <w:right w:type="dxa" w:w="80"/>
            </w:tcMar>
          </w:tcPr>
          <w:p>
            <w:pPr>
              <w:spacing w:after="50" w:before="50"/>
            </w:pPr>
            <w:r>
              <w:rPr>
                <w:b w:val="false"/>
                <w:bCs w:val="false"/>
                <w:color w:val="1A1A1A"/>
                <w:sz w:val="18"/>
                <w:szCs w:val="18"/>
              </w:rPr>
              <w:t xml:space="preserve">🔵  Planned. No formal comparison run yet.</w:t>
            </w:r>
          </w:p>
        </w:tc>
      </w:tr>
    </w:tbl>
    <w:p>
      <w:pPr>
        <w:spacing w:after="0" w:before="200"/>
      </w:pPr>
    </w:p>
    <w:p>
      <w:pPr>
        <w:spacing w:after="0" w:before="0"/>
      </w:pPr>
      <w:r>
        <w:br w:type="page"/>
      </w:r>
    </w:p>
    <w:p>
      <w:pPr>
        <w:pStyle w:val="Heading1"/>
        <w:pBdr>
          <w:bottom w:val="thick" w:color="2E75B6" w:sz="12"/>
        </w:pBdr>
        <w:spacing w:after="120" w:before="360"/>
      </w:pPr>
      <w:r>
        <w:t xml:space="preserve">5. Outstanding Items Requested by Supervisors</w:t>
      </w:r>
    </w:p>
    <w:p>
      <w:pPr>
        <w:spacing w:after="80" w:before="60"/>
      </w:pPr>
      <w:r>
        <w:rPr>
          <w:color w:val="1A1A1A"/>
          <w:sz w:val="20"/>
          <w:szCs w:val="20"/>
        </w:rPr>
        <w:t xml:space="preserve">This section tracks items that are still pending as of the supervisor meeting. Items are grouped by category. Where an item was explicitly raised by a supervisor, this is noted; others are derived from the evaluation limitations and future roadmap identified in the project.</w:t>
      </w:r>
    </w:p>
    <w:p>
      <w:pPr>
        <w:spacing w:after="0" w:before="60"/>
      </w:pPr>
    </w:p>
    <w:p>
      <w:pPr>
        <w:spacing w:after="120" w:before="60"/>
      </w:pPr>
      <w:r>
        <w:rPr>
          <w:i/>
          <w:iCs/>
          <w:color w:val="7B5800"/>
          <w:sz w:val="18"/>
          <w:szCs w:val="18"/>
        </w:rPr>
        <w:t xml:space="preserve">Note to Aya: Review this section before the meeting and add any specific requests from Prof. Alvine or Dr. Abel that are not yet reflected here. Move completed items to a separate "Completed" table.</w:t>
      </w:r>
    </w:p>
    <w:tbl>
      <w:tblPr>
        <w:tblW w:type="dxa" w:w="8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600"/>
        <w:gridCol w:w="4800"/>
      </w:tblGrid>
      <w:tr>
        <w:trPr>
          <w:tblHeader/>
        </w:trPr>
        <w:tc>
          <w:tcPr>
            <w:tcW w:type="dxa" w:w="2200"/>
            <w:tcBorders>
              <w:top w:val="single" w:color="AAAAAA" w:sz="4"/>
              <w:left w:val="single" w:color="AAAAAA" w:sz="4"/>
              <w:bottom w:val="single" w:color="AAAAAA" w:sz="4"/>
              <w:right w:val="single" w:color="AAAAAA" w:sz="4"/>
            </w:tcBorders>
            <w:shd w:fill="1F3864" w:color="auto" w:val="clear"/>
            <w:tcMar>
              <w:top w:type="dxa" w:w="60"/>
              <w:left w:type="dxa" w:w="80"/>
              <w:bottom w:type="dxa" w:w="60"/>
              <w:right w:type="dxa" w:w="80"/>
            </w:tcMar>
          </w:tcPr>
          <w:p>
            <w:pPr>
              <w:spacing w:after="50" w:before="50"/>
            </w:pPr>
            <w:r>
              <w:rPr>
                <w:b/>
                <w:bCs/>
                <w:color w:val="FFFFFF"/>
                <w:sz w:val="18"/>
                <w:szCs w:val="18"/>
              </w:rPr>
              <w:t xml:space="preserve">Item</w:t>
            </w:r>
          </w:p>
        </w:tc>
        <w:tc>
          <w:tcPr>
            <w:tcW w:type="dxa" w:w="1600"/>
            <w:tcBorders>
              <w:top w:val="single" w:color="AAAAAA" w:sz="4"/>
              <w:left w:val="single" w:color="AAAAAA" w:sz="4"/>
              <w:bottom w:val="single" w:color="AAAAAA" w:sz="4"/>
              <w:right w:val="single" w:color="AAAAAA" w:sz="4"/>
            </w:tcBorders>
            <w:shd w:fill="1F3864" w:color="auto" w:val="clear"/>
            <w:tcMar>
              <w:top w:type="dxa" w:w="60"/>
              <w:left w:type="dxa" w:w="80"/>
              <w:bottom w:type="dxa" w:w="60"/>
              <w:right w:type="dxa" w:w="80"/>
            </w:tcMar>
          </w:tcPr>
          <w:p>
            <w:pPr>
              <w:spacing w:after="50" w:before="50"/>
            </w:pPr>
            <w:r>
              <w:rPr>
                <w:b/>
                <w:bCs/>
                <w:color w:val="FFFFFF"/>
                <w:sz w:val="18"/>
                <w:szCs w:val="18"/>
              </w:rPr>
              <w:t xml:space="preserve">Category</w:t>
            </w:r>
          </w:p>
        </w:tc>
        <w:tc>
          <w:tcPr>
            <w:tcW w:type="dxa" w:w="4800"/>
            <w:tcBorders>
              <w:top w:val="single" w:color="AAAAAA" w:sz="4"/>
              <w:left w:val="single" w:color="AAAAAA" w:sz="4"/>
              <w:bottom w:val="single" w:color="AAAAAA" w:sz="4"/>
              <w:right w:val="single" w:color="AAAAAA" w:sz="4"/>
            </w:tcBorders>
            <w:shd w:fill="1F3864" w:color="auto" w:val="clear"/>
            <w:tcMar>
              <w:top w:type="dxa" w:w="60"/>
              <w:left w:type="dxa" w:w="80"/>
              <w:bottom w:type="dxa" w:w="60"/>
              <w:right w:type="dxa" w:w="80"/>
            </w:tcMar>
          </w:tcPr>
          <w:p>
            <w:pPr>
              <w:spacing w:after="50" w:before="50"/>
            </w:pPr>
            <w:r>
              <w:rPr>
                <w:b/>
                <w:bCs/>
                <w:color w:val="FFFFFF"/>
                <w:sz w:val="18"/>
                <w:szCs w:val="18"/>
              </w:rPr>
              <w:t xml:space="preserve">Current Status</w:t>
            </w:r>
          </w:p>
        </w:tc>
      </w:tr>
      <w:tr>
        <w:tc>
          <w:tcPr>
            <w:tcW w:type="dxa" w:w="22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color w:val="1A1A1A"/>
                <w:sz w:val="17"/>
                <w:szCs w:val="17"/>
              </w:rPr>
              <w:t xml:space="preserve">Formal held-out evaluation</w:t>
            </w:r>
          </w:p>
        </w:tc>
        <w:tc>
          <w:tcPr>
            <w:tcW w:type="dxa" w:w="16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color w:val="1A1A1A"/>
                <w:sz w:val="17"/>
                <w:szCs w:val="17"/>
              </w:rPr>
              <w:t xml:space="preserve">Evaluation</w:t>
            </w:r>
          </w:p>
        </w:tc>
        <w:tc>
          <w:tcPr>
            <w:tcW w:type="dxa" w:w="48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color w:val="1A1A1A"/>
                <w:sz w:val="17"/>
                <w:szCs w:val="17"/>
              </w:rPr>
              <w:t xml:space="preserve">Dreaddit test split (n = 324) and GoEmotions test split (n = 2,757) exist but have not been used for systematic end-to-end evaluation. Metrics (precision, recall, F1, AUC) not yet computed.</w:t>
            </w:r>
          </w:p>
        </w:tc>
      </w:tr>
      <w:tr>
        <w:tc>
          <w:tcPr>
            <w:tcW w:type="dxa" w:w="2200"/>
            <w:tcBorders>
              <w:top w:val="single" w:color="AAAAAA" w:sz="4"/>
              <w:left w:val="single" w:color="AAAAAA" w:sz="4"/>
              <w:bottom w:val="single" w:color="AAAAAA" w:sz="4"/>
              <w:right w:val="single" w:color="AAAAAA" w:sz="4"/>
            </w:tcBorders>
            <w:shd w:fill="F2F2F2" w:color="auto" w:val="clear"/>
            <w:tcMar>
              <w:top w:type="dxa" w:w="50"/>
              <w:left w:type="dxa" w:w="70"/>
              <w:bottom w:type="dxa" w:w="50"/>
              <w:right w:type="dxa" w:w="70"/>
            </w:tcMar>
          </w:tcPr>
          <w:p>
            <w:pPr>
              <w:spacing w:after="40" w:before="40"/>
            </w:pPr>
            <w:r>
              <w:rPr>
                <w:color w:val="1A1A1A"/>
                <w:sz w:val="17"/>
                <w:szCs w:val="17"/>
              </w:rPr>
              <w:t xml:space="preserve">Additional evaluation datasets with GAD-7 ground truth</w:t>
            </w:r>
          </w:p>
        </w:tc>
        <w:tc>
          <w:tcPr>
            <w:tcW w:type="dxa" w:w="1600"/>
            <w:tcBorders>
              <w:top w:val="single" w:color="AAAAAA" w:sz="4"/>
              <w:left w:val="single" w:color="AAAAAA" w:sz="4"/>
              <w:bottom w:val="single" w:color="AAAAAA" w:sz="4"/>
              <w:right w:val="single" w:color="AAAAAA" w:sz="4"/>
            </w:tcBorders>
            <w:shd w:fill="F2F2F2" w:color="auto" w:val="clear"/>
            <w:tcMar>
              <w:top w:type="dxa" w:w="50"/>
              <w:left w:type="dxa" w:w="70"/>
              <w:bottom w:type="dxa" w:w="50"/>
              <w:right w:type="dxa" w:w="70"/>
            </w:tcMar>
          </w:tcPr>
          <w:p>
            <w:pPr>
              <w:spacing w:after="40" w:before="40"/>
            </w:pPr>
            <w:r>
              <w:rPr>
                <w:color w:val="1A1A1A"/>
                <w:sz w:val="17"/>
                <w:szCs w:val="17"/>
              </w:rPr>
              <w:t xml:space="preserve">Datasets</w:t>
            </w:r>
          </w:p>
        </w:tc>
        <w:tc>
          <w:tcPr>
            <w:tcW w:type="dxa" w:w="4800"/>
            <w:tcBorders>
              <w:top w:val="single" w:color="AAAAAA" w:sz="4"/>
              <w:left w:val="single" w:color="AAAAAA" w:sz="4"/>
              <w:bottom w:val="single" w:color="AAAAAA" w:sz="4"/>
              <w:right w:val="single" w:color="AAAAAA" w:sz="4"/>
            </w:tcBorders>
            <w:shd w:fill="F2F2F2" w:color="auto" w:val="clear"/>
            <w:tcMar>
              <w:top w:type="dxa" w:w="50"/>
              <w:left w:type="dxa" w:w="70"/>
              <w:bottom w:type="dxa" w:w="50"/>
              <w:right w:type="dxa" w:w="70"/>
            </w:tcMar>
          </w:tcPr>
          <w:p>
            <w:pPr>
              <w:spacing w:after="40" w:before="40"/>
            </w:pPr>
            <w:r>
              <w:rPr>
                <w:color w:val="1A1A1A"/>
                <w:sz w:val="17"/>
                <w:szCs w:val="17"/>
              </w:rPr>
              <w:t xml:space="preserve">No dataset with validated GAD-7 scores has been identified or requested. Contingent on supervisor recommendation. Add to Section 1.4 once requested.</w:t>
            </w:r>
          </w:p>
        </w:tc>
      </w:tr>
      <w:tr>
        <w:tc>
          <w:tcPr>
            <w:tcW w:type="dxa" w:w="22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color w:val="1A1A1A"/>
                <w:sz w:val="17"/>
                <w:szCs w:val="17"/>
              </w:rPr>
              <w:t xml:space="preserve">Clinical validation by licensed clinicians</w:t>
            </w:r>
          </w:p>
        </w:tc>
        <w:tc>
          <w:tcPr>
            <w:tcW w:type="dxa" w:w="16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color w:val="1A1A1A"/>
                <w:sz w:val="17"/>
                <w:szCs w:val="17"/>
              </w:rPr>
              <w:t xml:space="preserve">Validation</w:t>
            </w:r>
          </w:p>
        </w:tc>
        <w:tc>
          <w:tcPr>
            <w:tcW w:type="dxa" w:w="48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color w:val="1A1A1A"/>
                <w:sz w:val="17"/>
                <w:szCs w:val="17"/>
              </w:rPr>
              <w:t xml:space="preserve">No clinician review has been conducted. A review study (2–3 clinicians, 10–20 anonymised reports) is planned but not yet arranged.</w:t>
            </w:r>
          </w:p>
        </w:tc>
      </w:tr>
      <w:tr>
        <w:tc>
          <w:tcPr>
            <w:tcW w:type="dxa" w:w="2200"/>
            <w:tcBorders>
              <w:top w:val="single" w:color="AAAAAA" w:sz="4"/>
              <w:left w:val="single" w:color="AAAAAA" w:sz="4"/>
              <w:bottom w:val="single" w:color="AAAAAA" w:sz="4"/>
              <w:right w:val="single" w:color="AAAAAA" w:sz="4"/>
            </w:tcBorders>
            <w:shd w:fill="F2F2F2" w:color="auto" w:val="clear"/>
            <w:tcMar>
              <w:top w:type="dxa" w:w="50"/>
              <w:left w:type="dxa" w:w="70"/>
              <w:bottom w:type="dxa" w:w="50"/>
              <w:right w:type="dxa" w:w="70"/>
            </w:tcMar>
          </w:tcPr>
          <w:p>
            <w:pPr>
              <w:spacing w:after="40" w:before="40"/>
            </w:pPr>
            <w:r>
              <w:rPr>
                <w:color w:val="1A1A1A"/>
                <w:sz w:val="17"/>
                <w:szCs w:val="17"/>
              </w:rPr>
              <w:t xml:space="preserve">Novelty comparison vs. existing systems</w:t>
            </w:r>
          </w:p>
        </w:tc>
        <w:tc>
          <w:tcPr>
            <w:tcW w:type="dxa" w:w="1600"/>
            <w:tcBorders>
              <w:top w:val="single" w:color="AAAAAA" w:sz="4"/>
              <w:left w:val="single" w:color="AAAAAA" w:sz="4"/>
              <w:bottom w:val="single" w:color="AAAAAA" w:sz="4"/>
              <w:right w:val="single" w:color="AAAAAA" w:sz="4"/>
            </w:tcBorders>
            <w:shd w:fill="F2F2F2" w:color="auto" w:val="clear"/>
            <w:tcMar>
              <w:top w:type="dxa" w:w="50"/>
              <w:left w:type="dxa" w:w="70"/>
              <w:bottom w:type="dxa" w:w="50"/>
              <w:right w:type="dxa" w:w="70"/>
            </w:tcMar>
          </w:tcPr>
          <w:p>
            <w:pPr>
              <w:spacing w:after="40" w:before="40"/>
            </w:pPr>
            <w:r>
              <w:rPr>
                <w:color w:val="1A1A1A"/>
                <w:sz w:val="17"/>
                <w:szCs w:val="17"/>
              </w:rPr>
              <w:t xml:space="preserve">Research Contribution</w:t>
            </w:r>
          </w:p>
        </w:tc>
        <w:tc>
          <w:tcPr>
            <w:tcW w:type="dxa" w:w="4800"/>
            <w:tcBorders>
              <w:top w:val="single" w:color="AAAAAA" w:sz="4"/>
              <w:left w:val="single" w:color="AAAAAA" w:sz="4"/>
              <w:bottom w:val="single" w:color="AAAAAA" w:sz="4"/>
              <w:right w:val="single" w:color="AAAAAA" w:sz="4"/>
            </w:tcBorders>
            <w:shd w:fill="F2F2F2" w:color="auto" w:val="clear"/>
            <w:tcMar>
              <w:top w:type="dxa" w:w="50"/>
              <w:left w:type="dxa" w:w="70"/>
              <w:bottom w:type="dxa" w:w="50"/>
              <w:right w:type="dxa" w:w="70"/>
            </w:tcMar>
          </w:tcPr>
          <w:p>
            <w:pPr>
              <w:spacing w:after="40" w:before="40"/>
            </w:pPr>
            <w:r>
              <w:rPr>
                <w:color w:val="1A1A1A"/>
                <w:sz w:val="17"/>
                <w:szCs w:val="17"/>
              </w:rPr>
              <w:t xml:space="preserve">No formal comparison against EmoScan (Liu et al., 2025) or Celia (García-Méndez et al., 2026) has been performed. Positioning of AnxioSense's contribution relative to these systems is not yet quantitatively established.</w:t>
            </w:r>
          </w:p>
        </w:tc>
      </w:tr>
      <w:tr>
        <w:tc>
          <w:tcPr>
            <w:tcW w:type="dxa" w:w="22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color w:val="1A1A1A"/>
                <w:sz w:val="17"/>
                <w:szCs w:val="17"/>
              </w:rPr>
              <w:t xml:space="preserve">Stress testing and adversarial inputs</w:t>
            </w:r>
          </w:p>
        </w:tc>
        <w:tc>
          <w:tcPr>
            <w:tcW w:type="dxa" w:w="16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color w:val="1A1A1A"/>
                <w:sz w:val="17"/>
                <w:szCs w:val="17"/>
              </w:rPr>
              <w:t xml:space="preserve">Robustness</w:t>
            </w:r>
          </w:p>
        </w:tc>
        <w:tc>
          <w:tcPr>
            <w:tcW w:type="dxa" w:w="48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color w:val="1A1A1A"/>
                <w:sz w:val="17"/>
                <w:szCs w:val="17"/>
              </w:rPr>
              <w:t xml:space="preserve">Edge cases beyond the five calibration test cases have not been systematically tested. Adversarial inputs, very long texts, and texts mixing languages have not been stress-tested.</w:t>
            </w:r>
          </w:p>
        </w:tc>
      </w:tr>
      <w:tr>
        <w:tc>
          <w:tcPr>
            <w:tcW w:type="dxa" w:w="2200"/>
            <w:tcBorders>
              <w:top w:val="single" w:color="AAAAAA" w:sz="4"/>
              <w:left w:val="single" w:color="AAAAAA" w:sz="4"/>
              <w:bottom w:val="single" w:color="AAAAAA" w:sz="4"/>
              <w:right w:val="single" w:color="AAAAAA" w:sz="4"/>
            </w:tcBorders>
            <w:shd w:fill="F2F2F2" w:color="auto" w:val="clear"/>
            <w:tcMar>
              <w:top w:type="dxa" w:w="50"/>
              <w:left w:type="dxa" w:w="70"/>
              <w:bottom w:type="dxa" w:w="50"/>
              <w:right w:type="dxa" w:w="70"/>
            </w:tcMar>
          </w:tcPr>
          <w:p>
            <w:pPr>
              <w:spacing w:after="40" w:before="40"/>
            </w:pPr>
            <w:r>
              <w:rPr>
                <w:color w:val="1A1A1A"/>
                <w:sz w:val="17"/>
                <w:szCs w:val="17"/>
              </w:rPr>
              <w:t xml:space="preserve">Multilingual support</w:t>
            </w:r>
          </w:p>
        </w:tc>
        <w:tc>
          <w:tcPr>
            <w:tcW w:type="dxa" w:w="1600"/>
            <w:tcBorders>
              <w:top w:val="single" w:color="AAAAAA" w:sz="4"/>
              <w:left w:val="single" w:color="AAAAAA" w:sz="4"/>
              <w:bottom w:val="single" w:color="AAAAAA" w:sz="4"/>
              <w:right w:val="single" w:color="AAAAAA" w:sz="4"/>
            </w:tcBorders>
            <w:shd w:fill="F2F2F2" w:color="auto" w:val="clear"/>
            <w:tcMar>
              <w:top w:type="dxa" w:w="50"/>
              <w:left w:type="dxa" w:w="70"/>
              <w:bottom w:type="dxa" w:w="50"/>
              <w:right w:type="dxa" w:w="70"/>
            </w:tcMar>
          </w:tcPr>
          <w:p>
            <w:pPr>
              <w:spacing w:after="40" w:before="40"/>
            </w:pPr>
            <w:r>
              <w:rPr>
                <w:color w:val="1A1A1A"/>
                <w:sz w:val="17"/>
                <w:szCs w:val="17"/>
              </w:rPr>
              <w:t xml:space="preserve">Scope</w:t>
            </w:r>
          </w:p>
        </w:tc>
        <w:tc>
          <w:tcPr>
            <w:tcW w:type="dxa" w:w="4800"/>
            <w:tcBorders>
              <w:top w:val="single" w:color="AAAAAA" w:sz="4"/>
              <w:left w:val="single" w:color="AAAAAA" w:sz="4"/>
              <w:bottom w:val="single" w:color="AAAAAA" w:sz="4"/>
              <w:right w:val="single" w:color="AAAAAA" w:sz="4"/>
            </w:tcBorders>
            <w:shd w:fill="F2F2F2" w:color="auto" w:val="clear"/>
            <w:tcMar>
              <w:top w:type="dxa" w:w="50"/>
              <w:left w:type="dxa" w:w="70"/>
              <w:bottom w:type="dxa" w:w="50"/>
              <w:right w:type="dxa" w:w="70"/>
            </w:tcMar>
          </w:tcPr>
          <w:p>
            <w:pPr>
              <w:spacing w:after="40" w:before="40"/>
            </w:pPr>
            <w:r>
              <w:rPr>
                <w:color w:val="1A1A1A"/>
                <w:sz w:val="17"/>
                <w:szCs w:val="17"/>
              </w:rPr>
              <w:t xml:space="preserve">Non-Latin scripts (Arabic, Chinese, etc.) bypass the semantic sufficiency checker. Extension to multilingual support has not been implemented.</w:t>
            </w:r>
          </w:p>
        </w:tc>
      </w:tr>
      <w:tr>
        <w:tc>
          <w:tcPr>
            <w:tcW w:type="dxa" w:w="22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color w:val="1A1A1A"/>
                <w:sz w:val="17"/>
                <w:szCs w:val="17"/>
              </w:rPr>
              <w:t xml:space="preserve">Deployment considerations</w:t>
            </w:r>
          </w:p>
        </w:tc>
        <w:tc>
          <w:tcPr>
            <w:tcW w:type="dxa" w:w="16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color w:val="1A1A1A"/>
                <w:sz w:val="17"/>
                <w:szCs w:val="17"/>
              </w:rPr>
              <w:t xml:space="preserve">Engineering</w:t>
            </w:r>
          </w:p>
        </w:tc>
        <w:tc>
          <w:tcPr>
            <w:tcW w:type="dxa" w:w="4800"/>
            <w:tcBorders>
              <w:top w:val="single" w:color="AAAAAA" w:sz="4"/>
              <w:left w:val="single" w:color="AAAAAA" w:sz="4"/>
              <w:bottom w:val="single" w:color="AAAAAA" w:sz="4"/>
              <w:right w:val="single" w:color="AAAAAA" w:sz="4"/>
            </w:tcBorders>
            <w:shd w:fill="FFFFFF" w:color="auto" w:val="clear"/>
            <w:tcMar>
              <w:top w:type="dxa" w:w="50"/>
              <w:left w:type="dxa" w:w="70"/>
              <w:bottom w:type="dxa" w:w="50"/>
              <w:right w:type="dxa" w:w="70"/>
            </w:tcMar>
          </w:tcPr>
          <w:p>
            <w:pPr>
              <w:spacing w:after="40" w:before="40"/>
            </w:pPr>
            <w:r>
              <w:rPr>
                <w:color w:val="1A1A1A"/>
                <w:sz w:val="17"/>
                <w:szCs w:val="17"/>
              </w:rPr>
              <w:t xml:space="preserve">AnxioSense currently runs as a local prototype (Mastra port 4111 + Express port 3001 + Vite dev server). No deployment, containerisation, or scalability assessment has been performed.</w:t>
            </w:r>
          </w:p>
        </w:tc>
      </w:tr>
      <w:tr>
        <w:tc>
          <w:tcPr>
            <w:tcW w:type="dxa" w:w="2200"/>
            <w:tcBorders>
              <w:top w:val="single" w:color="AAAAAA" w:sz="4"/>
              <w:left w:val="single" w:color="AAAAAA" w:sz="4"/>
              <w:bottom w:val="single" w:color="AAAAAA" w:sz="4"/>
              <w:right w:val="single" w:color="AAAAAA" w:sz="4"/>
            </w:tcBorders>
            <w:shd w:fill="F2F2F2" w:color="auto" w:val="clear"/>
            <w:tcMar>
              <w:top w:type="dxa" w:w="50"/>
              <w:left w:type="dxa" w:w="70"/>
              <w:bottom w:type="dxa" w:w="50"/>
              <w:right w:type="dxa" w:w="70"/>
            </w:tcMar>
          </w:tcPr>
          <w:p>
            <w:pPr>
              <w:spacing w:after="40" w:before="40"/>
            </w:pPr>
            <w:r>
              <w:rPr>
                <w:color w:val="1A1A1A"/>
                <w:sz w:val="17"/>
                <w:szCs w:val="17"/>
              </w:rPr>
              <w:t xml:space="preserve">README update</w:t>
            </w:r>
          </w:p>
        </w:tc>
        <w:tc>
          <w:tcPr>
            <w:tcW w:type="dxa" w:w="1600"/>
            <w:tcBorders>
              <w:top w:val="single" w:color="AAAAAA" w:sz="4"/>
              <w:left w:val="single" w:color="AAAAAA" w:sz="4"/>
              <w:bottom w:val="single" w:color="AAAAAA" w:sz="4"/>
              <w:right w:val="single" w:color="AAAAAA" w:sz="4"/>
            </w:tcBorders>
            <w:shd w:fill="F2F2F2" w:color="auto" w:val="clear"/>
            <w:tcMar>
              <w:top w:type="dxa" w:w="50"/>
              <w:left w:type="dxa" w:w="70"/>
              <w:bottom w:type="dxa" w:w="50"/>
              <w:right w:type="dxa" w:w="70"/>
            </w:tcMar>
          </w:tcPr>
          <w:p>
            <w:pPr>
              <w:spacing w:after="40" w:before="40"/>
            </w:pPr>
            <w:r>
              <w:rPr>
                <w:color w:val="1A1A1A"/>
                <w:sz w:val="17"/>
                <w:szCs w:val="17"/>
              </w:rPr>
              <w:t xml:space="preserve">Documentation</w:t>
            </w:r>
          </w:p>
        </w:tc>
        <w:tc>
          <w:tcPr>
            <w:tcW w:type="dxa" w:w="4800"/>
            <w:tcBorders>
              <w:top w:val="single" w:color="AAAAAA" w:sz="4"/>
              <w:left w:val="single" w:color="AAAAAA" w:sz="4"/>
              <w:bottom w:val="single" w:color="AAAAAA" w:sz="4"/>
              <w:right w:val="single" w:color="AAAAAA" w:sz="4"/>
            </w:tcBorders>
            <w:shd w:fill="F2F2F2" w:color="auto" w:val="clear"/>
            <w:tcMar>
              <w:top w:type="dxa" w:w="50"/>
              <w:left w:type="dxa" w:w="70"/>
              <w:bottom w:type="dxa" w:w="50"/>
              <w:right w:type="dxa" w:w="70"/>
            </w:tcMar>
          </w:tcPr>
          <w:p>
            <w:pPr>
              <w:spacing w:after="40" w:before="40"/>
            </w:pPr>
            <w:r>
              <w:rPr>
                <w:color w:val="1A1A1A"/>
                <w:sz w:val="17"/>
                <w:szCs w:val="17"/>
              </w:rPr>
              <w:t xml:space="preserve">The README still reflects the default Mastra scaffold. It has not been updated to describe AnxioSense specifically.</w:t>
            </w:r>
          </w:p>
        </w:tc>
      </w:tr>
    </w:tbl>
    <w:p>
      <w:pPr>
        <w:spacing w:after="0" w:before="200"/>
      </w:pPr>
    </w:p>
    <w:p>
      <w:pPr>
        <w:pStyle w:val="Heading1"/>
        <w:pBdr>
          <w:bottom w:val="thick" w:color="2E75B6" w:sz="12"/>
        </w:pBdr>
        <w:spacing w:after="120" w:before="360"/>
      </w:pPr>
      <w:r>
        <w:t xml:space="preserve">6. References</w:t>
      </w:r>
    </w:p>
    <w:p>
      <w:pPr>
        <w:spacing w:after="80" w:before="60"/>
      </w:pPr>
      <w:r>
        <w:rPr>
          <w:i/>
          <w:iCs/>
          <w:color w:val="1A1A1A"/>
          <w:sz w:val="20"/>
          <w:szCs w:val="20"/>
        </w:rPr>
        <w:t xml:space="preserve">URLs verified from uploaded project materials where possible. Papers marked </w:t>
      </w:r>
      <w:r>
        <w:rPr>
          <w:i/>
          <w:iCs/>
          <w:color w:val="B8860B"/>
          <w:sz w:val="20"/>
          <w:szCs w:val="20"/>
        </w:rPr>
        <w:t xml:space="preserve">[URL not in provided materials — please verify]</w:t>
      </w:r>
      <w:r>
        <w:rPr>
          <w:i/>
          <w:iCs/>
          <w:color w:val="1A1A1A"/>
          <w:sz w:val="20"/>
          <w:szCs w:val="20"/>
        </w:rPr>
        <w:t xml:space="preserve"> could not be independently confirmed from the documents uploaded to this session.</w:t>
      </w:r>
    </w:p>
    <w:p>
      <w:pPr>
        <w:spacing w:after="0" w:before="80"/>
      </w:pPr>
    </w:p>
    <w:p>
      <w:pPr>
        <w:spacing w:after="60" w:before="60"/>
        <w:ind w:left="360" w:hanging="360"/>
      </w:pPr>
      <w:r>
        <w:rPr>
          <w:b/>
          <w:bCs/>
          <w:color w:val="1F3864"/>
          <w:sz w:val="18"/>
          <w:szCs w:val="18"/>
        </w:rPr>
        <w:t xml:space="preserve">[1]  </w:t>
      </w:r>
      <w:r>
        <w:rPr>
          <w:color w:val="1A1A1A"/>
          <w:sz w:val="18"/>
          <w:szCs w:val="18"/>
        </w:rPr>
        <w:t xml:space="preserve">Demszky, D., Movshovitz-Attias, D., Ko, J., Cowen, A., Nemade, G., &amp; Ravi, S. (2020). GoEmotions: A dataset of fine-grained emotions. </w:t>
      </w:r>
      <w:r>
        <w:rPr>
          <w:color w:val="2E75B6"/>
          <w:sz w:val="18"/>
          <w:szCs w:val="18"/>
        </w:rPr>
        <w:t xml:space="preserve">https://aclanthology.org/2020.acl-main.372</w:t>
      </w:r>
    </w:p>
    <w:p>
      <w:pPr>
        <w:spacing w:after="60" w:before="60"/>
        <w:ind w:left="360" w:hanging="360"/>
      </w:pPr>
      <w:r>
        <w:rPr>
          <w:b/>
          <w:bCs/>
          <w:color w:val="1F3864"/>
          <w:sz w:val="18"/>
          <w:szCs w:val="18"/>
        </w:rPr>
        <w:t xml:space="preserve">[2]  </w:t>
      </w:r>
      <w:r>
        <w:rPr>
          <w:color w:val="1A1A1A"/>
          <w:sz w:val="18"/>
          <w:szCs w:val="18"/>
        </w:rPr>
        <w:t xml:space="preserve">García-Méndez, S., de Arriba-Pérez, F., Beiro-Suso, J., &amp; González-Castaño, F. J. (2026). Real-time anxiety and depression detection by combining large language models and machine learning with explainability capabilities. Expert Systems, 43(4), e70229. </w:t>
      </w:r>
      <w:r>
        <w:rPr>
          <w:i/>
          <w:iCs/>
          <w:color w:val="B8860B"/>
          <w:sz w:val="18"/>
          <w:szCs w:val="18"/>
        </w:rPr>
        <w:t xml:space="preserve">  [URL not in provided materials — please verify]</w:t>
      </w:r>
    </w:p>
    <w:p>
      <w:pPr>
        <w:spacing w:after="60" w:before="60"/>
        <w:ind w:left="360" w:hanging="360"/>
      </w:pPr>
      <w:r>
        <w:rPr>
          <w:b/>
          <w:bCs/>
          <w:color w:val="1F3864"/>
          <w:sz w:val="18"/>
          <w:szCs w:val="18"/>
        </w:rPr>
        <w:t xml:space="preserve">[3]  </w:t>
      </w:r>
      <w:r>
        <w:rPr>
          <w:color w:val="1A1A1A"/>
          <w:sz w:val="18"/>
          <w:szCs w:val="18"/>
        </w:rPr>
        <w:t xml:space="preserve">Ge, M., et al. (2025). Survey and experiments on mental disorder detection via social media: From LLMs and RAG to agents. </w:t>
      </w:r>
      <w:r>
        <w:rPr>
          <w:i/>
          <w:iCs/>
          <w:color w:val="B8860B"/>
          <w:sz w:val="18"/>
          <w:szCs w:val="18"/>
        </w:rPr>
        <w:t xml:space="preserve">  [No specific venue or DOI in provided materials — please verify]</w:t>
      </w:r>
    </w:p>
    <w:p>
      <w:pPr>
        <w:spacing w:after="60" w:before="60"/>
        <w:ind w:left="360" w:hanging="360"/>
      </w:pPr>
      <w:r>
        <w:rPr>
          <w:b/>
          <w:bCs/>
          <w:color w:val="1F3864"/>
          <w:sz w:val="18"/>
          <w:szCs w:val="18"/>
        </w:rPr>
        <w:t xml:space="preserve">[4]  </w:t>
      </w:r>
      <w:r>
        <w:rPr>
          <w:color w:val="1A1A1A"/>
          <w:sz w:val="18"/>
          <w:szCs w:val="18"/>
        </w:rPr>
        <w:t xml:space="preserve">He, J., Treude, C., &amp; Lo, D. (2025). LLM-based multi-agent systems for software engineering: Literature review, vision, and the road ahead. ACM Trans. Softw. Eng. Methodol., 34, 1–30. </w:t>
      </w:r>
      <w:r>
        <w:rPr>
          <w:i/>
          <w:iCs/>
          <w:color w:val="B8860B"/>
          <w:sz w:val="18"/>
          <w:szCs w:val="18"/>
        </w:rPr>
        <w:t xml:space="preserve">  [ACM DL URL not in provided materials — please verify]</w:t>
      </w:r>
    </w:p>
    <w:p>
      <w:pPr>
        <w:spacing w:after="60" w:before="60"/>
        <w:ind w:left="360" w:hanging="360"/>
      </w:pPr>
      <w:r>
        <w:rPr>
          <w:b/>
          <w:bCs/>
          <w:color w:val="1F3864"/>
          <w:sz w:val="18"/>
          <w:szCs w:val="18"/>
        </w:rPr>
        <w:t xml:space="preserve">[5]  </w:t>
      </w:r>
      <w:r>
        <w:rPr>
          <w:color w:val="1A1A1A"/>
          <w:sz w:val="18"/>
          <w:szCs w:val="18"/>
        </w:rPr>
        <w:t xml:space="preserve">Liu, J. M., Gao, M., Sabour, S., Chen, Z., Huang, M., &amp; Lee, T. M. C. (2025). Enhanced large language models for effective screening of depression and anxiety. Communications Medicine, 5(1), 457. </w:t>
      </w:r>
      <w:r>
        <w:rPr>
          <w:i/>
          <w:iCs/>
          <w:color w:val="B8860B"/>
          <w:sz w:val="18"/>
          <w:szCs w:val="18"/>
        </w:rPr>
        <w:t xml:space="preserve">  [DOI not in provided materials — please verify via https://doi.org/10.1038/s43856-...]</w:t>
      </w:r>
    </w:p>
    <w:p>
      <w:pPr>
        <w:spacing w:after="60" w:before="60"/>
        <w:ind w:left="360" w:hanging="360"/>
      </w:pPr>
      <w:r>
        <w:rPr>
          <w:b/>
          <w:bCs/>
          <w:color w:val="1F3864"/>
          <w:sz w:val="18"/>
          <w:szCs w:val="18"/>
        </w:rPr>
        <w:t xml:space="preserve">[6]  </w:t>
      </w:r>
      <w:r>
        <w:rPr>
          <w:color w:val="1A1A1A"/>
          <w:sz w:val="18"/>
          <w:szCs w:val="18"/>
        </w:rPr>
        <w:t xml:space="preserve">Ravenda, A. F., et al. (2025). Are LLMs effective psychological assessors? Leveraging adaptive RAG for mental health assessments. Findings of the Association for Computational Linguistics (ACL 2025). </w:t>
      </w:r>
      <w:r>
        <w:rPr>
          <w:i/>
          <w:iCs/>
          <w:color w:val="B8860B"/>
          <w:sz w:val="18"/>
          <w:szCs w:val="18"/>
        </w:rPr>
        <w:t xml:space="preserve">  [ACL Anthology URL not in provided materials — please verify]</w:t>
      </w:r>
    </w:p>
    <w:p>
      <w:pPr>
        <w:spacing w:after="60" w:before="60"/>
        <w:ind w:left="360" w:hanging="360"/>
      </w:pPr>
      <w:r>
        <w:rPr>
          <w:b/>
          <w:bCs/>
          <w:color w:val="1F3864"/>
          <w:sz w:val="18"/>
          <w:szCs w:val="18"/>
        </w:rPr>
        <w:t xml:space="preserve">[7]  </w:t>
      </w:r>
      <w:r>
        <w:rPr>
          <w:color w:val="1A1A1A"/>
          <w:sz w:val="18"/>
          <w:szCs w:val="18"/>
        </w:rPr>
        <w:t xml:space="preserve">Roy, K., et al. (2025). Exploring the potential of large language models for assisting with mental health diagnostic assessments: The depression and anxiety case. </w:t>
      </w:r>
      <w:r>
        <w:rPr>
          <w:color w:val="2E75B6"/>
          <w:sz w:val="18"/>
          <w:szCs w:val="18"/>
        </w:rPr>
        <w:t xml:space="preserve">https://arxiv.org/abs/2501.01305</w:t>
      </w:r>
    </w:p>
    <w:p>
      <w:pPr>
        <w:spacing w:after="60" w:before="60"/>
        <w:ind w:left="360" w:hanging="360"/>
      </w:pPr>
      <w:r>
        <w:rPr>
          <w:b/>
          <w:bCs/>
          <w:color w:val="1F3864"/>
          <w:sz w:val="18"/>
          <w:szCs w:val="18"/>
        </w:rPr>
        <w:t xml:space="preserve">[8]  </w:t>
      </w:r>
      <w:r>
        <w:rPr>
          <w:color w:val="1A1A1A"/>
          <w:sz w:val="18"/>
          <w:szCs w:val="18"/>
        </w:rPr>
        <w:t xml:space="preserve">Sharma, D., et al. (2026). Reimagining psychiatric care with agentic AI: Promise, challenges, and a roadmap forward. npj Digital Medicine. </w:t>
      </w:r>
      <w:r>
        <w:rPr>
          <w:i/>
          <w:iCs/>
          <w:color w:val="B8860B"/>
          <w:sz w:val="18"/>
          <w:szCs w:val="18"/>
        </w:rPr>
        <w:t xml:space="preserve">  [Published after May 2025 training cutoff — please verify URL]</w:t>
      </w:r>
    </w:p>
    <w:p>
      <w:pPr>
        <w:spacing w:after="60" w:before="60"/>
        <w:ind w:left="360" w:hanging="360"/>
      </w:pPr>
      <w:r>
        <w:rPr>
          <w:b/>
          <w:bCs/>
          <w:color w:val="1F3864"/>
          <w:sz w:val="18"/>
          <w:szCs w:val="18"/>
        </w:rPr>
        <w:t xml:space="preserve">[9]  </w:t>
      </w:r>
      <w:r>
        <w:rPr>
          <w:color w:val="1A1A1A"/>
          <w:sz w:val="18"/>
          <w:szCs w:val="18"/>
        </w:rPr>
        <w:t xml:space="preserve">Spitzer, R. L., Kroenke, K., Williams, J. B. W., &amp; Löwe, B. (2006). A brief measure for assessing generalized anxiety disorder. Archives of Internal Medicine, 166(10), 1092–1097. </w:t>
      </w:r>
      <w:r>
        <w:rPr>
          <w:color w:val="2E75B6"/>
          <w:sz w:val="18"/>
          <w:szCs w:val="18"/>
        </w:rPr>
        <w:t xml:space="preserve">https://pubmed.ncbi.nlm.nih.gov/16801507/</w:t>
      </w:r>
    </w:p>
    <w:p>
      <w:pPr>
        <w:spacing w:after="60" w:before="60"/>
        <w:ind w:left="360" w:hanging="360"/>
      </w:pPr>
      <w:r>
        <w:rPr>
          <w:b/>
          <w:bCs/>
          <w:color w:val="1F3864"/>
          <w:sz w:val="18"/>
          <w:szCs w:val="18"/>
        </w:rPr>
        <w:t xml:space="preserve">[10]  </w:t>
      </w:r>
      <w:r>
        <w:rPr>
          <w:color w:val="1A1A1A"/>
          <w:sz w:val="18"/>
          <w:szCs w:val="18"/>
        </w:rPr>
        <w:t xml:space="preserve">Sun, Y., et al. (2026). [Full title not provided in uploaded materials.] </w:t>
      </w:r>
      <w:r>
        <w:rPr>
          <w:i/>
          <w:iCs/>
          <w:color w:val="B8860B"/>
          <w:sz w:val="18"/>
          <w:szCs w:val="18"/>
        </w:rPr>
        <w:t xml:space="preserve">  [No title, venue, or DOI in provided materials — please verify]</w:t>
      </w:r>
    </w:p>
    <w:p>
      <w:pPr>
        <w:spacing w:after="60" w:before="60"/>
        <w:ind w:left="360" w:hanging="360"/>
      </w:pPr>
      <w:r>
        <w:rPr>
          <w:b/>
          <w:bCs/>
          <w:color w:val="1F3864"/>
          <w:sz w:val="18"/>
          <w:szCs w:val="18"/>
        </w:rPr>
        <w:t xml:space="preserve">[11]  </w:t>
      </w:r>
      <w:r>
        <w:rPr>
          <w:color w:val="1A1A1A"/>
          <w:sz w:val="18"/>
          <w:szCs w:val="18"/>
        </w:rPr>
        <w:t xml:space="preserve">Taskynbayeva, M., &amp; Gutoreva, A. (2025). Machine learning approaches to anxiety detection: Trends, model evaluation, and future directions. Frontiers in Artificial Intelligence, 8, 1630047. </w:t>
      </w:r>
      <w:r>
        <w:rPr>
          <w:color w:val="2E75B6"/>
          <w:sz w:val="18"/>
          <w:szCs w:val="18"/>
        </w:rPr>
        <w:t xml:space="preserve">https://doi.org/10.3389/frai.2025.1630047</w:t>
      </w:r>
    </w:p>
    <w:p>
      <w:pPr>
        <w:spacing w:after="60" w:before="60"/>
        <w:ind w:left="360" w:hanging="360"/>
      </w:pPr>
      <w:r>
        <w:rPr>
          <w:b/>
          <w:bCs/>
          <w:color w:val="1F3864"/>
          <w:sz w:val="18"/>
          <w:szCs w:val="18"/>
        </w:rPr>
        <w:t xml:space="preserve">[12]  </w:t>
      </w:r>
      <w:r>
        <w:rPr>
          <w:color w:val="1A1A1A"/>
          <w:sz w:val="18"/>
          <w:szCs w:val="18"/>
        </w:rPr>
        <w:t xml:space="preserve">Turcan, E., &amp; McKeown, K. (2019). Dreaddit: A Reddit dataset for stress analysis in social media. Proceedings of the 10th Workshop on Computational Approaches to Subjectivity, Sentiment and Social Media Analysis (CLPsych @ EMNLP 2019). </w:t>
      </w:r>
      <w:r>
        <w:rPr>
          <w:color w:val="2E75B6"/>
          <w:sz w:val="18"/>
          <w:szCs w:val="18"/>
        </w:rPr>
        <w:t xml:space="preserve">https://arxiv.org/abs/1911.00133</w:t>
      </w:r>
    </w:p>
    <w:p>
      <w:pPr>
        <w:spacing w:after="60" w:before="60"/>
        <w:ind w:left="360" w:hanging="360"/>
      </w:pPr>
      <w:r>
        <w:rPr>
          <w:b/>
          <w:bCs/>
          <w:color w:val="1F3864"/>
          <w:sz w:val="18"/>
          <w:szCs w:val="18"/>
        </w:rPr>
        <w:t xml:space="preserve">[13]  </w:t>
      </w:r>
      <w:r>
        <w:rPr>
          <w:color w:val="1A1A1A"/>
          <w:sz w:val="18"/>
          <w:szCs w:val="18"/>
        </w:rPr>
        <w:t xml:space="preserve">Wright-Berryman, J., Cohen, J., Haq, A., Black, D. P., &amp; Pease, J. L. (2023). Virtually screening adults for depression, anxiety, and suicide risk using machine learning and language from an open-ended interview. Frontiers in Psychiatry, 14, 1143175. </w:t>
      </w:r>
      <w:r>
        <w:rPr>
          <w:color w:val="2E75B6"/>
          <w:sz w:val="18"/>
          <w:szCs w:val="18"/>
        </w:rPr>
        <w:t xml:space="preserve">https://doi.org/10.3389/fpsyt.2023.1143175</w:t>
      </w:r>
    </w:p>
    <w:p>
      <w:pPr>
        <w:spacing w:after="60" w:before="60"/>
        <w:ind w:left="360" w:hanging="360"/>
      </w:pPr>
      <w:r>
        <w:rPr>
          <w:b/>
          <w:bCs/>
          <w:color w:val="1F3864"/>
          <w:sz w:val="18"/>
          <w:szCs w:val="18"/>
        </w:rPr>
        <w:t xml:space="preserve">[14]  </w:t>
      </w:r>
      <w:r>
        <w:rPr>
          <w:color w:val="1A1A1A"/>
          <w:sz w:val="18"/>
          <w:szCs w:val="18"/>
        </w:rPr>
        <w:t xml:space="preserve">Xu, Y., et al. (2025). LLM-based psychiatric manifestation identification from outpatient conversations. </w:t>
      </w:r>
      <w:r>
        <w:rPr>
          <w:i/>
          <w:iCs/>
          <w:color w:val="B8860B"/>
          <w:sz w:val="18"/>
          <w:szCs w:val="18"/>
        </w:rPr>
        <w:t xml:space="preserve">  [No specific venue or DOI in provided materials — please verify]</w:t>
      </w:r>
    </w:p>
    <w:p>
      <w:pPr>
        <w:spacing w:after="60" w:before="60"/>
        <w:ind w:left="360" w:hanging="360"/>
      </w:pPr>
      <w:r>
        <w:rPr>
          <w:b/>
          <w:bCs/>
          <w:color w:val="1F3864"/>
          <w:sz w:val="18"/>
          <w:szCs w:val="18"/>
        </w:rPr>
        <w:t xml:space="preserve">[15]  </w:t>
      </w:r>
      <w:r>
        <w:rPr>
          <w:color w:val="1A1A1A"/>
          <w:sz w:val="18"/>
          <w:szCs w:val="18"/>
        </w:rPr>
        <w:t xml:space="preserve">Zeng, Z., Shahandashti, K. K., Belle, A. B., Wang, S., &amp; Ming, Z. (2025). A pilot study on LLM-based agentic translation from Android to iOS: Pitfalls and insights. </w:t>
      </w:r>
      <w:r>
        <w:rPr>
          <w:color w:val="2E75B6"/>
          <w:sz w:val="18"/>
          <w:szCs w:val="18"/>
        </w:rPr>
        <w:t xml:space="preserve">https://arxiv.org/abs/2507.16037</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pPr>
        <w:spacing w:after="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pPr>
    <w:rPr>
      <w:rFonts w:ascii="Calibri" w:cs="Calibri" w:eastAsia="Calibri" w:hAnsi="Calibri"/>
      <w:b/>
      <w:bCs/>
      <w:color w:val="1F3864"/>
      <w:sz w:val="28"/>
      <w:szCs w:val="28"/>
    </w:rPr>
  </w:style>
  <w:style w:type="paragraph" w:styleId="Heading2">
    <w:name w:val="Heading 2"/>
    <w:basedOn w:val="Normal"/>
    <w:next w:val="Normal"/>
    <w:pPr>
      <w:spacing w:after="80" w:before="240"/>
    </w:pPr>
    <w:rPr>
      <w:rFonts w:ascii="Calibri" w:cs="Calibri" w:eastAsia="Calibri" w:hAnsi="Calibri"/>
      <w:b/>
      <w:bCs/>
      <w:color w:val="2E75B6"/>
      <w:sz w:val="24"/>
      <w:szCs w:val="24"/>
    </w:rPr>
  </w:style>
  <w:style w:type="paragraph" w:styleId="Heading3">
    <w:name w:val="Heading 3"/>
    <w:basedOn w:val="Normal"/>
    <w:next w:val="Normal"/>
    <w:pPr>
      <w:spacing w:after="60" w:before="160"/>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2026-07-13T05:19:08.880Z</dcterms:created>
  <dcterms:modified xsi:type="dcterms:W3CDTF">2026-07-13T05:19:08.880Z</dcterms:modified>
</cp:coreProperties>
</file>

<file path=docProps/custom.xml><?xml version="1.0" encoding="utf-8"?>
<Properties xmlns="http://schemas.openxmlformats.org/officeDocument/2006/custom-properties" xmlns:vt="http://schemas.openxmlformats.org/officeDocument/2006/docPropsVTypes"/>
</file>