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Times New Roman" w:cs="Times New Roman" w:eastAsia="Times New Roman" w:hAnsi="Times New Roman"/>
          <w:b/>
          <w:bCs/>
          <w:sz w:val="52"/>
          <w:szCs w:val="52"/>
        </w:rPr>
        <w:t xml:space="preserve">Experimental Setup</w:t>
      </w:r>
    </w:p>
    <w:p>
      <w:pPr>
        <w:spacing w:after="360"/>
      </w:pPr>
      <w:r>
        <w:rPr>
          <w:rFonts w:ascii="Times New Roman" w:cs="Times New Roman" w:eastAsia="Times New Roman" w:hAnsi="Times New Roman"/>
          <w:i/>
          <w:iCs/>
          <w:sz w:val="22"/>
          <w:szCs w:val="22"/>
        </w:rPr>
        <w:t xml:space="preserve">AnxioSense — EECS 4080 Undergraduate Research Project · York University</w:t>
      </w:r>
    </w:p>
    <w:p>
      <w:pPr>
        <w:pStyle w:val="Heading1"/>
        <w:spacing w:after="160" w:before="320"/>
      </w:pPr>
      <w:r>
        <w:t xml:space="preserve">1. Research Questions</w:t>
      </w:r>
    </w:p>
    <w:p>
      <w:pPr>
        <w:spacing w:after="120"/>
      </w:pPr>
      <w:r>
        <w:rPr>
          <w:rFonts w:ascii="Times New Roman" w:cs="Times New Roman" w:eastAsia="Times New Roman" w:hAnsi="Times New Roman"/>
          <w:b/>
          <w:bCs/>
          <w:sz w:val="22"/>
          <w:szCs w:val="22"/>
        </w:rPr>
        <w:t xml:space="preserve">RQ1.  </w:t>
      </w:r>
      <w:r>
        <w:rPr>
          <w:rFonts w:ascii="Times New Roman" w:cs="Times New Roman" w:eastAsia="Times New Roman" w:hAnsi="Times New Roman"/>
          <w:sz w:val="22"/>
          <w:szCs w:val="22"/>
        </w:rPr>
        <w:t xml:space="preserve">Across five open-weight large language models, which model achieves the highest symptom extraction precision and anxiety severity classification accuracy within the AnxioSense multi-agent pipeline?</w:t>
      </w:r>
    </w:p>
    <w:p>
      <w:pPr>
        <w:spacing w:after="120"/>
      </w:pPr>
      <w:r>
        <w:rPr>
          <w:rFonts w:ascii="Times New Roman" w:cs="Times New Roman" w:eastAsia="Times New Roman" w:hAnsi="Times New Roman"/>
          <w:b/>
          <w:bCs/>
          <w:sz w:val="22"/>
          <w:szCs w:val="22"/>
        </w:rPr>
        <w:t xml:space="preserve">RQ2.  </w:t>
      </w:r>
      <w:r>
        <w:rPr>
          <w:rFonts w:ascii="Times New Roman" w:cs="Times New Roman" w:eastAsia="Times New Roman" w:hAnsi="Times New Roman"/>
          <w:sz w:val="22"/>
          <w:szCs w:val="22"/>
        </w:rPr>
        <w:t xml:space="preserve">How accurately does AnxioSense classify anxiety severity and generate clinically appropriate referral recommendations, as measured by precision, recall, macro-averaged F1, and Cohen's kappa against ground-truth dataset labels?</w:t>
      </w:r>
    </w:p>
    <w:p>
      <w:pPr>
        <w:spacing w:after="120"/>
      </w:pPr>
      <w:r>
        <w:rPr>
          <w:rFonts w:ascii="Times New Roman" w:cs="Times New Roman" w:eastAsia="Times New Roman" w:hAnsi="Times New Roman"/>
          <w:b/>
          <w:bCs/>
          <w:sz w:val="22"/>
          <w:szCs w:val="22"/>
        </w:rPr>
        <w:t xml:space="preserve">RQ3.  </w:t>
      </w:r>
      <w:r>
        <w:rPr>
          <w:rFonts w:ascii="Times New Roman" w:cs="Times New Roman" w:eastAsia="Times New Roman" w:hAnsi="Times New Roman"/>
          <w:sz w:val="22"/>
          <w:szCs w:val="22"/>
        </w:rPr>
        <w:t xml:space="preserve">Among zero-shot, zero-shot with chain-of-thought, and one-shot with chain-of-thought prompting strategies, which configuration minimises false positive symptom extractions while maintaining recall across five repeated runs?</w:t>
      </w:r>
    </w:p>
    <w:p>
      <w:pPr>
        <w:spacing w:after="120"/>
      </w:pPr>
      <w:r>
        <w:rPr>
          <w:rFonts w:ascii="Times New Roman" w:cs="Times New Roman" w:eastAsia="Times New Roman" w:hAnsi="Times New Roman"/>
          <w:b/>
          <w:bCs/>
          <w:sz w:val="22"/>
          <w:szCs w:val="22"/>
        </w:rPr>
        <w:t xml:space="preserve">RQ4.  </w:t>
      </w:r>
      <w:r>
        <w:rPr>
          <w:rFonts w:ascii="Times New Roman" w:cs="Times New Roman" w:eastAsia="Times New Roman" w:hAnsi="Times New Roman"/>
          <w:sz w:val="22"/>
          <w:szCs w:val="22"/>
        </w:rPr>
        <w:t xml:space="preserve">To what extent do AnxioSense's screening outputs align with established anxiety-screening frameworks (GAD-7 severity thresholds, DSM-5 diagnostic criteria, ICD-11 anxiety disorder classifications) and clinically expected referral levels?</w:t>
      </w:r>
    </w:p>
    <w:p>
      <w:pPr>
        <w:spacing w:after="120"/>
      </w:pPr>
      <w:r>
        <w:rPr>
          <w:rFonts w:ascii="Times New Roman" w:cs="Times New Roman" w:eastAsia="Times New Roman" w:hAnsi="Times New Roman"/>
          <w:b/>
          <w:bCs/>
          <w:sz w:val="22"/>
          <w:szCs w:val="22"/>
        </w:rPr>
        <w:t xml:space="preserve">RQ5.  </w:t>
      </w:r>
      <w:r>
        <w:rPr>
          <w:rFonts w:ascii="Times New Roman" w:cs="Times New Roman" w:eastAsia="Times New Roman" w:hAnsi="Times New Roman"/>
          <w:sz w:val="22"/>
          <w:szCs w:val="22"/>
        </w:rPr>
        <w:t xml:space="preserve">How effectively does AnxioSense generate explainable, evidence-grounded, and safety-appropriate screening reports, as measured by hallucination rate, claim support rate, and safety override precision and recall?</w:t>
      </w:r>
    </w:p>
    <w:p>
      <w:pPr>
        <w:spacing w:after="80"/>
      </w:pPr>
    </w:p>
    <w:p>
      <w:pPr>
        <w:pStyle w:val="Heading1"/>
        <w:spacing w:after="160" w:before="320"/>
      </w:pPr>
      <w:r>
        <w:t xml:space="preserve">2. Evaluation Metrics</w:t>
      </w:r>
    </w:p>
    <w:p>
      <w:pPr>
        <w:spacing w:after="120"/>
      </w:pPr>
      <w:r>
        <w:rPr>
          <w:rFonts w:ascii="Times New Roman" w:cs="Times New Roman" w:eastAsia="Times New Roman" w:hAnsi="Times New Roman"/>
          <w:sz w:val="22"/>
          <w:szCs w:val="22"/>
        </w:rPr>
        <w:t xml:space="preserve">All metrics are computed per experimental run and aggregated across five repeated runs. Mean and standard deviation are reported for every metric to capture LLM output variability.</w:t>
      </w:r>
    </w:p>
    <w:p>
      <w:pPr>
        <w:spacing w:after="80"/>
      </w:pPr>
    </w:p>
    <w:p>
      <w:pPr>
        <w:pStyle w:val="Heading2"/>
        <w:spacing w:after="100" w:before="200"/>
      </w:pPr>
      <w:r>
        <w:t xml:space="preserve">2.1  Classification Metrics (Primary)</w:t>
      </w:r>
    </w:p>
    <w:tbl>
      <w:tblPr>
        <w:tblW w:type="dxa" w:w="792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2600"/>
        <w:gridCol w:w="2800"/>
        <w:gridCol w:w="2520"/>
      </w:tblGrid>
      <w:tr>
        <w:trPr>
          <w:tblHeader/>
        </w:trPr>
        <w:tc>
          <w:tcPr>
            <w:tcW w:type="dxa" w:w="2600"/>
            <w:shd w:fill="D9E1F2" w:color="auto" w:val="clear"/>
          </w:tcPr>
          <w:p>
            <w:pPr>
              <w:jc w:val="center"/>
            </w:pPr>
            <w:r>
              <w:rPr>
                <w:rFonts w:ascii="Times New Roman" w:cs="Times New Roman" w:eastAsia="Times New Roman" w:hAnsi="Times New Roman"/>
                <w:b/>
                <w:bCs/>
                <w:sz w:val="19"/>
                <w:szCs w:val="19"/>
              </w:rPr>
              <w:t xml:space="preserve">Metric</w:t>
            </w:r>
          </w:p>
        </w:tc>
        <w:tc>
          <w:tcPr>
            <w:tcW w:type="dxa" w:w="2800"/>
            <w:shd w:fill="D9E1F2" w:color="auto" w:val="clear"/>
          </w:tcPr>
          <w:p>
            <w:pPr>
              <w:jc w:val="center"/>
            </w:pPr>
            <w:r>
              <w:rPr>
                <w:rFonts w:ascii="Times New Roman" w:cs="Times New Roman" w:eastAsia="Times New Roman" w:hAnsi="Times New Roman"/>
                <w:b/>
                <w:bCs/>
                <w:sz w:val="19"/>
                <w:szCs w:val="19"/>
              </w:rPr>
              <w:t xml:space="preserve">Applies To</w:t>
            </w:r>
          </w:p>
        </w:tc>
        <w:tc>
          <w:tcPr>
            <w:tcW w:type="dxa" w:w="2520"/>
            <w:shd w:fill="D9E1F2" w:color="auto" w:val="clear"/>
          </w:tcPr>
          <w:p>
            <w:pPr>
              <w:jc w:val="center"/>
            </w:pPr>
            <w:r>
              <w:rPr>
                <w:rFonts w:ascii="Times New Roman" w:cs="Times New Roman" w:eastAsia="Times New Roman" w:hAnsi="Times New Roman"/>
                <w:b/>
                <w:bCs/>
                <w:sz w:val="19"/>
                <w:szCs w:val="19"/>
              </w:rPr>
              <w:t xml:space="preserve">Reported As</w:t>
            </w:r>
          </w:p>
        </w:tc>
      </w:tr>
      <w:tr>
        <w:tc>
          <w:tcPr>
            <w:tcW w:type="dxa" w:w="2600"/>
            <w:shd w:fill="FFFFFF" w:color="auto" w:val="clear"/>
          </w:tcPr>
          <w:p>
            <w:r>
              <w:rPr>
                <w:rFonts w:ascii="Times New Roman" w:cs="Times New Roman" w:eastAsia="Times New Roman" w:hAnsi="Times New Roman"/>
                <w:sz w:val="18"/>
                <w:szCs w:val="18"/>
              </w:rPr>
              <w:t xml:space="preserve">Precision (per class)</w:t>
            </w:r>
          </w:p>
        </w:tc>
        <w:tc>
          <w:tcPr>
            <w:tcW w:type="dxa" w:w="2800"/>
            <w:shd w:fill="FFFFFF" w:color="auto" w:val="clear"/>
          </w:tcPr>
          <w:p>
            <w:r>
              <w:rPr>
                <w:rFonts w:ascii="Times New Roman" w:cs="Times New Roman" w:eastAsia="Times New Roman" w:hAnsi="Times New Roman"/>
                <w:sz w:val="18"/>
                <w:szCs w:val="18"/>
              </w:rPr>
              <w:t xml:space="preserve">Symptom extraction; referral level classification</w:t>
            </w:r>
          </w:p>
        </w:tc>
        <w:tc>
          <w:tcPr>
            <w:tcW w:type="dxa" w:w="2520"/>
            <w:shd w:fill="FFFFFF" w:color="auto" w:val="clear"/>
          </w:tcPr>
          <w:p>
            <w:r>
              <w:rPr>
                <w:rFonts w:ascii="Times New Roman" w:cs="Times New Roman" w:eastAsia="Times New Roman" w:hAnsi="Times New Roman"/>
                <w:sz w:val="18"/>
                <w:szCs w:val="18"/>
              </w:rPr>
              <w:t xml:space="preserve">Mean ± SD across 5 runs</w:t>
            </w:r>
          </w:p>
        </w:tc>
      </w:tr>
      <w:tr>
        <w:tc>
          <w:tcPr>
            <w:tcW w:type="dxa" w:w="2600"/>
            <w:shd w:fill="F2F2F2" w:color="auto" w:val="clear"/>
          </w:tcPr>
          <w:p>
            <w:r>
              <w:rPr>
                <w:rFonts w:ascii="Times New Roman" w:cs="Times New Roman" w:eastAsia="Times New Roman" w:hAnsi="Times New Roman"/>
                <w:sz w:val="18"/>
                <w:szCs w:val="18"/>
              </w:rPr>
              <w:t xml:space="preserve">Recall (per class)</w:t>
            </w:r>
          </w:p>
        </w:tc>
        <w:tc>
          <w:tcPr>
            <w:tcW w:type="dxa" w:w="2800"/>
            <w:shd w:fill="F2F2F2" w:color="auto" w:val="clear"/>
          </w:tcPr>
          <w:p>
            <w:r>
              <w:rPr>
                <w:rFonts w:ascii="Times New Roman" w:cs="Times New Roman" w:eastAsia="Times New Roman" w:hAnsi="Times New Roman"/>
                <w:sz w:val="18"/>
                <w:szCs w:val="18"/>
              </w:rPr>
              <w:t xml:space="preserve">Symptom extraction; referral level classification</w:t>
            </w:r>
          </w:p>
        </w:tc>
        <w:tc>
          <w:tcPr>
            <w:tcW w:type="dxa" w:w="2520"/>
            <w:shd w:fill="F2F2F2" w:color="auto" w:val="clear"/>
          </w:tcPr>
          <w:p>
            <w:r>
              <w:rPr>
                <w:rFonts w:ascii="Times New Roman" w:cs="Times New Roman" w:eastAsia="Times New Roman" w:hAnsi="Times New Roman"/>
                <w:sz w:val="18"/>
                <w:szCs w:val="18"/>
              </w:rPr>
              <w:t xml:space="preserve">Mean ± SD across 5 runs</w:t>
            </w:r>
          </w:p>
        </w:tc>
      </w:tr>
      <w:tr>
        <w:tc>
          <w:tcPr>
            <w:tcW w:type="dxa" w:w="2600"/>
            <w:shd w:fill="FFFFFF" w:color="auto" w:val="clear"/>
          </w:tcPr>
          <w:p>
            <w:r>
              <w:rPr>
                <w:rFonts w:ascii="Times New Roman" w:cs="Times New Roman" w:eastAsia="Times New Roman" w:hAnsi="Times New Roman"/>
                <w:sz w:val="18"/>
                <w:szCs w:val="18"/>
              </w:rPr>
              <w:t xml:space="preserve">Macro-averaged F1</w:t>
            </w:r>
          </w:p>
        </w:tc>
        <w:tc>
          <w:tcPr>
            <w:tcW w:type="dxa" w:w="2800"/>
            <w:shd w:fill="FFFFFF" w:color="auto" w:val="clear"/>
          </w:tcPr>
          <w:p>
            <w:r>
              <w:rPr>
                <w:rFonts w:ascii="Times New Roman" w:cs="Times New Roman" w:eastAsia="Times New Roman" w:hAnsi="Times New Roman"/>
                <w:sz w:val="18"/>
                <w:szCs w:val="18"/>
              </w:rPr>
              <w:t xml:space="preserve">All classification tasks</w:t>
            </w:r>
          </w:p>
        </w:tc>
        <w:tc>
          <w:tcPr>
            <w:tcW w:type="dxa" w:w="2520"/>
            <w:shd w:fill="FFFFFF" w:color="auto" w:val="clear"/>
          </w:tcPr>
          <w:p>
            <w:r>
              <w:rPr>
                <w:rFonts w:ascii="Times New Roman" w:cs="Times New Roman" w:eastAsia="Times New Roman" w:hAnsi="Times New Roman"/>
                <w:sz w:val="18"/>
                <w:szCs w:val="18"/>
              </w:rPr>
              <w:t xml:space="preserve">Mean ± SD across 5 runs</w:t>
            </w:r>
          </w:p>
        </w:tc>
      </w:tr>
      <w:tr>
        <w:tc>
          <w:tcPr>
            <w:tcW w:type="dxa" w:w="2600"/>
            <w:shd w:fill="F2F2F2" w:color="auto" w:val="clear"/>
          </w:tcPr>
          <w:p>
            <w:r>
              <w:rPr>
                <w:rFonts w:ascii="Times New Roman" w:cs="Times New Roman" w:eastAsia="Times New Roman" w:hAnsi="Times New Roman"/>
                <w:sz w:val="18"/>
                <w:szCs w:val="18"/>
              </w:rPr>
              <w:t xml:space="preserve">Accuracy</w:t>
            </w:r>
          </w:p>
        </w:tc>
        <w:tc>
          <w:tcPr>
            <w:tcW w:type="dxa" w:w="2800"/>
            <w:shd w:fill="F2F2F2" w:color="auto" w:val="clear"/>
          </w:tcPr>
          <w:p>
            <w:r>
              <w:rPr>
                <w:rFonts w:ascii="Times New Roman" w:cs="Times New Roman" w:eastAsia="Times New Roman" w:hAnsi="Times New Roman"/>
                <w:sz w:val="18"/>
                <w:szCs w:val="18"/>
              </w:rPr>
              <w:t xml:space="preserve">Referral level and severity band prediction</w:t>
            </w:r>
          </w:p>
        </w:tc>
        <w:tc>
          <w:tcPr>
            <w:tcW w:type="dxa" w:w="2520"/>
            <w:shd w:fill="F2F2F2" w:color="auto" w:val="clear"/>
          </w:tcPr>
          <w:p>
            <w:r>
              <w:rPr>
                <w:rFonts w:ascii="Times New Roman" w:cs="Times New Roman" w:eastAsia="Times New Roman" w:hAnsi="Times New Roman"/>
                <w:sz w:val="18"/>
                <w:szCs w:val="18"/>
              </w:rPr>
              <w:t xml:space="preserve">Mean ± SD across 5 runs</w:t>
            </w:r>
          </w:p>
        </w:tc>
      </w:tr>
      <w:tr>
        <w:tc>
          <w:tcPr>
            <w:tcW w:type="dxa" w:w="2600"/>
            <w:shd w:fill="FFFFFF" w:color="auto" w:val="clear"/>
          </w:tcPr>
          <w:p>
            <w:r>
              <w:rPr>
                <w:rFonts w:ascii="Times New Roman" w:cs="Times New Roman" w:eastAsia="Times New Roman" w:hAnsi="Times New Roman"/>
                <w:sz w:val="18"/>
                <w:szCs w:val="18"/>
              </w:rPr>
              <w:t xml:space="preserve">Cohen's Kappa (weighted)</w:t>
            </w:r>
          </w:p>
        </w:tc>
        <w:tc>
          <w:tcPr>
            <w:tcW w:type="dxa" w:w="2800"/>
            <w:shd w:fill="FFFFFF" w:color="auto" w:val="clear"/>
          </w:tcPr>
          <w:p>
            <w:r>
              <w:rPr>
                <w:rFonts w:ascii="Times New Roman" w:cs="Times New Roman" w:eastAsia="Times New Roman" w:hAnsi="Times New Roman"/>
                <w:sz w:val="18"/>
                <w:szCs w:val="18"/>
              </w:rPr>
              <w:t xml:space="preserve">Severity band classification (4-class ordinal)</w:t>
            </w:r>
          </w:p>
        </w:tc>
        <w:tc>
          <w:tcPr>
            <w:tcW w:type="dxa" w:w="2520"/>
            <w:shd w:fill="FFFFFF" w:color="auto" w:val="clear"/>
          </w:tcPr>
          <w:p>
            <w:r>
              <w:rPr>
                <w:rFonts w:ascii="Times New Roman" w:cs="Times New Roman" w:eastAsia="Times New Roman" w:hAnsi="Times New Roman"/>
                <w:sz w:val="18"/>
                <w:szCs w:val="18"/>
              </w:rPr>
              <w:t xml:space="preserve">Mean ± SD across 5 runs</w:t>
            </w:r>
          </w:p>
        </w:tc>
      </w:tr>
      <w:tr>
        <w:tc>
          <w:tcPr>
            <w:tcW w:type="dxa" w:w="2600"/>
            <w:shd w:fill="F2F2F2" w:color="auto" w:val="clear"/>
          </w:tcPr>
          <w:p>
            <w:r>
              <w:rPr>
                <w:rFonts w:ascii="Times New Roman" w:cs="Times New Roman" w:eastAsia="Times New Roman" w:hAnsi="Times New Roman"/>
                <w:sz w:val="18"/>
                <w:szCs w:val="18"/>
              </w:rPr>
              <w:t xml:space="preserve">Confusion Matrix</w:t>
            </w:r>
          </w:p>
        </w:tc>
        <w:tc>
          <w:tcPr>
            <w:tcW w:type="dxa" w:w="2800"/>
            <w:shd w:fill="F2F2F2" w:color="auto" w:val="clear"/>
          </w:tcPr>
          <w:p>
            <w:r>
              <w:rPr>
                <w:rFonts w:ascii="Times New Roman" w:cs="Times New Roman" w:eastAsia="Times New Roman" w:hAnsi="Times New Roman"/>
                <w:sz w:val="18"/>
                <w:szCs w:val="18"/>
              </w:rPr>
              <w:t xml:space="preserve">Referral level (3×3); severity band (4×4)</w:t>
            </w:r>
          </w:p>
        </w:tc>
        <w:tc>
          <w:tcPr>
            <w:tcW w:type="dxa" w:w="2520"/>
            <w:shd w:fill="F2F2F2" w:color="auto" w:val="clear"/>
          </w:tcPr>
          <w:p>
            <w:r>
              <w:rPr>
                <w:rFonts w:ascii="Times New Roman" w:cs="Times New Roman" w:eastAsia="Times New Roman" w:hAnsi="Times New Roman"/>
                <w:sz w:val="18"/>
                <w:szCs w:val="18"/>
              </w:rPr>
              <w:t xml:space="preserve">Aggregated over 5 runs</w:t>
            </w:r>
          </w:p>
        </w:tc>
      </w:tr>
    </w:tbl>
    <w:p>
      <w:pPr>
        <w:spacing w:after="80"/>
      </w:pPr>
    </w:p>
    <w:p>
      <w:pPr>
        <w:pStyle w:val="Heading2"/>
        <w:spacing w:after="100" w:before="200"/>
      </w:pPr>
      <w:r>
        <w:t xml:space="preserve">2.2  Report Quality Metrics (Secondary)</w:t>
      </w:r>
    </w:p>
    <w:tbl>
      <w:tblPr>
        <w:tblW w:type="dxa" w:w="792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2200"/>
        <w:gridCol w:w="4400"/>
        <w:gridCol w:w="1320"/>
      </w:tblGrid>
      <w:tr>
        <w:trPr>
          <w:tblHeader/>
        </w:trPr>
        <w:tc>
          <w:tcPr>
            <w:tcW w:type="dxa" w:w="2200"/>
            <w:shd w:fill="D9E1F2" w:color="auto" w:val="clear"/>
          </w:tcPr>
          <w:p>
            <w:pPr>
              <w:jc w:val="center"/>
            </w:pPr>
            <w:r>
              <w:rPr>
                <w:rFonts w:ascii="Times New Roman" w:cs="Times New Roman" w:eastAsia="Times New Roman" w:hAnsi="Times New Roman"/>
                <w:b/>
                <w:bCs/>
                <w:sz w:val="19"/>
                <w:szCs w:val="19"/>
              </w:rPr>
              <w:t xml:space="preserve">Metric</w:t>
            </w:r>
          </w:p>
        </w:tc>
        <w:tc>
          <w:tcPr>
            <w:tcW w:type="dxa" w:w="4400"/>
            <w:shd w:fill="D9E1F2" w:color="auto" w:val="clear"/>
          </w:tcPr>
          <w:p>
            <w:pPr>
              <w:jc w:val="center"/>
            </w:pPr>
            <w:r>
              <w:rPr>
                <w:rFonts w:ascii="Times New Roman" w:cs="Times New Roman" w:eastAsia="Times New Roman" w:hAnsi="Times New Roman"/>
                <w:b/>
                <w:bCs/>
                <w:sz w:val="19"/>
                <w:szCs w:val="19"/>
              </w:rPr>
              <w:t xml:space="preserve">Definition</w:t>
            </w:r>
          </w:p>
        </w:tc>
        <w:tc>
          <w:tcPr>
            <w:tcW w:type="dxa" w:w="1320"/>
            <w:shd w:fill="D9E1F2" w:color="auto" w:val="clear"/>
          </w:tcPr>
          <w:p>
            <w:pPr>
              <w:jc w:val="center"/>
            </w:pPr>
            <w:r>
              <w:rPr>
                <w:rFonts w:ascii="Times New Roman" w:cs="Times New Roman" w:eastAsia="Times New Roman" w:hAnsi="Times New Roman"/>
                <w:b/>
                <w:bCs/>
                <w:sz w:val="19"/>
                <w:szCs w:val="19"/>
              </w:rPr>
              <w:t xml:space="preserve">Reported As</w:t>
            </w:r>
          </w:p>
        </w:tc>
      </w:tr>
      <w:tr>
        <w:tc>
          <w:tcPr>
            <w:tcW w:type="dxa" w:w="2200"/>
            <w:shd w:fill="FFFFFF" w:color="auto" w:val="clear"/>
          </w:tcPr>
          <w:p>
            <w:r>
              <w:rPr>
                <w:rFonts w:ascii="Times New Roman" w:cs="Times New Roman" w:eastAsia="Times New Roman" w:hAnsi="Times New Roman"/>
                <w:sz w:val="18"/>
                <w:szCs w:val="18"/>
              </w:rPr>
              <w:t xml:space="preserve">Hallucination Rate</w:t>
            </w:r>
          </w:p>
        </w:tc>
        <w:tc>
          <w:tcPr>
            <w:tcW w:type="dxa" w:w="4400"/>
            <w:shd w:fill="FFFFFF" w:color="auto" w:val="clear"/>
          </w:tcPr>
          <w:p>
            <w:r>
              <w:rPr>
                <w:rFonts w:ascii="Times New Roman" w:cs="Times New Roman" w:eastAsia="Times New Roman" w:hAnsi="Times New Roman"/>
                <w:sz w:val="18"/>
                <w:szCs w:val="18"/>
              </w:rPr>
              <w:t xml:space="preserve">Proportion of generated reports containing at least one claim not traceable to the validated claim set, the referral output, or explicit prompt instructions.</w:t>
            </w:r>
          </w:p>
        </w:tc>
        <w:tc>
          <w:tcPr>
            <w:tcW w:type="dxa" w:w="1320"/>
            <w:shd w:fill="FFFFFF" w:color="auto" w:val="clear"/>
          </w:tcPr>
          <w:p>
            <w:r>
              <w:rPr>
                <w:rFonts w:ascii="Times New Roman" w:cs="Times New Roman" w:eastAsia="Times New Roman" w:hAnsi="Times New Roman"/>
                <w:sz w:val="18"/>
                <w:szCs w:val="18"/>
              </w:rPr>
              <w:t xml:space="preserve">Mean ± SD across 5 runs</w:t>
            </w:r>
          </w:p>
        </w:tc>
      </w:tr>
      <w:tr>
        <w:tc>
          <w:tcPr>
            <w:tcW w:type="dxa" w:w="2200"/>
            <w:shd w:fill="F2F2F2" w:color="auto" w:val="clear"/>
          </w:tcPr>
          <w:p>
            <w:r>
              <w:rPr>
                <w:rFonts w:ascii="Times New Roman" w:cs="Times New Roman" w:eastAsia="Times New Roman" w:hAnsi="Times New Roman"/>
                <w:sz w:val="18"/>
                <w:szCs w:val="18"/>
              </w:rPr>
              <w:t xml:space="preserve">Claim Support Rate</w:t>
            </w:r>
          </w:p>
        </w:tc>
        <w:tc>
          <w:tcPr>
            <w:tcW w:type="dxa" w:w="4400"/>
            <w:shd w:fill="F2F2F2" w:color="auto" w:val="clear"/>
          </w:tcPr>
          <w:p>
            <w:r>
              <w:rPr>
                <w:rFonts w:ascii="Times New Roman" w:cs="Times New Roman" w:eastAsia="Times New Roman" w:hAnsi="Times New Roman"/>
                <w:sz w:val="18"/>
                <w:szCs w:val="18"/>
              </w:rPr>
              <w:t xml:space="preserve">Proportion of extracted claims classified as "supported" (cosine similarity ≥ 0.72) by the validation agent against the clinical knowledge base.</w:t>
            </w:r>
          </w:p>
        </w:tc>
        <w:tc>
          <w:tcPr>
            <w:tcW w:type="dxa" w:w="1320"/>
            <w:shd w:fill="F2F2F2" w:color="auto" w:val="clear"/>
          </w:tcPr>
          <w:p>
            <w:r>
              <w:rPr>
                <w:rFonts w:ascii="Times New Roman" w:cs="Times New Roman" w:eastAsia="Times New Roman" w:hAnsi="Times New Roman"/>
                <w:sz w:val="18"/>
                <w:szCs w:val="18"/>
              </w:rPr>
              <w:t xml:space="preserve">Mean ± SD across 5 runs</w:t>
            </w:r>
          </w:p>
        </w:tc>
      </w:tr>
      <w:tr>
        <w:tc>
          <w:tcPr>
            <w:tcW w:type="dxa" w:w="2200"/>
            <w:shd w:fill="FFFFFF" w:color="auto" w:val="clear"/>
          </w:tcPr>
          <w:p>
            <w:r>
              <w:rPr>
                <w:rFonts w:ascii="Times New Roman" w:cs="Times New Roman" w:eastAsia="Times New Roman" w:hAnsi="Times New Roman"/>
                <w:sz w:val="18"/>
                <w:szCs w:val="18"/>
              </w:rPr>
              <w:t xml:space="preserve">Schema Compliance Rate</w:t>
            </w:r>
          </w:p>
        </w:tc>
        <w:tc>
          <w:tcPr>
            <w:tcW w:type="dxa" w:w="4400"/>
            <w:shd w:fill="FFFFFF" w:color="auto" w:val="clear"/>
          </w:tcPr>
          <w:p>
            <w:r>
              <w:rPr>
                <w:rFonts w:ascii="Times New Roman" w:cs="Times New Roman" w:eastAsia="Times New Roman" w:hAnsi="Times New Roman"/>
                <w:sz w:val="18"/>
                <w:szCs w:val="18"/>
              </w:rPr>
              <w:t xml:space="preserve">Proportion of pipeline runs in which all structured agent outputs conform to their defined JSON schemas without manual repair.</w:t>
            </w:r>
          </w:p>
        </w:tc>
        <w:tc>
          <w:tcPr>
            <w:tcW w:type="dxa" w:w="1320"/>
            <w:shd w:fill="FFFFFF" w:color="auto" w:val="clear"/>
          </w:tcPr>
          <w:p>
            <w:r>
              <w:rPr>
                <w:rFonts w:ascii="Times New Roman" w:cs="Times New Roman" w:eastAsia="Times New Roman" w:hAnsi="Times New Roman"/>
                <w:sz w:val="18"/>
                <w:szCs w:val="18"/>
              </w:rPr>
              <w:t xml:space="preserve">Mean ± SD across 5 runs</w:t>
            </w:r>
          </w:p>
        </w:tc>
      </w:tr>
    </w:tbl>
    <w:p>
      <w:pPr>
        <w:spacing w:after="80"/>
      </w:pPr>
    </w:p>
    <w:p>
      <w:pPr>
        <w:pStyle w:val="Heading2"/>
        <w:spacing w:after="100" w:before="200"/>
      </w:pPr>
      <w:r>
        <w:t xml:space="preserve">2.3  Safety Metrics</w:t>
      </w:r>
    </w:p>
    <w:tbl>
      <w:tblPr>
        <w:tblW w:type="dxa" w:w="792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2400"/>
        <w:gridCol w:w="4200"/>
        <w:gridCol w:w="1320"/>
      </w:tblGrid>
      <w:tr>
        <w:trPr>
          <w:tblHeader/>
        </w:trPr>
        <w:tc>
          <w:tcPr>
            <w:tcW w:type="dxa" w:w="2400"/>
            <w:shd w:fill="D9E1F2" w:color="auto" w:val="clear"/>
          </w:tcPr>
          <w:p>
            <w:pPr>
              <w:jc w:val="center"/>
            </w:pPr>
            <w:r>
              <w:rPr>
                <w:rFonts w:ascii="Times New Roman" w:cs="Times New Roman" w:eastAsia="Times New Roman" w:hAnsi="Times New Roman"/>
                <w:b/>
                <w:bCs/>
                <w:sz w:val="19"/>
                <w:szCs w:val="19"/>
              </w:rPr>
              <w:t xml:space="preserve">Metric</w:t>
            </w:r>
          </w:p>
        </w:tc>
        <w:tc>
          <w:tcPr>
            <w:tcW w:type="dxa" w:w="4200"/>
            <w:shd w:fill="D9E1F2" w:color="auto" w:val="clear"/>
          </w:tcPr>
          <w:p>
            <w:pPr>
              <w:jc w:val="center"/>
            </w:pPr>
            <w:r>
              <w:rPr>
                <w:rFonts w:ascii="Times New Roman" w:cs="Times New Roman" w:eastAsia="Times New Roman" w:hAnsi="Times New Roman"/>
                <w:b/>
                <w:bCs/>
                <w:sz w:val="19"/>
                <w:szCs w:val="19"/>
              </w:rPr>
              <w:t xml:space="preserve">Definition</w:t>
            </w:r>
          </w:p>
        </w:tc>
        <w:tc>
          <w:tcPr>
            <w:tcW w:type="dxa" w:w="1320"/>
            <w:shd w:fill="D9E1F2" w:color="auto" w:val="clear"/>
          </w:tcPr>
          <w:p>
            <w:pPr>
              <w:jc w:val="center"/>
            </w:pPr>
            <w:r>
              <w:rPr>
                <w:rFonts w:ascii="Times New Roman" w:cs="Times New Roman" w:eastAsia="Times New Roman" w:hAnsi="Times New Roman"/>
                <w:b/>
                <w:bCs/>
                <w:sz w:val="19"/>
                <w:szCs w:val="19"/>
              </w:rPr>
              <w:t xml:space="preserve">Reported As</w:t>
            </w:r>
          </w:p>
        </w:tc>
      </w:tr>
      <w:tr>
        <w:tc>
          <w:tcPr>
            <w:tcW w:type="dxa" w:w="2400"/>
            <w:shd w:fill="FFFFFF" w:color="auto" w:val="clear"/>
          </w:tcPr>
          <w:p>
            <w:r>
              <w:rPr>
                <w:rFonts w:ascii="Times New Roman" w:cs="Times New Roman" w:eastAsia="Times New Roman" w:hAnsi="Times New Roman"/>
                <w:sz w:val="18"/>
                <w:szCs w:val="18"/>
              </w:rPr>
              <w:t xml:space="preserve">Safety Override Precision</w:t>
            </w:r>
          </w:p>
        </w:tc>
        <w:tc>
          <w:tcPr>
            <w:tcW w:type="dxa" w:w="4200"/>
            <w:shd w:fill="FFFFFF" w:color="auto" w:val="clear"/>
          </w:tcPr>
          <w:p>
            <w:r>
              <w:rPr>
                <w:rFonts w:ascii="Times New Roman" w:cs="Times New Roman" w:eastAsia="Times New Roman" w:hAnsi="Times New Roman"/>
                <w:sz w:val="18"/>
                <w:szCs w:val="18"/>
              </w:rPr>
              <w:t xml:space="preserve">Proportion of triggered safety overrides that correspond to genuine crisis inputs (true positives / all triggered overrides).</w:t>
            </w:r>
          </w:p>
        </w:tc>
        <w:tc>
          <w:tcPr>
            <w:tcW w:type="dxa" w:w="1320"/>
            <w:shd w:fill="FFFFFF" w:color="auto" w:val="clear"/>
          </w:tcPr>
          <w:p>
            <w:r>
              <w:rPr>
                <w:rFonts w:ascii="Times New Roman" w:cs="Times New Roman" w:eastAsia="Times New Roman" w:hAnsi="Times New Roman"/>
                <w:sz w:val="18"/>
                <w:szCs w:val="18"/>
              </w:rPr>
              <w:t xml:space="preserve">Mean ± SD; 95 % bootstrap CI</w:t>
            </w:r>
          </w:p>
        </w:tc>
      </w:tr>
      <w:tr>
        <w:tc>
          <w:tcPr>
            <w:tcW w:type="dxa" w:w="2400"/>
            <w:shd w:fill="F2F2F2" w:color="auto" w:val="clear"/>
          </w:tcPr>
          <w:p>
            <w:r>
              <w:rPr>
                <w:rFonts w:ascii="Times New Roman" w:cs="Times New Roman" w:eastAsia="Times New Roman" w:hAnsi="Times New Roman"/>
                <w:sz w:val="18"/>
                <w:szCs w:val="18"/>
              </w:rPr>
              <w:t xml:space="preserve">Safety Override Recall</w:t>
            </w:r>
          </w:p>
        </w:tc>
        <w:tc>
          <w:tcPr>
            <w:tcW w:type="dxa" w:w="4200"/>
            <w:shd w:fill="F2F2F2" w:color="auto" w:val="clear"/>
          </w:tcPr>
          <w:p>
            <w:r>
              <w:rPr>
                <w:rFonts w:ascii="Times New Roman" w:cs="Times New Roman" w:eastAsia="Times New Roman" w:hAnsi="Times New Roman"/>
                <w:sz w:val="18"/>
                <w:szCs w:val="18"/>
              </w:rPr>
              <w:t xml:space="preserve">Proportion of genuine crisis inputs that correctly triggered the safety override. Recall is the primary safety statistic.</w:t>
            </w:r>
          </w:p>
        </w:tc>
        <w:tc>
          <w:tcPr>
            <w:tcW w:type="dxa" w:w="1320"/>
            <w:shd w:fill="F2F2F2" w:color="auto" w:val="clear"/>
          </w:tcPr>
          <w:p>
            <w:r>
              <w:rPr>
                <w:rFonts w:ascii="Times New Roman" w:cs="Times New Roman" w:eastAsia="Times New Roman" w:hAnsi="Times New Roman"/>
                <w:sz w:val="18"/>
                <w:szCs w:val="18"/>
              </w:rPr>
              <w:t xml:space="preserve">Mean ± SD; 95 % bootstrap CI</w:t>
            </w:r>
          </w:p>
        </w:tc>
      </w:tr>
      <w:tr>
        <w:tc>
          <w:tcPr>
            <w:tcW w:type="dxa" w:w="2400"/>
            <w:shd w:fill="FFFFFF" w:color="auto" w:val="clear"/>
          </w:tcPr>
          <w:p>
            <w:r>
              <w:rPr>
                <w:rFonts w:ascii="Times New Roman" w:cs="Times New Roman" w:eastAsia="Times New Roman" w:hAnsi="Times New Roman"/>
                <w:sz w:val="18"/>
                <w:szCs w:val="18"/>
              </w:rPr>
              <w:t xml:space="preserve">Safety Override F1</w:t>
            </w:r>
          </w:p>
        </w:tc>
        <w:tc>
          <w:tcPr>
            <w:tcW w:type="dxa" w:w="4200"/>
            <w:shd w:fill="FFFFFF" w:color="auto" w:val="clear"/>
          </w:tcPr>
          <w:p>
            <w:r>
              <w:rPr>
                <w:rFonts w:ascii="Times New Roman" w:cs="Times New Roman" w:eastAsia="Times New Roman" w:hAnsi="Times New Roman"/>
                <w:sz w:val="18"/>
                <w:szCs w:val="18"/>
              </w:rPr>
              <w:t xml:space="preserve">Harmonic mean of precision and recall.</w:t>
            </w:r>
          </w:p>
        </w:tc>
        <w:tc>
          <w:tcPr>
            <w:tcW w:type="dxa" w:w="1320"/>
            <w:shd w:fill="FFFFFF" w:color="auto" w:val="clear"/>
          </w:tcPr>
          <w:p>
            <w:r>
              <w:rPr>
                <w:rFonts w:ascii="Times New Roman" w:cs="Times New Roman" w:eastAsia="Times New Roman" w:hAnsi="Times New Roman"/>
                <w:sz w:val="18"/>
                <w:szCs w:val="18"/>
              </w:rPr>
              <w:t xml:space="preserve">Mean ± SD; 95 % bootstrap CI</w:t>
            </w:r>
          </w:p>
        </w:tc>
      </w:tr>
    </w:tbl>
    <w:p>
      <w:pPr>
        <w:spacing w:after="80"/>
      </w:pPr>
    </w:p>
    <w:p>
      <w:pPr>
        <w:pStyle w:val="Heading2"/>
        <w:spacing w:after="100" w:before="200"/>
      </w:pPr>
      <w:r>
        <w:t xml:space="preserve">2.4  Efficiency Metrics</w:t>
      </w:r>
    </w:p>
    <w:tbl>
      <w:tblPr>
        <w:tblW w:type="dxa" w:w="792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2800"/>
        <w:gridCol w:w="4000"/>
        <w:gridCol w:w="1120"/>
      </w:tblGrid>
      <w:tr>
        <w:trPr>
          <w:tblHeader/>
        </w:trPr>
        <w:tc>
          <w:tcPr>
            <w:tcW w:type="dxa" w:w="2800"/>
            <w:shd w:fill="D9E1F2" w:color="auto" w:val="clear"/>
          </w:tcPr>
          <w:p>
            <w:pPr>
              <w:jc w:val="center"/>
            </w:pPr>
            <w:r>
              <w:rPr>
                <w:rFonts w:ascii="Times New Roman" w:cs="Times New Roman" w:eastAsia="Times New Roman" w:hAnsi="Times New Roman"/>
                <w:b/>
                <w:bCs/>
                <w:sz w:val="19"/>
                <w:szCs w:val="19"/>
              </w:rPr>
              <w:t xml:space="preserve">Metric</w:t>
            </w:r>
          </w:p>
        </w:tc>
        <w:tc>
          <w:tcPr>
            <w:tcW w:type="dxa" w:w="4000"/>
            <w:shd w:fill="D9E1F2" w:color="auto" w:val="clear"/>
          </w:tcPr>
          <w:p>
            <w:pPr>
              <w:jc w:val="center"/>
            </w:pPr>
            <w:r>
              <w:rPr>
                <w:rFonts w:ascii="Times New Roman" w:cs="Times New Roman" w:eastAsia="Times New Roman" w:hAnsi="Times New Roman"/>
                <w:b/>
                <w:bCs/>
                <w:sz w:val="19"/>
                <w:szCs w:val="19"/>
              </w:rPr>
              <w:t xml:space="preserve">Definition</w:t>
            </w:r>
          </w:p>
        </w:tc>
        <w:tc>
          <w:tcPr>
            <w:tcW w:type="dxa" w:w="1120"/>
            <w:shd w:fill="D9E1F2" w:color="auto" w:val="clear"/>
          </w:tcPr>
          <w:p>
            <w:pPr>
              <w:jc w:val="center"/>
            </w:pPr>
            <w:r>
              <w:rPr>
                <w:rFonts w:ascii="Times New Roman" w:cs="Times New Roman" w:eastAsia="Times New Roman" w:hAnsi="Times New Roman"/>
                <w:b/>
                <w:bCs/>
                <w:sz w:val="19"/>
                <w:szCs w:val="19"/>
              </w:rPr>
              <w:t xml:space="preserve">Reported As</w:t>
            </w:r>
          </w:p>
        </w:tc>
      </w:tr>
      <w:tr>
        <w:tc>
          <w:tcPr>
            <w:tcW w:type="dxa" w:w="2800"/>
            <w:shd w:fill="FFFFFF" w:color="auto" w:val="clear"/>
          </w:tcPr>
          <w:p>
            <w:r>
              <w:rPr>
                <w:rFonts w:ascii="Times New Roman" w:cs="Times New Roman" w:eastAsia="Times New Roman" w:hAnsi="Times New Roman"/>
                <w:sz w:val="18"/>
                <w:szCs w:val="18"/>
              </w:rPr>
              <w:t xml:space="preserve">Overall Latency (totalRequestMs)</w:t>
            </w:r>
          </w:p>
        </w:tc>
        <w:tc>
          <w:tcPr>
            <w:tcW w:type="dxa" w:w="4000"/>
            <w:shd w:fill="FFFFFF" w:color="auto" w:val="clear"/>
          </w:tcPr>
          <w:p>
            <w:r>
              <w:rPr>
                <w:rFonts w:ascii="Times New Roman" w:cs="Times New Roman" w:eastAsia="Times New Roman" w:hAnsi="Times New Roman"/>
                <w:sz w:val="18"/>
                <w:szCs w:val="18"/>
              </w:rPr>
              <w:t xml:space="preserve">Wall-clock time from API request receipt to full response delivery.</w:t>
            </w:r>
          </w:p>
        </w:tc>
        <w:tc>
          <w:tcPr>
            <w:tcW w:type="dxa" w:w="1120"/>
            <w:shd w:fill="FFFFFF" w:color="auto" w:val="clear"/>
          </w:tcPr>
          <w:p>
            <w:r>
              <w:rPr>
                <w:rFonts w:ascii="Times New Roman" w:cs="Times New Roman" w:eastAsia="Times New Roman" w:hAnsi="Times New Roman"/>
                <w:sz w:val="18"/>
                <w:szCs w:val="18"/>
              </w:rPr>
              <w:t xml:space="preserve">Mean ± SD in ms</w:t>
            </w:r>
          </w:p>
        </w:tc>
      </w:tr>
      <w:tr>
        <w:tc>
          <w:tcPr>
            <w:tcW w:type="dxa" w:w="2800"/>
            <w:shd w:fill="F2F2F2" w:color="auto" w:val="clear"/>
          </w:tcPr>
          <w:p>
            <w:r>
              <w:rPr>
                <w:rFonts w:ascii="Times New Roman" w:cs="Times New Roman" w:eastAsia="Times New Roman" w:hAnsi="Times New Roman"/>
                <w:sz w:val="18"/>
                <w:szCs w:val="18"/>
              </w:rPr>
              <w:t xml:space="preserve">Pre-assessment Phase (preAssessMs)</w:t>
            </w:r>
          </w:p>
        </w:tc>
        <w:tc>
          <w:tcPr>
            <w:tcW w:type="dxa" w:w="4000"/>
            <w:shd w:fill="F2F2F2" w:color="auto" w:val="clear"/>
          </w:tcPr>
          <w:p>
            <w:r>
              <w:rPr>
                <w:rFonts w:ascii="Times New Roman" w:cs="Times New Roman" w:eastAsia="Times New Roman" w:hAnsi="Times New Roman"/>
                <w:sz w:val="18"/>
                <w:szCs w:val="18"/>
              </w:rPr>
              <w:t xml:space="preserve">Time for input validation, safety check, and GAD-7 scoring.</w:t>
            </w:r>
          </w:p>
        </w:tc>
        <w:tc>
          <w:tcPr>
            <w:tcW w:type="dxa" w:w="1120"/>
            <w:shd w:fill="F2F2F2" w:color="auto" w:val="clear"/>
          </w:tcPr>
          <w:p>
            <w:r>
              <w:rPr>
                <w:rFonts w:ascii="Times New Roman" w:cs="Times New Roman" w:eastAsia="Times New Roman" w:hAnsi="Times New Roman"/>
                <w:sz w:val="18"/>
                <w:szCs w:val="18"/>
              </w:rPr>
              <w:t xml:space="preserve">Mean ± SD in ms</w:t>
            </w:r>
          </w:p>
        </w:tc>
      </w:tr>
      <w:tr>
        <w:tc>
          <w:tcPr>
            <w:tcW w:type="dxa" w:w="2800"/>
            <w:shd w:fill="FFFFFF" w:color="auto" w:val="clear"/>
          </w:tcPr>
          <w:p>
            <w:r>
              <w:rPr>
                <w:rFonts w:ascii="Times New Roman" w:cs="Times New Roman" w:eastAsia="Times New Roman" w:hAnsi="Times New Roman"/>
                <w:sz w:val="18"/>
                <w:szCs w:val="18"/>
              </w:rPr>
              <w:t xml:space="preserve">Mastra Pipeline Phase (mastraMs)</w:t>
            </w:r>
          </w:p>
        </w:tc>
        <w:tc>
          <w:tcPr>
            <w:tcW w:type="dxa" w:w="4000"/>
            <w:shd w:fill="FFFFFF" w:color="auto" w:val="clear"/>
          </w:tcPr>
          <w:p>
            <w:r>
              <w:rPr>
                <w:rFonts w:ascii="Times New Roman" w:cs="Times New Roman" w:eastAsia="Times New Roman" w:hAnsi="Times New Roman"/>
                <w:sz w:val="18"/>
                <w:szCs w:val="18"/>
              </w:rPr>
              <w:t xml:space="preserve">Time for all six agents, claims builder, retrieval, and validation.</w:t>
            </w:r>
          </w:p>
        </w:tc>
        <w:tc>
          <w:tcPr>
            <w:tcW w:type="dxa" w:w="1120"/>
            <w:shd w:fill="FFFFFF" w:color="auto" w:val="clear"/>
          </w:tcPr>
          <w:p>
            <w:r>
              <w:rPr>
                <w:rFonts w:ascii="Times New Roman" w:cs="Times New Roman" w:eastAsia="Times New Roman" w:hAnsi="Times New Roman"/>
                <w:sz w:val="18"/>
                <w:szCs w:val="18"/>
              </w:rPr>
              <w:t xml:space="preserve">Mean ± SD in ms</w:t>
            </w:r>
          </w:p>
        </w:tc>
      </w:tr>
      <w:tr>
        <w:tc>
          <w:tcPr>
            <w:tcW w:type="dxa" w:w="2800"/>
            <w:shd w:fill="F2F2F2" w:color="auto" w:val="clear"/>
          </w:tcPr>
          <w:p>
            <w:r>
              <w:rPr>
                <w:rFonts w:ascii="Times New Roman" w:cs="Times New Roman" w:eastAsia="Times New Roman" w:hAnsi="Times New Roman"/>
                <w:sz w:val="18"/>
                <w:szCs w:val="18"/>
              </w:rPr>
              <w:t xml:space="preserve">Grounding Phase (groundingMs)</w:t>
            </w:r>
          </w:p>
        </w:tc>
        <w:tc>
          <w:tcPr>
            <w:tcW w:type="dxa" w:w="4000"/>
            <w:shd w:fill="F2F2F2" w:color="auto" w:val="clear"/>
          </w:tcPr>
          <w:p>
            <w:r>
              <w:rPr>
                <w:rFonts w:ascii="Times New Roman" w:cs="Times New Roman" w:eastAsia="Times New Roman" w:hAnsi="Times New Roman"/>
                <w:sz w:val="18"/>
                <w:szCs w:val="18"/>
              </w:rPr>
              <w:t xml:space="preserve">Time for RAG retrieval and evidence validation.</w:t>
            </w:r>
          </w:p>
        </w:tc>
        <w:tc>
          <w:tcPr>
            <w:tcW w:type="dxa" w:w="1120"/>
            <w:shd w:fill="F2F2F2" w:color="auto" w:val="clear"/>
          </w:tcPr>
          <w:p>
            <w:r>
              <w:rPr>
                <w:rFonts w:ascii="Times New Roman" w:cs="Times New Roman" w:eastAsia="Times New Roman" w:hAnsi="Times New Roman"/>
                <w:sz w:val="18"/>
                <w:szCs w:val="18"/>
              </w:rPr>
              <w:t xml:space="preserve">Mean ± SD in ms</w:t>
            </w:r>
          </w:p>
        </w:tc>
      </w:tr>
    </w:tbl>
    <w:p>
      <w:pPr>
        <w:spacing w:after="80"/>
      </w:pPr>
    </w:p>
    <w:p>
      <w:pPr>
        <w:pStyle w:val="Heading1"/>
        <w:spacing w:after="160" w:before="320"/>
      </w:pPr>
      <w:r>
        <w:t xml:space="preserve">3. Datasets</w:t>
      </w:r>
    </w:p>
    <w:p>
      <w:pPr>
        <w:spacing w:after="120"/>
      </w:pPr>
      <w:r>
        <w:rPr>
          <w:rFonts w:ascii="Times New Roman" w:cs="Times New Roman" w:eastAsia="Times New Roman" w:hAnsi="Times New Roman"/>
          <w:sz w:val="22"/>
          <w:szCs w:val="22"/>
        </w:rPr>
        <w:t xml:space="preserve">Two datasets are used in the primary evaluation. Both are drawn from Reddit and are compatible with the AnxioSense social media screening mode. Dreaddit provides end-to-end stress and anxiety detection labels; GoEmotions provides fine-grained emotion labels that align with the Emotion Analysis Agent output schema. Both are published in peer-reviewed venues.</w:t>
      </w:r>
    </w:p>
    <w:p>
      <w:pPr>
        <w:spacing w:after="80"/>
      </w:pPr>
    </w:p>
    <w:tbl>
      <w:tblPr>
        <w:tblW w:type="dxa" w:w="792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2000"/>
        <w:gridCol w:w="3460"/>
        <w:gridCol w:w="3460"/>
      </w:tblGrid>
      <w:tr>
        <w:tc>
          <w:tcPr>
            <w:tcW w:type="dxa" w:w="2000"/>
            <w:shd w:fill="D9E1F2" w:color="auto" w:val="clear"/>
          </w:tcPr>
          <w:p>
            <w:r>
              <w:rPr>
                <w:rFonts w:ascii="Times New Roman" w:cs="Times New Roman" w:eastAsia="Times New Roman" w:hAnsi="Times New Roman"/>
                <w:b/>
                <w:bCs/>
                <w:sz w:val="18"/>
                <w:szCs w:val="18"/>
              </w:rPr>
              <w:t xml:space="preserve">Property</w:t>
            </w:r>
          </w:p>
        </w:tc>
        <w:tc>
          <w:tcPr>
            <w:tcW w:type="dxa" w:w="3460"/>
            <w:shd w:fill="D9E1F2" w:color="auto" w:val="clear"/>
          </w:tcPr>
          <w:p>
            <w:r>
              <w:rPr>
                <w:rFonts w:ascii="Times New Roman" w:cs="Times New Roman" w:eastAsia="Times New Roman" w:hAnsi="Times New Roman"/>
                <w:b/>
                <w:bCs/>
                <w:sz w:val="18"/>
                <w:szCs w:val="18"/>
              </w:rPr>
              <w:t xml:space="preserve">Dataset 1 — Dreaddit</w:t>
            </w:r>
          </w:p>
        </w:tc>
        <w:tc>
          <w:tcPr>
            <w:tcW w:type="dxa" w:w="3460"/>
            <w:shd w:fill="D9E1F2" w:color="auto" w:val="clear"/>
          </w:tcPr>
          <w:p>
            <w:r>
              <w:rPr>
                <w:rFonts w:ascii="Times New Roman" w:cs="Times New Roman" w:eastAsia="Times New Roman" w:hAnsi="Times New Roman"/>
                <w:b/>
                <w:bCs/>
                <w:sz w:val="18"/>
                <w:szCs w:val="18"/>
              </w:rPr>
              <w:t xml:space="preserve">Dataset 2 — GoEmotions</w:t>
            </w:r>
          </w:p>
        </w:tc>
      </w:tr>
      <w:tr>
        <w:tc>
          <w:tcPr>
            <w:tcW w:type="dxa" w:w="2000"/>
            <w:shd w:fill="F2F2F2" w:color="auto" w:val="clear"/>
          </w:tcPr>
          <w:p>
            <w:r>
              <w:rPr>
                <w:rFonts w:ascii="Times New Roman" w:cs="Times New Roman" w:eastAsia="Times New Roman" w:hAnsi="Times New Roman"/>
                <w:b/>
                <w:bCs/>
                <w:sz w:val="18"/>
                <w:szCs w:val="18"/>
              </w:rPr>
              <w:t xml:space="preserve">Dataset</w:t>
            </w:r>
          </w:p>
        </w:tc>
        <w:tc>
          <w:tcPr>
            <w:tcW w:type="dxa" w:w="3460"/>
            <w:shd w:fill="FFFFFF" w:color="auto" w:val="clear"/>
          </w:tcPr>
          <w:p>
            <w:r>
              <w:rPr>
                <w:rFonts w:ascii="Times New Roman" w:cs="Times New Roman" w:eastAsia="Times New Roman" w:hAnsi="Times New Roman"/>
                <w:sz w:val="18"/>
                <w:szCs w:val="18"/>
              </w:rPr>
              <w:t xml:space="preserve">Dreaddit: A Reddit Dataset for Stress Analysis in Social Media</w:t>
            </w:r>
          </w:p>
        </w:tc>
        <w:tc>
          <w:tcPr>
            <w:tcW w:type="dxa" w:w="3460"/>
            <w:shd w:fill="FFFFFF" w:color="auto" w:val="clear"/>
          </w:tcPr>
          <w:p>
            <w:r>
              <w:rPr>
                <w:rFonts w:ascii="Times New Roman" w:cs="Times New Roman" w:eastAsia="Times New Roman" w:hAnsi="Times New Roman"/>
                <w:sz w:val="18"/>
                <w:szCs w:val="18"/>
              </w:rPr>
              <w:t xml:space="preserve">GoEmotions: A Dataset of Fine-Grained Emotions</w:t>
            </w:r>
          </w:p>
        </w:tc>
      </w:tr>
      <w:tr>
        <w:tc>
          <w:tcPr>
            <w:tcW w:type="dxa" w:w="2000"/>
            <w:shd w:fill="F2F2F2" w:color="auto" w:val="clear"/>
          </w:tcPr>
          <w:p>
            <w:r>
              <w:rPr>
                <w:rFonts w:ascii="Times New Roman" w:cs="Times New Roman" w:eastAsia="Times New Roman" w:hAnsi="Times New Roman"/>
                <w:b/>
                <w:bCs/>
                <w:sz w:val="18"/>
                <w:szCs w:val="18"/>
              </w:rPr>
              <w:t xml:space="preserve">Purpose in AnxioSense</w:t>
            </w:r>
          </w:p>
        </w:tc>
        <w:tc>
          <w:tcPr>
            <w:tcW w:type="dxa" w:w="3460"/>
            <w:shd w:fill="FFFFFF" w:color="auto" w:val="clear"/>
          </w:tcPr>
          <w:p>
            <w:r>
              <w:rPr>
                <w:rFonts w:ascii="Times New Roman" w:cs="Times New Roman" w:eastAsia="Times New Roman" w:hAnsi="Times New Roman"/>
                <w:sz w:val="18"/>
                <w:szCs w:val="18"/>
              </w:rPr>
              <w:t xml:space="preserve">Benchmark for end-to-end stress/anxiety detection and referral level classification</w:t>
            </w:r>
          </w:p>
        </w:tc>
        <w:tc>
          <w:tcPr>
            <w:tcW w:type="dxa" w:w="3460"/>
            <w:shd w:fill="FFFFFF" w:color="auto" w:val="clear"/>
          </w:tcPr>
          <w:p>
            <w:r>
              <w:rPr>
                <w:rFonts w:ascii="Times New Roman" w:cs="Times New Roman" w:eastAsia="Times New Roman" w:hAnsi="Times New Roman"/>
                <w:sz w:val="18"/>
                <w:szCs w:val="18"/>
              </w:rPr>
              <w:t xml:space="preserve">Benchmark for Emotion Analysis Agent; fine-grained emotion recognition from social media text</w:t>
            </w:r>
          </w:p>
        </w:tc>
      </w:tr>
      <w:tr>
        <w:tc>
          <w:tcPr>
            <w:tcW w:type="dxa" w:w="2000"/>
            <w:shd w:fill="F2F2F2" w:color="auto" w:val="clear"/>
          </w:tcPr>
          <w:p>
            <w:r>
              <w:rPr>
                <w:rFonts w:ascii="Times New Roman" w:cs="Times New Roman" w:eastAsia="Times New Roman" w:hAnsi="Times New Roman"/>
                <w:b/>
                <w:bCs/>
                <w:sz w:val="18"/>
                <w:szCs w:val="18"/>
              </w:rPr>
              <w:t xml:space="preserve">Task</w:t>
            </w:r>
          </w:p>
        </w:tc>
        <w:tc>
          <w:tcPr>
            <w:tcW w:type="dxa" w:w="3460"/>
            <w:shd w:fill="FFFFFF" w:color="auto" w:val="clear"/>
          </w:tcPr>
          <w:p>
            <w:r>
              <w:rPr>
                <w:rFonts w:ascii="Times New Roman" w:cs="Times New Roman" w:eastAsia="Times New Roman" w:hAnsi="Times New Roman"/>
                <w:sz w:val="18"/>
                <w:szCs w:val="18"/>
              </w:rPr>
              <w:t xml:space="preserve">Binary stress classification (stressed / not stressed)</w:t>
            </w:r>
          </w:p>
        </w:tc>
        <w:tc>
          <w:tcPr>
            <w:tcW w:type="dxa" w:w="3460"/>
            <w:shd w:fill="FFFFFF" w:color="auto" w:val="clear"/>
          </w:tcPr>
          <w:p>
            <w:r>
              <w:rPr>
                <w:rFonts w:ascii="Times New Roman" w:cs="Times New Roman" w:eastAsia="Times New Roman" w:hAnsi="Times New Roman"/>
                <w:sz w:val="18"/>
                <w:szCs w:val="18"/>
              </w:rPr>
              <w:t xml:space="preserve">Multi-label fine-grained emotion classification (27 emotion categories + neutral)</w:t>
            </w:r>
          </w:p>
        </w:tc>
      </w:tr>
      <w:tr>
        <w:tc>
          <w:tcPr>
            <w:tcW w:type="dxa" w:w="2000"/>
            <w:shd w:fill="F2F2F2" w:color="auto" w:val="clear"/>
          </w:tcPr>
          <w:p>
            <w:r>
              <w:rPr>
                <w:rFonts w:ascii="Times New Roman" w:cs="Times New Roman" w:eastAsia="Times New Roman" w:hAnsi="Times New Roman"/>
                <w:b/>
                <w:bCs/>
                <w:sz w:val="18"/>
                <w:szCs w:val="18"/>
              </w:rPr>
              <w:t xml:space="preserve">Size</w:t>
            </w:r>
          </w:p>
        </w:tc>
        <w:tc>
          <w:tcPr>
            <w:tcW w:type="dxa" w:w="3460"/>
            <w:shd w:fill="FFFFFF" w:color="auto" w:val="clear"/>
          </w:tcPr>
          <w:p>
            <w:r>
              <w:rPr>
                <w:rFonts w:ascii="Times New Roman" w:cs="Times New Roman" w:eastAsia="Times New Roman" w:hAnsi="Times New Roman"/>
                <w:sz w:val="18"/>
                <w:szCs w:val="18"/>
              </w:rPr>
              <w:t xml:space="preserve">3,553 labeled segments from 190,000+ Reddit posts (Train: 2,838; Test: 715)</w:t>
            </w:r>
          </w:p>
        </w:tc>
        <w:tc>
          <w:tcPr>
            <w:tcW w:type="dxa" w:w="3460"/>
            <w:shd w:fill="FFFFFF" w:color="auto" w:val="clear"/>
          </w:tcPr>
          <w:p>
            <w:r>
              <w:rPr>
                <w:rFonts w:ascii="Times New Roman" w:cs="Times New Roman" w:eastAsia="Times New Roman" w:hAnsi="Times New Roman"/>
                <w:sz w:val="18"/>
                <w:szCs w:val="18"/>
              </w:rPr>
              <w:t xml:space="preserve">58,009 English Reddit comments; anxiety-relevant subset: 27,647 comments</w:t>
            </w:r>
          </w:p>
        </w:tc>
      </w:tr>
      <w:tr>
        <w:tc>
          <w:tcPr>
            <w:tcW w:type="dxa" w:w="2000"/>
            <w:shd w:fill="F2F2F2" w:color="auto" w:val="clear"/>
          </w:tcPr>
          <w:p>
            <w:r>
              <w:rPr>
                <w:rFonts w:ascii="Times New Roman" w:cs="Times New Roman" w:eastAsia="Times New Roman" w:hAnsi="Times New Roman"/>
                <w:b/>
                <w:bCs/>
                <w:sz w:val="18"/>
                <w:szCs w:val="18"/>
              </w:rPr>
              <w:t xml:space="preserve">Source</w:t>
            </w:r>
          </w:p>
        </w:tc>
        <w:tc>
          <w:tcPr>
            <w:tcW w:type="dxa" w:w="3460"/>
            <w:shd w:fill="FFFFFF" w:color="auto" w:val="clear"/>
          </w:tcPr>
          <w:p>
            <w:r>
              <w:rPr>
                <w:rFonts w:ascii="Times New Roman" w:cs="Times New Roman" w:eastAsia="Times New Roman" w:hAnsi="Times New Roman"/>
                <w:sz w:val="18"/>
                <w:szCs w:val="18"/>
              </w:rPr>
              <w:t xml:space="preserve">Turcan &amp; McKeown (2019), LOUHI Workshop @ EMNLP 2019; https://aclanthology.org/D19-6213/</w:t>
            </w:r>
          </w:p>
        </w:tc>
        <w:tc>
          <w:tcPr>
            <w:tcW w:type="dxa" w:w="3460"/>
            <w:shd w:fill="FFFFFF" w:color="auto" w:val="clear"/>
          </w:tcPr>
          <w:p>
            <w:r>
              <w:rPr>
                <w:rFonts w:ascii="Times New Roman" w:cs="Times New Roman" w:eastAsia="Times New Roman" w:hAnsi="Times New Roman"/>
                <w:sz w:val="18"/>
                <w:szCs w:val="18"/>
              </w:rPr>
              <w:t xml:space="preserve">Demszky et al. (2020), ACL 2020; https://aclanthology.org/2020.acl-main.372</w:t>
            </w:r>
          </w:p>
        </w:tc>
      </w:tr>
      <w:tr>
        <w:tc>
          <w:tcPr>
            <w:tcW w:type="dxa" w:w="2000"/>
            <w:shd w:fill="F2F2F2" w:color="auto" w:val="clear"/>
          </w:tcPr>
          <w:p>
            <w:r>
              <w:rPr>
                <w:rFonts w:ascii="Times New Roman" w:cs="Times New Roman" w:eastAsia="Times New Roman" w:hAnsi="Times New Roman"/>
                <w:b/>
                <w:bCs/>
                <w:sz w:val="18"/>
                <w:szCs w:val="18"/>
              </w:rPr>
              <w:t xml:space="preserve">Why it was selected</w:t>
            </w:r>
          </w:p>
        </w:tc>
        <w:tc>
          <w:tcPr>
            <w:tcW w:type="dxa" w:w="3460"/>
            <w:shd w:fill="FFFFFF" w:color="auto" w:val="clear"/>
          </w:tcPr>
          <w:p>
            <w:r>
              <w:rPr>
                <w:rFonts w:ascii="Times New Roman" w:cs="Times New Roman" w:eastAsia="Times New Roman" w:hAnsi="Times New Roman"/>
                <w:sz w:val="18"/>
                <w:szCs w:val="18"/>
              </w:rPr>
              <w:t xml:space="preserve">Social media domain matches AnxioSense input; binary stress labels map to referral levels; widely-used benchmark enabling comparison with prior work</w:t>
            </w:r>
          </w:p>
        </w:tc>
        <w:tc>
          <w:tcPr>
            <w:tcW w:type="dxa" w:w="3460"/>
            <w:shd w:fill="FFFFFF" w:color="auto" w:val="clear"/>
          </w:tcPr>
          <w:p>
            <w:r>
              <w:rPr>
                <w:rFonts w:ascii="Times New Roman" w:cs="Times New Roman" w:eastAsia="Times New Roman" w:hAnsi="Times New Roman"/>
                <w:sz w:val="18"/>
                <w:szCs w:val="18"/>
              </w:rPr>
              <w:t xml:space="preserve">Fine-grained emotion taxonomy (anxiety, stress, sadness, fear) aligns with AnxioSense Emotion Agent output schema; Reddit domain matches pipeline input; largest manually annotated English emotion dataset</w:t>
            </w:r>
          </w:p>
        </w:tc>
      </w:tr>
    </w:tbl>
    <w:p>
      <w:pPr>
        <w:spacing w:after="80"/>
      </w:pPr>
    </w:p>
    <w:p>
      <w:pPr>
        <w:spacing w:after="120"/>
      </w:pPr>
      <w:r>
        <w:rPr>
          <w:rFonts w:ascii="Times New Roman" w:cs="Times New Roman" w:eastAsia="Times New Roman" w:hAnsi="Times New Roman"/>
          <w:sz w:val="22"/>
          <w:szCs w:val="22"/>
        </w:rPr>
        <w:t xml:space="preserve">Dreaddit (Turcan &amp; McKeown, 2019; https://aclanthology.org/D19-6213) is a Reddit-sourced binary stress-detection dataset of 3,553 posts across five subreddits (train: 2,838; test: 715), labeled stressed or not stressed. Its social media domain and binary labels make it a natural end-to-end benchmark for AnxioSense referral-level classification. Subsequent work has incorporated Dreaddit as a standard benchmark: Turcan, Muresan &amp; McKeown (2021) extend it with emotion-infused models for explainable stress detection (NAACL 2021; DOI: 10.18653/v1/2021.naacl-main.230; https://aclanthology.org/2021.naacl-main.230), and Soufleri &amp; Ananiadou (2025) evaluate multi-modal stress detection on Dreaddit at BioNLP @ ACL 2025 (DOI: 10.18653/v1/2025.bionlp-1.4; https://aclanthology.org/2025.bionlp-1.4), confirming its continued adoption.</w:t>
      </w:r>
    </w:p>
    <w:p>
      <w:pPr>
        <w:spacing w:after="120"/>
      </w:pPr>
      <w:r>
        <w:rPr>
          <w:rFonts w:ascii="Times New Roman" w:cs="Times New Roman" w:eastAsia="Times New Roman" w:hAnsi="Times New Roman"/>
          <w:sz w:val="22"/>
          <w:szCs w:val="22"/>
        </w:rPr>
        <w:t xml:space="preserve">GoEmotions (Demszky et al., 2020) is a large-scale manually annotated corpus of 58,009 English Reddit comments labeled across 27 fine-grained emotion categories plus neutral (ACL 2020; DOI: 10.18653/v1/2020.acl-main.372; https://aclanthology.org/2020.acl-main.372). An anxiety-relevant subset of 27,647 comments covers categories (anxiety, fear, sadness, nervousness) that map directly onto the AnxioSense Emotion Agent output schema. Its Reddit origin matches the AnxioSense social media screening mode. Koufakou, Nieves &amp; Peller (2024) include GoEmotions in a cross-corpus generalization benchmark (GenBench @ EMNLP 2024; DOI: 10.18653/v1/2024.genbench-1.13; https://aclanthology.org/2024.genbench-1.13), and Mitsios et al. (2024) demonstrate ordinal classification improvements on GoEmotions (NAACL 2024; DOI: 10.18653/v1/2024.naacl-short.72; https://aclanthology.org/2024.naacl-short.72), validating its suitability for nuanced emotion modeling.</w:t>
      </w:r>
    </w:p>
    <w:p>
      <w:pPr>
        <w:spacing w:after="120"/>
      </w:pPr>
      <w:r>
        <w:rPr>
          <w:rFonts w:ascii="Times New Roman" w:cs="Times New Roman" w:eastAsia="Times New Roman" w:hAnsi="Times New Roman"/>
          <w:sz w:val="22"/>
          <w:szCs w:val="22"/>
        </w:rPr>
        <w:t xml:space="preserve">These two datasets evaluate complementary components of the AnxioSense multi-agent pipeline. Dreaddit targets the Referral and Safety Agent, evaluating end-to-end stress and anxiety detection accuracy and referral-level classification (RQ2, RQ4). GoEmotions targets the Emotion Analysis Agent, evaluating fine-grained emotion recognition and output schema coverage (RQ1, RQ3). Together they provide multi-level evaluation spanning the foundational emotion recognition component and the pipeline's clinical decision-support output.</w:t>
      </w:r>
    </w:p>
    <w:p>
      <w:pPr>
        <w:spacing w:after="80"/>
      </w:pPr>
    </w:p>
    <w:p>
      <w:pPr>
        <w:pStyle w:val="Heading1"/>
        <w:spacing w:after="160" w:before="320"/>
      </w:pPr>
      <w:r>
        <w:t xml:space="preserve">4. Selected LLMs</w:t>
      </w:r>
    </w:p>
    <w:p>
      <w:pPr>
        <w:spacing w:after="120"/>
      </w:pPr>
      <w:r>
        <w:rPr>
          <w:rFonts w:ascii="Times New Roman" w:cs="Times New Roman" w:eastAsia="Times New Roman" w:hAnsi="Times New Roman"/>
          <w:sz w:val="22"/>
          <w:szCs w:val="22"/>
        </w:rPr>
        <w:t xml:space="preserve">Five recent open-weight large language models are evaluated across two inference providers: OpenRouter (free tier) for Llama 4 Scout, Gemma 3, DeepSeek V4 Flash, and Phi-4; Mistral Small 4 is accessed via Mistral La Plateforme (free trial). Using one external provider and one direct provider preserves all five intended model families while minimising infrastructure differences. All models are called at their provider-default temperature (recorded in the table below) to maximise reproducibility. Exact version strings are specified below.</w:t>
      </w:r>
    </w:p>
    <w:p>
      <w:pPr>
        <w:spacing w:after="80"/>
      </w:pPr>
    </w:p>
    <w:tbl>
      <w:tblPr>
        <w:tblW w:type="dxa" w:w="892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500"/>
        <w:gridCol w:w="1700"/>
        <w:gridCol w:w="1150"/>
        <w:gridCol w:w="900"/>
        <w:gridCol w:w="1100"/>
        <w:gridCol w:w="900"/>
        <w:gridCol w:w="750"/>
        <w:gridCol w:w="920"/>
      </w:tblGrid>
      <w:tr>
        <w:tc>
          <w:tcPr>
            <w:tcW w:type="dxa" w:w="1500"/>
            <w:shd w:fill="D9E1F2" w:color="auto" w:val="clear"/>
          </w:tcPr>
          <w:p>
            <w:pPr>
              <w:jc w:val="center"/>
            </w:pPr>
            <w:r>
              <w:rPr>
                <w:rFonts w:ascii="Times New Roman" w:cs="Times New Roman" w:eastAsia="Times New Roman" w:hAnsi="Times New Roman"/>
                <w:b/>
                <w:bCs/>
                <w:sz w:val="19"/>
                <w:szCs w:val="19"/>
              </w:rPr>
              <w:t xml:space="preserve">Model Family</w:t>
            </w:r>
          </w:p>
        </w:tc>
        <w:tc>
          <w:tcPr>
            <w:tcW w:type="dxa" w:w="1700"/>
            <w:shd w:fill="D9E1F2" w:color="auto" w:val="clear"/>
          </w:tcPr>
          <w:p>
            <w:pPr>
              <w:jc w:val="center"/>
            </w:pPr>
            <w:r>
              <w:rPr>
                <w:rFonts w:ascii="Times New Roman" w:cs="Times New Roman" w:eastAsia="Times New Roman" w:hAnsi="Times New Roman"/>
                <w:b/>
                <w:bCs/>
                <w:sz w:val="19"/>
                <w:szCs w:val="19"/>
              </w:rPr>
              <w:t xml:space="preserve">Exact Version / Model String</w:t>
            </w:r>
          </w:p>
        </w:tc>
        <w:tc>
          <w:tcPr>
            <w:tcW w:type="dxa" w:w="1150"/>
            <w:shd w:fill="D9E1F2" w:color="auto" w:val="clear"/>
          </w:tcPr>
          <w:p>
            <w:pPr>
              <w:jc w:val="center"/>
            </w:pPr>
            <w:r>
              <w:rPr>
                <w:rFonts w:ascii="Times New Roman" w:cs="Times New Roman" w:eastAsia="Times New Roman" w:hAnsi="Times New Roman"/>
                <w:b/>
                <w:bCs/>
                <w:sz w:val="19"/>
                <w:szCs w:val="19"/>
              </w:rPr>
              <w:t>Provider</w:t>
            </w:r>
          </w:p>
        </w:tc>
        <w:tc>
          <w:tcPr>
            <w:tcW w:type="dxa" w:w="900"/>
            <w:shd w:fill="D9E1F2" w:color="auto" w:val="clear"/>
          </w:tcPr>
          <w:p>
            <w:pPr>
              <w:jc w:val="center"/>
            </w:pPr>
            <w:r>
              <w:rPr>
                <w:rFonts w:ascii="Times New Roman" w:cs="Times New Roman" w:eastAsia="Times New Roman" w:hAnsi="Times New Roman"/>
                <w:b/>
                <w:bCs/>
                <w:sz w:val="19"/>
                <w:szCs w:val="19"/>
              </w:rPr>
              <w:t xml:space="preserve">Context Window</w:t>
            </w:r>
          </w:p>
        </w:tc>
        <w:tc>
          <w:tcPr>
            <w:tcW w:type="dxa" w:w="1100"/>
            <w:shd w:fill="D9E1F2" w:color="auto" w:val="clear"/>
          </w:tcPr>
          <w:p>
            <w:pPr>
              <w:jc w:val="center"/>
            </w:pPr>
            <w:r>
              <w:rPr>
                <w:rFonts w:ascii="Times New Roman" w:cs="Times New Roman" w:eastAsia="Times New Roman" w:hAnsi="Times New Roman"/>
                <w:b/>
                <w:bCs/>
                <w:sz w:val="19"/>
                <w:szCs w:val="19"/>
              </w:rPr>
              <w:t xml:space="preserve">Knowledge Cutoff</w:t>
            </w:r>
          </w:p>
        </w:tc>
        <w:tc>
          <w:tcPr>
            <w:tcW w:type="dxa" w:w="900"/>
            <w:shd w:fill="D9E1F2" w:color="auto" w:val="clear"/>
          </w:tcPr>
          <w:p>
            <w:pPr>
              <w:jc w:val="center"/>
            </w:pPr>
            <w:r>
              <w:rPr>
                <w:rFonts w:ascii="Times New Roman" w:cs="Times New Roman" w:eastAsia="Times New Roman" w:hAnsi="Times New Roman"/>
                <w:b/>
                <w:bCs/>
                <w:sz w:val="19"/>
                <w:szCs w:val="19"/>
              </w:rPr>
              <w:t>Temperature</w:t>
            </w:r>
            <w:r>
              <w:rPr>
                <w:rFonts w:ascii="Times New Roman" w:cs="Times New Roman" w:eastAsia="Times New Roman" w:hAnsi="Times New Roman"/>
                <w:b/>
                <w:bCs/>
              </w:rPr>
            </w:r>
            <w:r>
              <w:rPr>
                <w:rFonts w:ascii="Times New Roman" w:cs="Times New Roman" w:eastAsia="Times New Roman" w:hAnsi="Times New Roman"/>
              </w:rPr>
              <w:br/>
            </w:r>
            <w:r>
              <w:rPr>
                <w:rFonts w:ascii="Times New Roman" w:cs="Times New Roman" w:eastAsia="Times New Roman" w:hAnsi="Times New Roman"/>
                <w:b/>
                <w:bCs/>
                <w:sz w:val="19"/>
                <w:szCs w:val="19"/>
              </w:rPr>
              <w:t>(default)</w:t>
            </w:r>
          </w:p>
        </w:tc>
        <w:tc>
          <w:tcPr>
            <w:tcW w:type="dxa" w:w="750"/>
            <w:shd w:fill="D9E1F2" w:color="auto" w:val="clear"/>
          </w:tcPr>
          <w:p>
            <w:pPr>
              <w:jc w:val="center"/>
            </w:pPr>
            <w:r>
              <w:rPr>
                <w:rFonts w:ascii="Times New Roman" w:cs="Times New Roman" w:eastAsia="Times New Roman" w:hAnsi="Times New Roman"/>
                <w:b/>
                <w:bCs/>
                <w:sz w:val="19"/>
                <w:szCs w:val="19"/>
              </w:rPr>
              <w:t>Seed</w:t>
            </w:r>
          </w:p>
        </w:tc>
        <w:tc>
          <w:tcPr>
            <w:tcW w:type="dxa" w:w="920"/>
            <w:shd w:fill="D9E1F2" w:color="auto" w:val="clear"/>
          </w:tcPr>
          <w:p>
            <w:pPr>
              <w:jc w:val="center"/>
            </w:pPr>
            <w:r>
              <w:rPr>
                <w:rFonts w:ascii="Times New Roman" w:cs="Times New Roman" w:eastAsia="Times New Roman" w:hAnsi="Times New Roman"/>
                <w:b/>
                <w:bCs/>
                <w:sz w:val="19"/>
                <w:szCs w:val="19"/>
              </w:rPr>
              <w:t>max_tokens</w:t>
            </w:r>
          </w:p>
        </w:tc>
      </w:tr>
      <w:tr>
        <w:tc>
          <w:tcPr>
            <w:tcW w:type="dxa" w:w="1500"/>
            <w:shd w:fill="F2F2F2" w:color="auto" w:val="clear"/>
          </w:tcPr>
          <w:p>
            <w:r>
              <w:rPr>
                <w:rFonts w:ascii="Times New Roman" w:cs="Times New Roman" w:eastAsia="Times New Roman" w:hAnsi="Times New Roman"/>
                <w:sz w:val="18"/>
                <w:szCs w:val="18"/>
              </w:rPr>
              <w:t xml:space="preserve">Llama 4 Scout</w:t>
            </w:r>
          </w:p>
        </w:tc>
        <w:tc>
          <w:tcPr>
            <w:tcW w:type="dxa" w:w="1700"/>
            <w:shd w:fill="F2F2F2" w:color="auto" w:val="clear"/>
          </w:tcPr>
          <w:p>
            <w:r>
              <w:rPr>
                <w:rFonts w:ascii="Times New Roman" w:cs="Times New Roman" w:eastAsia="Times New Roman" w:hAnsi="Times New Roman"/>
                <w:sz w:val="18"/>
                <w:szCs w:val="18"/>
              </w:rPr>
              <w:t>meta-llama/llama-4-scout</w:t>
            </w:r>
          </w:p>
        </w:tc>
        <w:tc>
          <w:tcPr>
            <w:tcW w:type="dxa" w:w="1150"/>
            <w:shd w:fill="F2F2F2" w:color="auto" w:val="clear"/>
          </w:tcPr>
          <w:p>
            <w:r>
              <w:rPr>
                <w:rFonts w:ascii="Times New Roman" w:cs="Times New Roman" w:eastAsia="Times New Roman" w:hAnsi="Times New Roman"/>
                <w:sz w:val="18"/>
                <w:szCs w:val="18"/>
              </w:rPr>
              <w:t xml:space="preserve">Meta AI (OpenRouter, free tier)</w:t>
            </w:r>
          </w:p>
        </w:tc>
        <w:tc>
          <w:tcPr>
            <w:tcW w:type="dxa" w:w="900"/>
            <w:shd w:fill="F2F2F2" w:color="auto" w:val="clear"/>
          </w:tcPr>
          <w:p>
            <w:r>
              <w:rPr>
                <w:rFonts w:ascii="Times New Roman" w:cs="Times New Roman" w:eastAsia="Times New Roman" w:hAnsi="Times New Roman"/>
                <w:sz w:val="18"/>
                <w:szCs w:val="18"/>
              </w:rPr>
              <w:t>10,000,000</w:t>
            </w:r>
          </w:p>
        </w:tc>
        <w:tc>
          <w:tcPr>
            <w:tcW w:type="dxa" w:w="1100"/>
            <w:shd w:fill="F2F2F2" w:color="auto" w:val="clear"/>
          </w:tcPr>
          <w:p>
            <w:r>
              <w:rPr>
                <w:rFonts w:ascii="Times New Roman" w:cs="Times New Roman" w:eastAsia="Times New Roman" w:hAnsi="Times New Roman"/>
                <w:sz w:val="18"/>
                <w:szCs w:val="18"/>
              </w:rPr>
              <w:t xml:space="preserve">Aug 2024</w:t>
            </w:r>
          </w:p>
        </w:tc>
        <w:tc>
          <w:tcPr>
            <w:tcW w:type="dxa" w:w="900"/>
            <w:shd w:fill="F2F2F2" w:color="auto" w:val="clear"/>
          </w:tcPr>
          <w:p>
            <w:r>
              <w:rPr>
                <w:rFonts w:ascii="Times New Roman" w:cs="Times New Roman" w:eastAsia="Times New Roman" w:hAnsi="Times New Roman"/>
                <w:sz w:val="18"/>
                <w:szCs w:val="18"/>
              </w:rPr>
              <w:t>1.0</w:t>
            </w:r>
          </w:p>
        </w:tc>
        <w:tc>
          <w:tcPr>
            <w:tcW w:type="dxa" w:w="750"/>
            <w:shd w:fill="F2F2F2" w:color="auto" w:val="clear"/>
          </w:tcPr>
          <w:p>
            <w:r>
              <w:rPr>
                <w:rFonts w:ascii="Times New Roman" w:cs="Times New Roman" w:eastAsia="Times New Roman" w:hAnsi="Times New Roman"/>
                <w:sz w:val="18"/>
                <w:szCs w:val="18"/>
              </w:rPr>
              <w:t>42</w:t>
            </w:r>
          </w:p>
        </w:tc>
        <w:tc>
          <w:tcPr>
            <w:tcW w:type="dxa" w:w="920"/>
            <w:shd w:fill="F2F2F2" w:color="auto" w:val="clear"/>
          </w:tcPr>
          <w:p>
            <w:r>
              <w:rPr>
                <w:rFonts w:ascii="Times New Roman" w:cs="Times New Roman" w:eastAsia="Times New Roman" w:hAnsi="Times New Roman"/>
                <w:sz w:val="18"/>
                <w:szCs w:val="18"/>
              </w:rPr>
              <w:t>16,384</w:t>
            </w:r>
          </w:p>
        </w:tc>
      </w:tr>
      <w:tr>
        <w:tc>
          <w:tcPr>
            <w:tcW w:type="dxa" w:w="1500"/>
            <w:shd w:fill="FFFFFF" w:color="auto" w:val="clear"/>
          </w:tcPr>
          <w:p>
            <w:r>
              <w:rPr>
                <w:rFonts w:ascii="Times New Roman" w:cs="Times New Roman" w:eastAsia="Times New Roman" w:hAnsi="Times New Roman"/>
                <w:sz w:val="18"/>
                <w:szCs w:val="18"/>
              </w:rPr>
              <w:t xml:space="preserve">Mistral Small 4</w:t>
            </w:r>
          </w:p>
        </w:tc>
        <w:tc>
          <w:tcPr>
            <w:tcW w:type="dxa" w:w="1700"/>
            <w:shd w:fill="FFFFFF" w:color="auto" w:val="clear"/>
          </w:tcPr>
          <w:p>
            <w:r>
              <w:rPr>
                <w:rFonts w:ascii="Times New Roman" w:cs="Times New Roman" w:eastAsia="Times New Roman" w:hAnsi="Times New Roman"/>
                <w:sz w:val="18"/>
                <w:szCs w:val="18"/>
              </w:rPr>
              <w:t>mistral-small-2603</w:t>
            </w:r>
          </w:p>
        </w:tc>
        <w:tc>
          <w:tcPr>
            <w:tcW w:type="dxa" w:w="1150"/>
            <w:shd w:fill="FFFFFF" w:color="auto" w:val="clear"/>
          </w:tcPr>
          <w:p>
            <w:r>
              <w:rPr>
                <w:rFonts w:ascii="Times New Roman" w:cs="Times New Roman" w:eastAsia="Times New Roman" w:hAnsi="Times New Roman"/>
                <w:sz w:val="18"/>
                <w:szCs w:val="18"/>
              </w:rPr>
              <w:t xml:space="preserve">Mistral AI (La Plateforme, free trial)</w:t>
            </w:r>
          </w:p>
        </w:tc>
        <w:tc>
          <w:tcPr>
            <w:tcW w:type="dxa" w:w="900"/>
            <w:shd w:fill="FFFFFF" w:color="auto" w:val="clear"/>
          </w:tcPr>
          <w:p>
            <w:r>
              <w:rPr>
                <w:rFonts w:ascii="Times New Roman" w:cs="Times New Roman" w:eastAsia="Times New Roman" w:hAnsi="Times New Roman"/>
                <w:sz w:val="18"/>
                <w:szCs w:val="18"/>
              </w:rPr>
              <w:t>262,144</w:t>
            </w:r>
          </w:p>
        </w:tc>
        <w:tc>
          <w:tcPr>
            <w:tcW w:type="dxa" w:w="1100"/>
            <w:shd w:fill="FFFFFF" w:color="auto" w:val="clear"/>
          </w:tcPr>
          <w:p>
            <w:r>
              <w:rPr>
                <w:rFonts w:ascii="Times New Roman" w:cs="Times New Roman" w:eastAsia="Times New Roman" w:hAnsi="Times New Roman"/>
                <w:sz w:val="18"/>
                <w:szCs w:val="18"/>
              </w:rPr>
              <w:t xml:space="preserve">Not documented</w:t>
            </w:r>
          </w:p>
        </w:tc>
        <w:tc>
          <w:tcPr>
            <w:tcW w:type="dxa" w:w="900"/>
            <w:shd w:fill="FFFFFF" w:color="auto" w:val="clear"/>
          </w:tcPr>
          <w:p>
            <w:r>
              <w:rPr>
                <w:rFonts w:ascii="Times New Roman" w:cs="Times New Roman" w:eastAsia="Times New Roman" w:hAnsi="Times New Roman"/>
                <w:sz w:val="18"/>
                <w:szCs w:val="18"/>
              </w:rPr>
              <w:t>0.7</w:t>
            </w:r>
          </w:p>
        </w:tc>
        <w:tc>
          <w:tcPr>
            <w:tcW w:type="dxa" w:w="750"/>
            <w:shd w:fill="FFFFFF" w:color="auto" w:val="clear"/>
          </w:tcPr>
          <w:p>
            <w:r>
              <w:rPr>
                <w:rFonts w:ascii="Times New Roman" w:cs="Times New Roman" w:eastAsia="Times New Roman" w:hAnsi="Times New Roman"/>
                <w:sz w:val="18"/>
                <w:szCs w:val="18"/>
              </w:rPr>
              <w:t>42</w:t>
            </w:r>
          </w:p>
        </w:tc>
        <w:tc>
          <w:tcPr>
            <w:tcW w:type="dxa" w:w="920"/>
            <w:shd w:fill="FFFFFF" w:color="auto" w:val="clear"/>
          </w:tcPr>
          <w:p>
            <w:r>
              <w:rPr>
                <w:rFonts w:ascii="Times New Roman" w:cs="Times New Roman" w:eastAsia="Times New Roman" w:hAnsi="Times New Roman"/>
                <w:sz w:val="18"/>
                <w:szCs w:val="18"/>
              </w:rPr>
              <w:t>32,768</w:t>
            </w:r>
          </w:p>
        </w:tc>
      </w:tr>
      <w:tr>
        <w:tc>
          <w:tcPr>
            <w:tcW w:type="dxa" w:w="1500"/>
            <w:shd w:fill="F2F2F2" w:color="auto" w:val="clear"/>
          </w:tcPr>
          <w:p>
            <w:r>
              <w:rPr>
                <w:rFonts w:ascii="Times New Roman" w:cs="Times New Roman" w:eastAsia="Times New Roman" w:hAnsi="Times New Roman"/>
                <w:sz w:val="18"/>
                <w:szCs w:val="18"/>
              </w:rPr>
              <w:t xml:space="preserve">Gemma 3 27B IT</w:t>
            </w:r>
          </w:p>
        </w:tc>
        <w:tc>
          <w:tcPr>
            <w:tcW w:type="dxa" w:w="1700"/>
            <w:shd w:fill="F2F2F2" w:color="auto" w:val="clear"/>
          </w:tcPr>
          <w:p>
            <w:r>
              <w:rPr>
                <w:rFonts w:ascii="Times New Roman" w:cs="Times New Roman" w:eastAsia="Times New Roman" w:hAnsi="Times New Roman"/>
                <w:sz w:val="18"/>
                <w:szCs w:val="18"/>
              </w:rPr>
              <w:t>google/gemma-3-27b-it</w:t>
            </w:r>
          </w:p>
        </w:tc>
        <w:tc>
          <w:tcPr>
            <w:tcW w:type="dxa" w:w="1150"/>
            <w:shd w:fill="F2F2F2" w:color="auto" w:val="clear"/>
          </w:tcPr>
          <w:p>
            <w:r>
              <w:rPr>
                <w:rFonts w:ascii="Times New Roman" w:cs="Times New Roman" w:eastAsia="Times New Roman" w:hAnsi="Times New Roman"/>
                <w:sz w:val="18"/>
                <w:szCs w:val="18"/>
              </w:rPr>
              <w:t xml:space="preserve">Google DeepMind (OpenRouter, free tier)</w:t>
            </w:r>
          </w:p>
        </w:tc>
        <w:tc>
          <w:tcPr>
            <w:tcW w:type="dxa" w:w="900"/>
            <w:shd w:fill="F2F2F2" w:color="auto" w:val="clear"/>
          </w:tcPr>
          <w:p>
            <w:r>
              <w:rPr>
                <w:rFonts w:ascii="Times New Roman" w:cs="Times New Roman" w:eastAsia="Times New Roman" w:hAnsi="Times New Roman"/>
                <w:sz w:val="18"/>
                <w:szCs w:val="18"/>
              </w:rPr>
              <w:t>131,072</w:t>
            </w:r>
          </w:p>
        </w:tc>
        <w:tc>
          <w:tcPr>
            <w:tcW w:type="dxa" w:w="1100"/>
            <w:shd w:fill="F2F2F2" w:color="auto" w:val="clear"/>
          </w:tcPr>
          <w:p>
            <w:r>
              <w:rPr>
                <w:rFonts w:ascii="Times New Roman" w:cs="Times New Roman" w:eastAsia="Times New Roman" w:hAnsi="Times New Roman"/>
                <w:sz w:val="18"/>
                <w:szCs w:val="18"/>
              </w:rPr>
              <w:t xml:space="preserve">Jan 2025</w:t>
            </w:r>
          </w:p>
        </w:tc>
        <w:tc>
          <w:tcPr>
            <w:tcW w:type="dxa" w:w="900"/>
            <w:shd w:fill="F2F2F2" w:color="auto" w:val="clear"/>
          </w:tcPr>
          <w:p>
            <w:r>
              <w:rPr>
                <w:rFonts w:ascii="Times New Roman" w:cs="Times New Roman" w:eastAsia="Times New Roman" w:hAnsi="Times New Roman"/>
                <w:sz w:val="18"/>
                <w:szCs w:val="18"/>
              </w:rPr>
              <w:t>1.0</w:t>
            </w:r>
          </w:p>
        </w:tc>
        <w:tc>
          <w:tcPr>
            <w:tcW w:type="dxa" w:w="750"/>
            <w:shd w:fill="F2F2F2" w:color="auto" w:val="clear"/>
          </w:tcPr>
          <w:p>
            <w:r>
              <w:rPr>
                <w:rFonts w:ascii="Times New Roman" w:cs="Times New Roman" w:eastAsia="Times New Roman" w:hAnsi="Times New Roman"/>
                <w:sz w:val="18"/>
                <w:szCs w:val="18"/>
              </w:rPr>
              <w:t>42</w:t>
            </w:r>
          </w:p>
        </w:tc>
        <w:tc>
          <w:tcPr>
            <w:tcW w:type="dxa" w:w="920"/>
            <w:shd w:fill="F2F2F2" w:color="auto" w:val="clear"/>
          </w:tcPr>
          <w:p>
            <w:r>
              <w:rPr>
                <w:rFonts w:ascii="Times New Roman" w:cs="Times New Roman" w:eastAsia="Times New Roman" w:hAnsi="Times New Roman"/>
                <w:sz w:val="18"/>
                <w:szCs w:val="18"/>
              </w:rPr>
              <w:t>16,384</w:t>
            </w:r>
          </w:p>
        </w:tc>
      </w:tr>
      <w:tr>
        <w:tc>
          <w:tcPr>
            <w:tcW w:type="dxa" w:w="1500"/>
            <w:shd w:fill="FFFFFF" w:color="auto" w:val="clear"/>
          </w:tcPr>
          <w:p>
            <w:r>
              <w:rPr>
                <w:rFonts w:ascii="Times New Roman" w:cs="Times New Roman" w:eastAsia="Times New Roman" w:hAnsi="Times New Roman"/>
                <w:sz w:val="18"/>
                <w:szCs w:val="18"/>
              </w:rPr>
              <w:t>DeepSeek-V4-Flash</w:t>
            </w:r>
          </w:p>
        </w:tc>
        <w:tc>
          <w:tcPr>
            <w:tcW w:type="dxa" w:w="1700"/>
            <w:shd w:fill="FFFFFF" w:color="auto" w:val="clear"/>
          </w:tcPr>
          <w:p>
            <w:r>
              <w:rPr>
                <w:rFonts w:ascii="Times New Roman" w:cs="Times New Roman" w:eastAsia="Times New Roman" w:hAnsi="Times New Roman"/>
                <w:sz w:val="18"/>
                <w:szCs w:val="18"/>
              </w:rPr>
              <w:t>deepseek/deepseek-v4-flash</w:t>
            </w:r>
          </w:p>
        </w:tc>
        <w:tc>
          <w:tcPr>
            <w:tcW w:type="dxa" w:w="1150"/>
            <w:shd w:fill="FFFFFF" w:color="auto" w:val="clear"/>
          </w:tcPr>
          <w:p>
            <w:r>
              <w:rPr>
                <w:rFonts w:ascii="Times New Roman" w:cs="Times New Roman" w:eastAsia="Times New Roman" w:hAnsi="Times New Roman"/>
                <w:sz w:val="18"/>
                <w:szCs w:val="18"/>
              </w:rPr>
              <w:t xml:space="preserve">DeepSeek AI (OpenRouter, free tier)</w:t>
            </w:r>
          </w:p>
        </w:tc>
        <w:tc>
          <w:tcPr>
            <w:tcW w:type="dxa" w:w="900"/>
            <w:shd w:fill="FFFFFF" w:color="auto" w:val="clear"/>
          </w:tcPr>
          <w:p>
            <w:r>
              <w:rPr>
                <w:rFonts w:ascii="Times New Roman" w:cs="Times New Roman" w:eastAsia="Times New Roman" w:hAnsi="Times New Roman"/>
                <w:sz w:val="18"/>
                <w:szCs w:val="18"/>
              </w:rPr>
              <w:t>1,048,576</w:t>
            </w:r>
          </w:p>
        </w:tc>
        <w:tc>
          <w:tcPr>
            <w:tcW w:type="dxa" w:w="1100"/>
            <w:shd w:fill="FFFFFF" w:color="auto" w:val="clear"/>
          </w:tcPr>
          <w:p>
            <w:r>
              <w:rPr>
                <w:rFonts w:ascii="Times New Roman" w:cs="Times New Roman" w:eastAsia="Times New Roman" w:hAnsi="Times New Roman"/>
                <w:sz w:val="18"/>
                <w:szCs w:val="18"/>
              </w:rPr>
              <w:t xml:space="preserve">Not documented</w:t>
            </w:r>
          </w:p>
        </w:tc>
        <w:tc>
          <w:tcPr>
            <w:tcW w:type="dxa" w:w="900"/>
            <w:shd w:fill="FFFFFF" w:color="auto" w:val="clear"/>
          </w:tcPr>
          <w:p>
            <w:r>
              <w:rPr>
                <w:rFonts w:ascii="Times New Roman" w:cs="Times New Roman" w:eastAsia="Times New Roman" w:hAnsi="Times New Roman"/>
                <w:sz w:val="18"/>
                <w:szCs w:val="18"/>
              </w:rPr>
              <w:t>1.0</w:t>
            </w:r>
          </w:p>
        </w:tc>
        <w:tc>
          <w:tcPr>
            <w:tcW w:type="dxa" w:w="750"/>
            <w:shd w:fill="FFFFFF" w:color="auto" w:val="clear"/>
          </w:tcPr>
          <w:p>
            <w:r>
              <w:rPr>
                <w:rFonts w:ascii="Times New Roman" w:cs="Times New Roman" w:eastAsia="Times New Roman" w:hAnsi="Times New Roman"/>
                <w:sz w:val="18"/>
                <w:szCs w:val="18"/>
              </w:rPr>
              <w:t>42</w:t>
            </w:r>
          </w:p>
        </w:tc>
        <w:tc>
          <w:tcPr>
            <w:tcW w:type="dxa" w:w="920"/>
            <w:shd w:fill="FFFFFF" w:color="auto" w:val="clear"/>
          </w:tcPr>
          <w:p>
            <w:r>
              <w:rPr>
                <w:rFonts w:ascii="Times New Roman" w:cs="Times New Roman" w:eastAsia="Times New Roman" w:hAnsi="Times New Roman"/>
                <w:sz w:val="18"/>
                <w:szCs w:val="18"/>
              </w:rPr>
              <w:t>65,536</w:t>
            </w:r>
          </w:p>
        </w:tc>
      </w:tr>
      <w:tr>
        <w:tc>
          <w:tcPr>
            <w:tcW w:type="dxa" w:w="1500"/>
            <w:shd w:fill="F2F2F2" w:color="auto" w:val="clear"/>
          </w:tcPr>
          <w:p>
            <w:r>
              <w:rPr>
                <w:rFonts w:ascii="Times New Roman" w:cs="Times New Roman" w:eastAsia="Times New Roman" w:hAnsi="Times New Roman"/>
                <w:sz w:val="18"/>
                <w:szCs w:val="18"/>
              </w:rPr>
              <w:t>Phi-4</w:t>
            </w:r>
          </w:p>
        </w:tc>
        <w:tc>
          <w:tcPr>
            <w:tcW w:type="dxa" w:w="1700"/>
            <w:shd w:fill="F2F2F2" w:color="auto" w:val="clear"/>
          </w:tcPr>
          <w:p>
            <w:r>
              <w:rPr>
                <w:rFonts w:ascii="Times New Roman" w:cs="Times New Roman" w:eastAsia="Times New Roman" w:hAnsi="Times New Roman"/>
                <w:sz w:val="18"/>
                <w:szCs w:val="18"/>
              </w:rPr>
              <w:t>microsoft/phi-4</w:t>
            </w:r>
          </w:p>
        </w:tc>
        <w:tc>
          <w:tcPr>
            <w:tcW w:type="dxa" w:w="1150"/>
            <w:shd w:fill="F2F2F2" w:color="auto" w:val="clear"/>
          </w:tcPr>
          <w:p>
            <w:r>
              <w:rPr>
                <w:rFonts w:ascii="Times New Roman" w:cs="Times New Roman" w:eastAsia="Times New Roman" w:hAnsi="Times New Roman"/>
                <w:sz w:val="18"/>
                <w:szCs w:val="18"/>
              </w:rPr>
              <w:t xml:space="preserve">Microsoft (OpenRouter, free tier)</w:t>
            </w:r>
          </w:p>
        </w:tc>
        <w:tc>
          <w:tcPr>
            <w:tcW w:type="dxa" w:w="900"/>
            <w:shd w:fill="F2F2F2" w:color="auto" w:val="clear"/>
          </w:tcPr>
          <w:p>
            <w:r>
              <w:rPr>
                <w:rFonts w:ascii="Times New Roman" w:cs="Times New Roman" w:eastAsia="Times New Roman" w:hAnsi="Times New Roman"/>
                <w:sz w:val="18"/>
                <w:szCs w:val="18"/>
              </w:rPr>
              <w:t>16,384</w:t>
            </w:r>
          </w:p>
        </w:tc>
        <w:tc>
          <w:tcPr>
            <w:tcW w:type="dxa" w:w="1100"/>
            <w:shd w:fill="F2F2F2" w:color="auto" w:val="clear"/>
          </w:tcPr>
          <w:p>
            <w:r>
              <w:rPr>
                <w:rFonts w:ascii="Times New Roman" w:cs="Times New Roman" w:eastAsia="Times New Roman" w:hAnsi="Times New Roman"/>
                <w:sz w:val="18"/>
                <w:szCs w:val="18"/>
              </w:rPr>
              <w:t xml:space="preserve">Jun 2024</w:t>
            </w:r>
          </w:p>
        </w:tc>
        <w:tc>
          <w:tcPr>
            <w:tcW w:type="dxa" w:w="900"/>
            <w:shd w:fill="F2F2F2" w:color="auto" w:val="clear"/>
          </w:tcPr>
          <w:p>
            <w:r>
              <w:rPr>
                <w:rFonts w:ascii="Times New Roman" w:cs="Times New Roman" w:eastAsia="Times New Roman" w:hAnsi="Times New Roman"/>
                <w:sz w:val="18"/>
                <w:szCs w:val="18"/>
              </w:rPr>
              <w:t>1.0</w:t>
            </w:r>
          </w:p>
        </w:tc>
        <w:tc>
          <w:tcPr>
            <w:tcW w:type="dxa" w:w="750"/>
            <w:shd w:fill="F2F2F2" w:color="auto" w:val="clear"/>
          </w:tcPr>
          <w:p>
            <w:r>
              <w:rPr>
                <w:rFonts w:ascii="Times New Roman" w:cs="Times New Roman" w:eastAsia="Times New Roman" w:hAnsi="Times New Roman"/>
                <w:sz w:val="18"/>
                <w:szCs w:val="18"/>
              </w:rPr>
              <w:t>42</w:t>
            </w:r>
          </w:p>
        </w:tc>
        <w:tc>
          <w:tcPr>
            <w:tcW w:type="dxa" w:w="920"/>
            <w:shd w:fill="F2F2F2" w:color="auto" w:val="clear"/>
          </w:tcPr>
          <w:p>
            <w:r>
              <w:rPr>
                <w:rFonts w:ascii="Times New Roman" w:cs="Times New Roman" w:eastAsia="Times New Roman" w:hAnsi="Times New Roman"/>
                <w:sz w:val="18"/>
                <w:szCs w:val="18"/>
              </w:rPr>
              <w:t>16,384</w:t>
            </w:r>
          </w:p>
        </w:tc>
      </w:tr>
    </w:tbl>
    <w:p>
      <w:pPr>
        <w:spacing w:after="80"/>
      </w:pPr>
    </w:p>
    <w:p>
      <w:pPr>
        <w:spacing w:after="120"/>
      </w:pPr>
      <w:r>
        <w:rPr>
          <w:rFonts w:ascii="Times New Roman" w:cs="Times New Roman" w:eastAsia="Times New Roman" w:hAnsi="Times New Roman"/>
          <w:b/>
          <w:bCs/>
          <w:sz w:val="22"/>
          <w:szCs w:val="22"/>
        </w:rPr>
        <w:t xml:space="preserve">Knowledge cutoff: Dates are approximate; consult provider documentation for exact cutoffs. Mistral Small 4 cutoff is not publicly documented by Mistral AI.</w:t>
      </w:r>
    </w:p>
    <w:p>
      <w:pPr>
        <w:spacing w:after="120"/>
      </w:pPr>
      <w:r>
        <w:rPr>
          <w:rFonts w:ascii="Times New Roman" w:cs="Times New Roman" w:eastAsia="Times New Roman" w:hAnsi="Times New Roman"/>
          <w:b/>
          <w:bCs/>
          <w:sz w:val="22"/>
          <w:szCs w:val="22"/>
        </w:rPr>
        <w:t xml:space="preserve">Note: </w:t>
      </w:r>
      <w:r>
        <w:rPr>
          <w:rFonts w:ascii="Times New Roman" w:cs="Times New Roman" w:eastAsia="Times New Roman" w:hAnsi="Times New Roman"/>
          <w:sz w:val="22"/>
          <w:szCs w:val="22"/>
        </w:rPr>
        <w:t xml:space="preserve">A seed value of 42 is requested on all providers for reproducibility. Providers that do not support seed-based determinism should be noted in the experimental log.</w:t>
      </w:r>
    </w:p>
    <w:p>
      <w:pPr>
        <w:spacing w:after="120"/>
      </w:pPr>
      <w:r>
        <w:rPr>
          <w:rFonts w:ascii="Times New Roman" w:cs="Times New Roman" w:eastAsia="Times New Roman" w:hAnsi="Times New Roman"/>
          <w:sz w:val="22"/>
          <w:szCs w:val="22"/>
        </w:rPr>
        <w:t xml:space="preserve">Additional configuration applied uniformly: Maximum output tokens and random seed are specified per model in the table above (best-effort; provider support for seed varies). No system-prompt overrides are applied beyond the agent-specific prompts defined in the AnxioSense pipeline.</w:t>
      </w:r>
    </w:p>
    <w:p>
      <w:pPr>
        <w:spacing w:after="80"/>
      </w:pPr>
    </w:p>
    <w:p>
      <w:pPr>
        <w:pStyle w:val="Heading1"/>
        <w:spacing w:after="160" w:before="320"/>
      </w:pPr>
      <w:r>
        <w:t xml:space="preserve">5. Prompting Strategies</w:t>
      </w:r>
    </w:p>
    <w:p>
      <w:pPr>
        <w:spacing w:after="120"/>
      </w:pPr>
      <w:r>
        <w:rPr>
          <w:rFonts w:ascii="Times New Roman" w:cs="Times New Roman" w:eastAsia="Times New Roman" w:hAnsi="Times New Roman"/>
          <w:sz w:val="22"/>
          <w:szCs w:val="22"/>
        </w:rPr>
        <w:t xml:space="preserve">Three prompting strategies are evaluated, applied identically across all five LLMs. Changes are applied only to the four parallel extraction agents (Emotion, Symptom, Context, Referral). The Report Agent, Validation Agent, and Safety Check are held constant across all conditions.</w:t>
      </w:r>
    </w:p>
    <w:p>
      <w:pPr>
        <w:spacing w:after="80"/>
      </w:pPr>
    </w:p>
    <w:tbl>
      <w:tblPr>
        <w:tblW w:type="dxa" w:w="792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580"/>
        <w:gridCol w:w="1380"/>
        <w:gridCol w:w="2700"/>
        <w:gridCol w:w="3260"/>
      </w:tblGrid>
      <w:tr>
        <w:trPr>
          <w:tblHeader/>
        </w:trPr>
        <w:tc>
          <w:tcPr>
            <w:tcW w:type="dxa" w:w="580"/>
            <w:shd w:fill="D9E1F2" w:color="auto" w:val="clear"/>
          </w:tcPr>
          <w:p>
            <w:pPr>
              <w:jc w:val="center"/>
            </w:pPr>
            <w:r>
              <w:rPr>
                <w:rFonts w:ascii="Times New Roman" w:cs="Times New Roman" w:eastAsia="Times New Roman" w:hAnsi="Times New Roman"/>
                <w:b/>
                <w:bCs/>
                <w:sz w:val="19"/>
                <w:szCs w:val="19"/>
              </w:rPr>
              <w:t xml:space="preserve">ID</w:t>
            </w:r>
          </w:p>
        </w:tc>
        <w:tc>
          <w:tcPr>
            <w:tcW w:type="dxa" w:w="1380"/>
            <w:shd w:fill="D9E1F2" w:color="auto" w:val="clear"/>
          </w:tcPr>
          <w:p>
            <w:pPr>
              <w:jc w:val="center"/>
            </w:pPr>
            <w:r>
              <w:rPr>
                <w:rFonts w:ascii="Times New Roman" w:cs="Times New Roman" w:eastAsia="Times New Roman" w:hAnsi="Times New Roman"/>
                <w:b/>
                <w:bCs/>
                <w:sz w:val="19"/>
                <w:szCs w:val="19"/>
              </w:rPr>
              <w:t xml:space="preserve">Strategy</w:t>
            </w:r>
          </w:p>
        </w:tc>
        <w:tc>
          <w:tcPr>
            <w:tcW w:type="dxa" w:w="2700"/>
            <w:shd w:fill="D9E1F2" w:color="auto" w:val="clear"/>
          </w:tcPr>
          <w:p>
            <w:pPr>
              <w:jc w:val="center"/>
            </w:pPr>
            <w:r>
              <w:rPr>
                <w:rFonts w:ascii="Times New Roman" w:cs="Times New Roman" w:eastAsia="Times New Roman" w:hAnsi="Times New Roman"/>
                <w:b/>
                <w:bCs/>
                <w:sz w:val="19"/>
                <w:szCs w:val="19"/>
              </w:rPr>
              <w:t xml:space="preserve">Description</w:t>
            </w:r>
          </w:p>
        </w:tc>
        <w:tc>
          <w:tcPr>
            <w:tcW w:type="dxa" w:w="3260"/>
            <w:shd w:fill="D9E1F2" w:color="auto" w:val="clear"/>
          </w:tcPr>
          <w:p>
            <w:pPr>
              <w:jc w:val="center"/>
            </w:pPr>
            <w:r>
              <w:rPr>
                <w:rFonts w:ascii="Times New Roman" w:cs="Times New Roman" w:eastAsia="Times New Roman" w:hAnsi="Times New Roman"/>
                <w:b/>
                <w:bCs/>
                <w:sz w:val="19"/>
                <w:szCs w:val="19"/>
              </w:rPr>
              <w:t xml:space="preserve">Rationale</w:t>
            </w:r>
          </w:p>
        </w:tc>
      </w:tr>
      <w:tr>
        <w:tc>
          <w:tcPr>
            <w:tcW w:type="dxa" w:w="580"/>
            <w:shd w:fill="FFFFFF" w:color="auto" w:val="clear"/>
          </w:tcPr>
          <w:p>
            <w:r>
              <w:rPr>
                <w:rFonts w:ascii="Times New Roman" w:cs="Times New Roman" w:eastAsia="Times New Roman" w:hAnsi="Times New Roman"/>
                <w:sz w:val="18"/>
                <w:szCs w:val="18"/>
              </w:rPr>
              <w:t xml:space="preserve">ZS</w:t>
            </w:r>
          </w:p>
        </w:tc>
        <w:tc>
          <w:tcPr>
            <w:tcW w:type="dxa" w:w="1380"/>
            <w:shd w:fill="FFFFFF" w:color="auto" w:val="clear"/>
          </w:tcPr>
          <w:p>
            <w:r>
              <w:rPr>
                <w:rFonts w:ascii="Times New Roman" w:cs="Times New Roman" w:eastAsia="Times New Roman" w:hAnsi="Times New Roman"/>
                <w:sz w:val="18"/>
                <w:szCs w:val="18"/>
              </w:rPr>
              <w:t xml:space="preserve">Zero-shot</w:t>
            </w:r>
          </w:p>
        </w:tc>
        <w:tc>
          <w:tcPr>
            <w:tcW w:type="dxa" w:w="2700"/>
            <w:shd w:fill="FFFFFF" w:color="auto" w:val="clear"/>
          </w:tcPr>
          <w:p>
            <w:r>
              <w:rPr>
                <w:rFonts w:ascii="Times New Roman" w:cs="Times New Roman" w:eastAsia="Times New Roman" w:hAnsi="Times New Roman"/>
                <w:sz w:val="18"/>
                <w:szCs w:val="18"/>
              </w:rPr>
              <w:t xml:space="preserve">Each extraction agent receives only its task description and output schema. No examples and no reasoning procedure are provided.</w:t>
            </w:r>
          </w:p>
        </w:tc>
        <w:tc>
          <w:tcPr>
            <w:tcW w:type="dxa" w:w="3260"/>
            <w:shd w:fill="FFFFFF" w:color="auto" w:val="clear"/>
          </w:tcPr>
          <w:p>
            <w:r>
              <w:rPr>
                <w:rFonts w:ascii="Times New Roman" w:cs="Times New Roman" w:eastAsia="Times New Roman" w:hAnsi="Times New Roman"/>
                <w:sz w:val="18"/>
                <w:szCs w:val="18"/>
              </w:rPr>
              <w:t xml:space="preserve">Minimum-information baseline. Tests whether the LLM can perform structured clinical extraction from a task description alone.</w:t>
            </w:r>
          </w:p>
        </w:tc>
      </w:tr>
      <w:tr>
        <w:tc>
          <w:tcPr>
            <w:tcW w:type="dxa" w:w="580"/>
            <w:shd w:fill="F2F2F2" w:color="auto" w:val="clear"/>
          </w:tcPr>
          <w:p>
            <w:r>
              <w:rPr>
                <w:rFonts w:ascii="Times New Roman" w:cs="Times New Roman" w:eastAsia="Times New Roman" w:hAnsi="Times New Roman"/>
                <w:sz w:val="18"/>
                <w:szCs w:val="18"/>
              </w:rPr>
              <w:t xml:space="preserve">ZS-CoT</w:t>
            </w:r>
          </w:p>
        </w:tc>
        <w:tc>
          <w:tcPr>
            <w:tcW w:type="dxa" w:w="1380"/>
            <w:shd w:fill="F2F2F2" w:color="auto" w:val="clear"/>
          </w:tcPr>
          <w:p>
            <w:r>
              <w:rPr>
                <w:rFonts w:ascii="Times New Roman" w:cs="Times New Roman" w:eastAsia="Times New Roman" w:hAnsi="Times New Roman"/>
                <w:sz w:val="18"/>
                <w:szCs w:val="18"/>
              </w:rPr>
              <w:t xml:space="preserve">Zero-shot + Chain-of-Thought</w:t>
            </w:r>
          </w:p>
        </w:tc>
        <w:tc>
          <w:tcPr>
            <w:tcW w:type="dxa" w:w="2700"/>
            <w:shd w:fill="F2F2F2" w:color="auto" w:val="clear"/>
          </w:tcPr>
          <w:p>
            <w:r>
              <w:rPr>
                <w:rFonts w:ascii="Times New Roman" w:cs="Times New Roman" w:eastAsia="Times New Roman" w:hAnsi="Times New Roman"/>
                <w:sz w:val="18"/>
                <w:szCs w:val="18"/>
              </w:rPr>
              <w:t xml:space="preserve">Each extraction agent receives its task description, output schema, and a numbered chain-of-thought reasoning procedure specifying the steps to follow before producing output. No examples.</w:t>
            </w:r>
          </w:p>
        </w:tc>
        <w:tc>
          <w:tcPr>
            <w:tcW w:type="dxa" w:w="3260"/>
            <w:shd w:fill="F2F2F2" w:color="auto" w:val="clear"/>
          </w:tcPr>
          <w:p>
            <w:r>
              <w:rPr>
                <w:rFonts w:ascii="Times New Roman" w:cs="Times New Roman" w:eastAsia="Times New Roman" w:hAnsi="Times New Roman"/>
                <w:sz w:val="18"/>
                <w:szCs w:val="18"/>
              </w:rPr>
              <w:t xml:space="preserve">Isolates the contribution of structured reasoning without exemplar bias. Allows direct comparison with ZS to measure the effect of the reasoning procedure.</w:t>
            </w:r>
          </w:p>
        </w:tc>
      </w:tr>
      <w:tr>
        <w:tc>
          <w:tcPr>
            <w:tcW w:type="dxa" w:w="580"/>
            <w:shd w:fill="FFFFFF" w:color="auto" w:val="clear"/>
          </w:tcPr>
          <w:p>
            <w:r>
              <w:rPr>
                <w:rFonts w:ascii="Times New Roman" w:cs="Times New Roman" w:eastAsia="Times New Roman" w:hAnsi="Times New Roman"/>
                <w:sz w:val="18"/>
                <w:szCs w:val="18"/>
              </w:rPr>
              <w:t xml:space="preserve">1S-CoT</w:t>
            </w:r>
          </w:p>
        </w:tc>
        <w:tc>
          <w:tcPr>
            <w:tcW w:type="dxa" w:w="1380"/>
            <w:shd w:fill="FFFFFF" w:color="auto" w:val="clear"/>
          </w:tcPr>
          <w:p>
            <w:r>
              <w:rPr>
                <w:rFonts w:ascii="Times New Roman" w:cs="Times New Roman" w:eastAsia="Times New Roman" w:hAnsi="Times New Roman"/>
                <w:sz w:val="18"/>
                <w:szCs w:val="18"/>
              </w:rPr>
              <w:t xml:space="preserve">One-shot + Chain-of-Thought</w:t>
            </w:r>
          </w:p>
        </w:tc>
        <w:tc>
          <w:tcPr>
            <w:tcW w:type="dxa" w:w="2700"/>
            <w:shd w:fill="FFFFFF" w:color="auto" w:val="clear"/>
          </w:tcPr>
          <w:p>
            <w:r>
              <w:rPr>
                <w:rFonts w:ascii="Times New Roman" w:cs="Times New Roman" w:eastAsia="Times New Roman" w:hAnsi="Times New Roman"/>
                <w:sz w:val="18"/>
                <w:szCs w:val="18"/>
              </w:rPr>
              <w:t xml:space="preserve">Each extraction agent receives its task description, output schema, chain-of-thought procedure, and one worked input–output example demonstrating correct extraction. This is the current production configuration (cot-oneshot-v1).</w:t>
            </w:r>
          </w:p>
        </w:tc>
        <w:tc>
          <w:tcPr>
            <w:tcW w:type="dxa" w:w="3260"/>
            <w:shd w:fill="FFFFFF" w:color="auto" w:val="clear"/>
          </w:tcPr>
          <w:p>
            <w:r>
              <w:rPr>
                <w:rFonts w:ascii="Times New Roman" w:cs="Times New Roman" w:eastAsia="Times New Roman" w:hAnsi="Times New Roman"/>
                <w:sz w:val="18"/>
                <w:szCs w:val="18"/>
              </w:rPr>
              <w:t xml:space="preserve">The primary configuration. The worked example demonstrates correct application of the chain-of-thought procedure, particularly for borderline cases such as situational nervousness vs. persistent anxiety disorder.</w:t>
            </w:r>
          </w:p>
        </w:tc>
      </w:tr>
    </w:tbl>
    <w:p>
      <w:pPr>
        <w:spacing w:after="80"/>
      </w:pPr>
    </w:p>
    <w:p>
      <w:pPr>
        <w:pStyle w:val="Heading1"/>
        <w:spacing w:after="160" w:before="320"/>
      </w:pPr>
      <w:r>
        <w:t xml:space="preserve">6. Experimental Procedure</w:t>
      </w:r>
    </w:p>
    <w:p>
      <w:pPr>
        <w:pStyle w:val="Heading2"/>
        <w:spacing w:after="100" w:before="200"/>
      </w:pPr>
      <w:r>
        <w:t xml:space="preserve">6.1  Design</w:t>
      </w:r>
    </w:p>
    <w:p>
      <w:pPr>
        <w:spacing w:after="120"/>
      </w:pPr>
      <w:r>
        <w:rPr>
          <w:rFonts w:ascii="Times New Roman" w:cs="Times New Roman" w:eastAsia="Times New Roman" w:hAnsi="Times New Roman"/>
          <w:sz w:val="22"/>
          <w:szCs w:val="22"/>
        </w:rPr>
        <w:t xml:space="preserve">Each experiment runs one pipeline configuration (LLM × prompting strategy × dataset) five times on the same input set. The full factorial design is:</w:t>
      </w:r>
    </w:p>
    <w:p>
      <w:pPr>
        <w:spacing w:after="120"/>
      </w:pPr>
      <w:r>
        <w:rPr>
          <w:rFonts w:ascii="Times New Roman" w:cs="Times New Roman" w:eastAsia="Times New Roman" w:hAnsi="Times New Roman"/>
          <w:b/>
          <w:bCs/>
          <w:sz w:val="22"/>
          <w:szCs w:val="22"/>
        </w:rPr>
        <w:t xml:space="preserve">5 LLMs × 3 prompting strategies × 2 datasets × 5 repeated runs = 150 experimental runs.</w:t>
      </w:r>
    </w:p>
    <w:p>
      <w:pPr>
        <w:spacing w:after="120"/>
      </w:pPr>
      <w:r>
        <w:rPr>
          <w:rFonts w:ascii="Times New Roman" w:cs="Times New Roman" w:eastAsia="Times New Roman" w:hAnsi="Times New Roman"/>
          <w:sz w:val="22"/>
          <w:szCs w:val="22"/>
        </w:rPr>
        <w:t xml:space="preserve">Results are aggregated across repeated runs and reported as mean ± standard deviation for all quantitative metrics.</w:t>
      </w:r>
    </w:p>
    <w:p>
      <w:pPr>
        <w:spacing w:after="80"/>
      </w:pPr>
    </w:p>
    <w:p>
      <w:pPr>
        <w:pStyle w:val="Heading2"/>
        <w:spacing w:after="100" w:before="200"/>
      </w:pPr>
      <w:r>
        <w:t xml:space="preserve">6.2  Rationale for Five Repeated Runs</w:t>
      </w:r>
    </w:p>
    <w:p>
      <w:pPr>
        <w:spacing w:after="120"/>
      </w:pPr>
      <w:r>
        <w:rPr>
          <w:rFonts w:ascii="Times New Roman" w:cs="Times New Roman" w:eastAsia="Times New Roman" w:hAnsi="Times New Roman"/>
          <w:sz w:val="22"/>
          <w:szCs w:val="22"/>
        </w:rPr>
        <w:t xml:space="preserve">Large language models produce stochastic outputs due to nucleus sampling, even at low temperatures. Five repeated runs are the minimum accepted practice in the LLM evaluation literature (Liang et al., 2023, HELM benchmark). They provide sufficient samples to compute mean and standard deviation per configuration, identify unstable prompts (high standard deviation is diagnostic of a prompt engineering problem), and support paired statistical tests between configurations. More runs would improve power but are constrained by Groq API rate limits.</w:t>
      </w:r>
    </w:p>
    <w:p>
      <w:pPr>
        <w:spacing w:after="80"/>
      </w:pPr>
    </w:p>
    <w:p>
      <w:pPr>
        <w:pStyle w:val="Heading2"/>
        <w:spacing w:after="100" w:before="200"/>
      </w:pPr>
      <w:r>
        <w:t xml:space="preserve">6.3  Comparisons Performed</w:t>
      </w:r>
    </w:p>
    <w:p>
      <w:pPr>
        <w:spacing w:after="120"/>
      </w:pPr>
      <w:r>
        <w:rPr>
          <w:rFonts w:ascii="Times New Roman" w:cs="Times New Roman" w:eastAsia="Times New Roman" w:hAnsi="Times New Roman"/>
          <w:b/>
          <w:bCs/>
          <w:sz w:val="22"/>
          <w:szCs w:val="22"/>
        </w:rPr>
        <w:t xml:space="preserve">Across LLMs (RQ1):  </w:t>
      </w:r>
      <w:r>
        <w:rPr>
          <w:rFonts w:ascii="Times New Roman" w:cs="Times New Roman" w:eastAsia="Times New Roman" w:hAnsi="Times New Roman"/>
          <w:sz w:val="22"/>
          <w:szCs w:val="22"/>
        </w:rPr>
        <w:t xml:space="preserve">All five models under 1S-CoT on Dreaddit. The model with the highest macro-F1 on symptom extraction is identified as the primary model for subsequent experiments.</w:t>
      </w:r>
    </w:p>
    <w:p>
      <w:pPr>
        <w:spacing w:after="120"/>
      </w:pPr>
      <w:r>
        <w:rPr>
          <w:rFonts w:ascii="Times New Roman" w:cs="Times New Roman" w:eastAsia="Times New Roman" w:hAnsi="Times New Roman"/>
          <w:b/>
          <w:bCs/>
          <w:sz w:val="22"/>
          <w:szCs w:val="22"/>
        </w:rPr>
        <w:t xml:space="preserve">Across prompting strategies (RQ3):  </w:t>
      </w:r>
      <w:r>
        <w:rPr>
          <w:rFonts w:ascii="Times New Roman" w:cs="Times New Roman" w:eastAsia="Times New Roman" w:hAnsi="Times New Roman"/>
          <w:sz w:val="22"/>
          <w:szCs w:val="22"/>
        </w:rPr>
        <w:t xml:space="preserve">All three strategies using the top-performing LLM on both datasets. Isolates the prompting strategy contribution.</w:t>
      </w:r>
    </w:p>
    <w:p>
      <w:pPr>
        <w:spacing w:after="120"/>
      </w:pPr>
      <w:r>
        <w:rPr>
          <w:rFonts w:ascii="Times New Roman" w:cs="Times New Roman" w:eastAsia="Times New Roman" w:hAnsi="Times New Roman"/>
          <w:b/>
          <w:bCs/>
          <w:sz w:val="22"/>
          <w:szCs w:val="22"/>
        </w:rPr>
        <w:t xml:space="preserve">Across datasets (RQ2, RQ4):  </w:t>
      </w:r>
      <w:r>
        <w:rPr>
          <w:rFonts w:ascii="Times New Roman" w:cs="Times New Roman" w:eastAsia="Times New Roman" w:hAnsi="Times New Roman"/>
          <w:sz w:val="22"/>
          <w:szCs w:val="22"/>
        </w:rPr>
        <w:t xml:space="preserve">Full pipeline (top LLM, 1S-CoT) on both Dreaddit and GoEmotions. Assesses dataset-level variation in system behaviour.</w:t>
      </w:r>
    </w:p>
    <w:p>
      <w:pPr>
        <w:spacing w:after="80"/>
      </w:pPr>
    </w:p>
    <w:p>
      <w:pPr>
        <w:pStyle w:val="Heading2"/>
        <w:spacing w:after="100" w:before="200"/>
      </w:pPr>
      <w:r>
        <w:t xml:space="preserve">6.4  Statistical Reporting</w:t>
      </w:r>
    </w:p>
    <w:p>
      <w:pPr>
        <w:spacing w:after="120"/>
      </w:pPr>
      <w:r>
        <w:rPr>
          <w:rFonts w:ascii="Times New Roman" w:cs="Times New Roman" w:eastAsia="Times New Roman" w:hAnsi="Times New Roman"/>
          <w:b/>
          <w:bCs/>
          <w:sz w:val="22"/>
          <w:szCs w:val="22"/>
        </w:rPr>
        <w:t xml:space="preserve">Per metric per configuration:  </w:t>
      </w:r>
      <w:r>
        <w:rPr>
          <w:rFonts w:ascii="Times New Roman" w:cs="Times New Roman" w:eastAsia="Times New Roman" w:hAnsi="Times New Roman"/>
          <w:sz w:val="22"/>
          <w:szCs w:val="22"/>
        </w:rPr>
        <w:t xml:space="preserve">Mean ± standard deviation across five runs.</w:t>
      </w:r>
    </w:p>
    <w:p>
      <w:pPr>
        <w:spacing w:after="120"/>
      </w:pPr>
      <w:r>
        <w:rPr>
          <w:rFonts w:ascii="Times New Roman" w:cs="Times New Roman" w:eastAsia="Times New Roman" w:hAnsi="Times New Roman"/>
          <w:b/>
          <w:bCs/>
          <w:sz w:val="22"/>
          <w:szCs w:val="22"/>
        </w:rPr>
        <w:t xml:space="preserve">Pairwise comparisons:  </w:t>
      </w:r>
      <w:r>
        <w:rPr>
          <w:rFonts w:ascii="Times New Roman" w:cs="Times New Roman" w:eastAsia="Times New Roman" w:hAnsi="Times New Roman"/>
          <w:sz w:val="22"/>
          <w:szCs w:val="22"/>
        </w:rPr>
        <w:t xml:space="preserve">McNemar's test for binary outcomes (schema compliance, hallucination presence/absence). Wilcoxon signed-rank test for ordinal and continuous metrics (F1, kappa, claim support rate). All tests two-tailed; significance threshold p &lt; 0.05. Bonferroni correction applied within each multi-comparison table.</w:t>
      </w:r>
    </w:p>
    <w:p>
      <w:pPr>
        <w:spacing w:after="120"/>
      </w:pPr>
      <w:r>
        <w:rPr>
          <w:rFonts w:ascii="Times New Roman" w:cs="Times New Roman" w:eastAsia="Times New Roman" w:hAnsi="Times New Roman"/>
          <w:b/>
          <w:bCs/>
          <w:sz w:val="22"/>
          <w:szCs w:val="22"/>
        </w:rPr>
        <w:t xml:space="preserve">Safety override:  </w:t>
      </w:r>
      <w:r>
        <w:rPr>
          <w:rFonts w:ascii="Times New Roman" w:cs="Times New Roman" w:eastAsia="Times New Roman" w:hAnsi="Times New Roman"/>
          <w:sz w:val="22"/>
          <w:szCs w:val="22"/>
        </w:rPr>
        <w:t xml:space="preserve">95 % bootstrap confidence interval on precision and recall (1,000 bootstrap samples).</w:t>
      </w:r>
    </w:p>
    <w:p>
      <w:pPr>
        <w:spacing w:after="80"/>
      </w:pPr>
    </w:p>
    <w:p>
      <w:pPr>
        <w:pStyle w:val="Heading2"/>
        <w:spacing w:after="100" w:before="200"/>
      </w:pPr>
      <w:r>
        <w:t xml:space="preserve">6.5  Framework Alignment and Explainability (RQ4, RQ5)</w:t>
      </w:r>
    </w:p>
    <w:p>
      <w:pPr>
        <w:spacing w:after="120"/>
      </w:pPr>
      <w:r>
        <w:rPr>
          <w:rFonts w:ascii="Times New Roman" w:cs="Times New Roman" w:eastAsia="Times New Roman" w:hAnsi="Times New Roman"/>
          <w:b/>
          <w:bCs/>
          <w:sz w:val="22"/>
          <w:szCs w:val="22"/>
        </w:rPr>
        <w:t xml:space="preserve">RQ4 — Framework alignment:  </w:t>
      </w:r>
      <w:r>
        <w:rPr>
          <w:rFonts w:ascii="Times New Roman" w:cs="Times New Roman" w:eastAsia="Times New Roman" w:hAnsi="Times New Roman"/>
          <w:sz w:val="22"/>
          <w:szCs w:val="22"/>
        </w:rPr>
        <w:t xml:space="preserve">GAD-7 severity band predictions are compared against ground-truth severity labels where available. For dataset inputs, referral level distributions are compared to clinically expected distributions. DSM-5 and ICD-11 alignment is assessed qualitatively: two annotators independently review 20 randomly sampled reports and assess whether identified concern patterns correspond to ICD-11 anxiety disorder descriptors. Inter-rater reliability is reported as Cohen's kappa.</w:t>
      </w:r>
    </w:p>
    <w:p>
      <w:pPr>
        <w:spacing w:after="120"/>
      </w:pPr>
      <w:r>
        <w:rPr>
          <w:rFonts w:ascii="Times New Roman" w:cs="Times New Roman" w:eastAsia="Times New Roman" w:hAnsi="Times New Roman"/>
          <w:b/>
          <w:bCs/>
          <w:sz w:val="22"/>
          <w:szCs w:val="22"/>
        </w:rPr>
        <w:t xml:space="preserve">RQ5 — Explainability and safety:  </w:t>
      </w:r>
      <w:r>
        <w:rPr>
          <w:rFonts w:ascii="Times New Roman" w:cs="Times New Roman" w:eastAsia="Times New Roman" w:hAnsi="Times New Roman"/>
          <w:sz w:val="22"/>
          <w:szCs w:val="22"/>
        </w:rPr>
        <w:t xml:space="preserve">Explainability is operationalised as claim support rate and hallucination rate (Section 2.2). Safety is evaluated via safety override precision and recall on a held-out set of crisis and non-crisis inputs (at least 20 per class). The safety evaluation is conducted separately from the main pipeline evaluation to isolate the deterministic safety component from LLM variability.</w:t>
      </w:r>
    </w:p>
    <w:p>
      <w:pPr>
        <w:spacing w:after="80"/>
      </w:pPr>
    </w:p>
    <w:p>
      <w:pPr>
        <w:pStyle w:val="Heading1"/>
        <w:spacing w:after="160" w:before="320"/>
      </w:pPr>
      <w:r>
        <w:t xml:space="preserve">7. Notes</w:t>
      </w:r>
    </w:p>
    <w:p>
      <w:pPr>
        <w:pStyle w:val="Heading2"/>
        <w:spacing w:after="100" w:before="200"/>
      </w:pPr>
      <w:r>
        <w:t xml:space="preserve">7.1  Resolved Items</w:t>
      </w:r>
    </w:p>
    <w:tbl>
      <w:tblPr>
        <w:tblW w:type="dxa" w:w="792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3400"/>
        <w:gridCol w:w="4520"/>
      </w:tblGrid>
      <w:tr>
        <w:trPr>
          <w:tblHeader/>
        </w:trPr>
        <w:tc>
          <w:tcPr>
            <w:tcW w:type="dxa" w:w="3400"/>
            <w:shd w:fill="D9E1F2" w:color="auto" w:val="clear"/>
          </w:tcPr>
          <w:p>
            <w:pPr>
              <w:jc w:val="center"/>
            </w:pPr>
            <w:r>
              <w:rPr>
                <w:rFonts w:ascii="Times New Roman" w:cs="Times New Roman" w:eastAsia="Times New Roman" w:hAnsi="Times New Roman"/>
                <w:b/>
                <w:bCs/>
                <w:sz w:val="19"/>
                <w:szCs w:val="19"/>
              </w:rPr>
              <w:t xml:space="preserve">Item Previously Under Discussion</w:t>
            </w:r>
          </w:p>
        </w:tc>
        <w:tc>
          <w:tcPr>
            <w:tcW w:type="dxa" w:w="4520"/>
            <w:shd w:fill="D9E1F2" w:color="auto" w:val="clear"/>
          </w:tcPr>
          <w:p>
            <w:pPr>
              <w:jc w:val="center"/>
            </w:pPr>
            <w:r>
              <w:rPr>
                <w:rFonts w:ascii="Times New Roman" w:cs="Times New Roman" w:eastAsia="Times New Roman" w:hAnsi="Times New Roman"/>
                <w:b/>
                <w:bCs/>
                <w:sz w:val="19"/>
                <w:szCs w:val="19"/>
              </w:rPr>
              <w:t xml:space="preserve">Resolution</w:t>
            </w:r>
          </w:p>
        </w:tc>
      </w:tr>
      <w:tr>
        <w:tc>
          <w:tcPr>
            <w:tcW w:type="dxa" w:w="3400"/>
            <w:shd w:fill="FFFFFF" w:color="auto" w:val="clear"/>
          </w:tcPr>
          <w:p>
            <w:r>
              <w:rPr>
                <w:rFonts w:ascii="Times New Roman" w:cs="Times New Roman" w:eastAsia="Times New Roman" w:hAnsi="Times New Roman"/>
                <w:sz w:val="18"/>
                <w:szCs w:val="18"/>
              </w:rPr>
              <w:t xml:space="preserve">Mental-health-specific research questions</w:t>
            </w:r>
          </w:p>
        </w:tc>
        <w:tc>
          <w:tcPr>
            <w:tcW w:type="dxa" w:w="4520"/>
            <w:shd w:fill="FFFFFF" w:color="auto" w:val="clear"/>
          </w:tcPr>
          <w:p>
            <w:r>
              <w:rPr>
                <w:rFonts w:ascii="Times New Roman" w:cs="Times New Roman" w:eastAsia="Times New Roman" w:hAnsi="Times New Roman"/>
                <w:sz w:val="18"/>
                <w:szCs w:val="18"/>
              </w:rPr>
              <w:t xml:space="preserve">Resolved. RQ4 (framework alignment) and RQ5 (explainability/safety), contributed by the supervisors, are finalised and included in Section 1.</w:t>
            </w:r>
          </w:p>
        </w:tc>
      </w:tr>
      <w:tr>
        <w:tc>
          <w:tcPr>
            <w:tcW w:type="dxa" w:w="3400"/>
            <w:shd w:fill="F2F2F2" w:color="auto" w:val="clear"/>
          </w:tcPr>
          <w:p>
            <w:r>
              <w:rPr>
                <w:rFonts w:ascii="Times New Roman" w:cs="Times New Roman" w:eastAsia="Times New Roman" w:hAnsi="Times New Roman"/>
                <w:sz w:val="18"/>
                <w:szCs w:val="18"/>
              </w:rPr>
              <w:t xml:space="preserve">Final dataset selection</w:t>
            </w:r>
          </w:p>
        </w:tc>
        <w:tc>
          <w:tcPr>
            <w:tcW w:type="dxa" w:w="4520"/>
            <w:shd w:fill="F2F2F2" w:color="auto" w:val="clear"/>
          </w:tcPr>
          <w:p>
            <w:r>
              <w:rPr>
                <w:rFonts w:ascii="Times New Roman" w:cs="Times New Roman" w:eastAsia="Times New Roman" w:hAnsi="Times New Roman"/>
                <w:sz w:val="18"/>
                <w:szCs w:val="18"/>
              </w:rPr>
              <w:t xml:space="preserve">Resolved. Dreaddit (LOUHI Workshop @ EMNLP 2019) and GoEmotions (ACL 2020) selected. Dreaddit evaluates end-to-end referral classification; GoEmotions evaluates the Emotion Analysis Agent. See Section 3.</w:t>
            </w:r>
          </w:p>
        </w:tc>
      </w:tr>
      <w:tr>
        <w:tc>
          <w:tcPr>
            <w:tcW w:type="dxa" w:w="3400"/>
            <w:shd w:fill="FFFFFF" w:color="auto" w:val="clear"/>
          </w:tcPr>
          <w:p>
            <w:r>
              <w:rPr>
                <w:rFonts w:ascii="Times New Roman" w:cs="Times New Roman" w:eastAsia="Times New Roman" w:hAnsi="Times New Roman"/>
                <w:sz w:val="18"/>
                <w:szCs w:val="18"/>
              </w:rPr>
              <w:t xml:space="preserve">Evaluation protocol (runs, aggregation)</w:t>
            </w:r>
          </w:p>
        </w:tc>
        <w:tc>
          <w:tcPr>
            <w:tcW w:type="dxa" w:w="4520"/>
            <w:shd w:fill="FFFFFF" w:color="auto" w:val="clear"/>
          </w:tcPr>
          <w:p>
            <w:r>
              <w:rPr>
                <w:rFonts w:ascii="Times New Roman" w:cs="Times New Roman" w:eastAsia="Times New Roman" w:hAnsi="Times New Roman"/>
                <w:sz w:val="18"/>
                <w:szCs w:val="18"/>
              </w:rPr>
              <w:t xml:space="preserve">Resolved. 5 runs per configuration; mean ± SD reported for all metrics. See Sections 2 and 6.</w:t>
            </w:r>
          </w:p>
        </w:tc>
      </w:tr>
      <w:tr>
        <w:tc>
          <w:tcPr>
            <w:tcW w:type="dxa" w:w="3400"/>
            <w:shd w:fill="F2F2F2" w:color="auto" w:val="clear"/>
          </w:tcPr>
          <w:p>
            <w:r>
              <w:rPr>
                <w:rFonts w:ascii="Times New Roman" w:cs="Times New Roman" w:eastAsia="Times New Roman" w:hAnsi="Times New Roman"/>
                <w:sz w:val="18"/>
                <w:szCs w:val="18"/>
              </w:rPr>
              <w:t xml:space="preserve">Standard deviation reporting</w:t>
            </w:r>
          </w:p>
        </w:tc>
        <w:tc>
          <w:tcPr>
            <w:tcW w:type="dxa" w:w="4520"/>
            <w:shd w:fill="F2F2F2" w:color="auto" w:val="clear"/>
          </w:tcPr>
          <w:p>
            <w:r>
              <w:rPr>
                <w:rFonts w:ascii="Times New Roman" w:cs="Times New Roman" w:eastAsia="Times New Roman" w:hAnsi="Times New Roman"/>
                <w:sz w:val="18"/>
                <w:szCs w:val="18"/>
              </w:rPr>
              <w:t xml:space="preserve">Resolved. Mean ± SD across five runs is the standard reporting format for all metrics, per supervisor feedback.</w:t>
            </w:r>
          </w:p>
        </w:tc>
      </w:tr>
      <w:tr>
        <w:tc>
          <w:tcPr>
            <w:tcW w:type="dxa" w:w="3400"/>
            <w:shd w:fill="FFFFFF" w:color="auto" w:val="clear"/>
          </w:tcPr>
          <w:p>
            <w:r>
              <w:rPr>
                <w:rFonts w:ascii="Times New Roman" w:cs="Times New Roman" w:eastAsia="Times New Roman" w:hAnsi="Times New Roman"/>
                <w:sz w:val="18"/>
                <w:szCs w:val="18"/>
              </w:rPr>
              <w:t xml:space="preserve">LLM version specification</w:t>
            </w:r>
          </w:p>
        </w:tc>
        <w:tc>
          <w:tcPr>
            <w:tcW w:type="dxa" w:w="4520"/>
            <w:shd w:fill="FFFFFF" w:color="auto" w:val="clear"/>
          </w:tcPr>
          <w:p>
            <w:r>
              <w:rPr>
                <w:rFonts w:ascii="Times New Roman" w:cs="Times New Roman" w:eastAsia="Times New Roman" w:hAnsi="Times New Roman"/>
                <w:sz w:val="18"/>
                <w:szCs w:val="18"/>
              </w:rPr>
              <w:t xml:space="preserve">Resolved. Exact model ID strings and providers specified for all five models. See Section 4.</w:t>
            </w:r>
          </w:p>
        </w:tc>
      </w:tr>
      <w:tr>
        <w:tc>
          <w:tcPr>
            <w:tcW w:type="dxa" w:w="3400"/>
            <w:shd w:fill="F2F2F2" w:color="auto" w:val="clear"/>
          </w:tcPr>
          <w:p>
            <w:r>
              <w:rPr>
                <w:rFonts w:ascii="Times New Roman" w:cs="Times New Roman" w:eastAsia="Times New Roman" w:hAnsi="Times New Roman"/>
                <w:sz w:val="18"/>
                <w:szCs w:val="18"/>
              </w:rPr>
              <w:t xml:space="preserve">Safety evaluation scope</w:t>
            </w:r>
          </w:p>
        </w:tc>
        <w:tc>
          <w:tcPr>
            <w:tcW w:type="dxa" w:w="4520"/>
            <w:shd w:fill="F2F2F2" w:color="auto" w:val="clear"/>
          </w:tcPr>
          <w:p>
            <w:r>
              <w:rPr>
                <w:rFonts w:ascii="Times New Roman" w:cs="Times New Roman" w:eastAsia="Times New Roman" w:hAnsi="Times New Roman"/>
                <w:sz w:val="18"/>
                <w:szCs w:val="18"/>
              </w:rPr>
              <w:t xml:space="preserve">Resolved. Safety override evaluated separately on held-out crisis and non-crisis inputs; precision, recall, F1, and 95 % bootstrap CI reported. See Section 2.3.</w:t>
            </w:r>
          </w:p>
        </w:tc>
      </w:tr>
      <w:tr>
        <w:tc>
          <w:tcPr>
            <w:tcW w:type="dxa" w:w="3400"/>
            <w:shd w:fill="FFFFFF" w:color="auto" w:val="clear"/>
          </w:tcPr>
          <w:p>
            <w:r>
              <w:rPr>
                <w:rFonts w:ascii="Times New Roman" w:cs="Times New Roman" w:eastAsia="Times New Roman" w:hAnsi="Times New Roman"/>
                <w:sz w:val="18"/>
                <w:szCs w:val="18"/>
              </w:rPr>
              <w:t xml:space="preserve">High-risk override testing</w:t>
            </w:r>
          </w:p>
        </w:tc>
        <w:tc>
          <w:tcPr>
            <w:tcW w:type="dxa" w:w="4520"/>
            <w:shd w:fill="FFFFFF" w:color="auto" w:val="clear"/>
          </w:tcPr>
          <w:p>
            <w:r>
              <w:rPr>
                <w:rFonts w:ascii="Times New Roman" w:cs="Times New Roman" w:eastAsia="Times New Roman" w:hAnsi="Times New Roman"/>
                <w:sz w:val="18"/>
                <w:szCs w:val="18"/>
              </w:rPr>
              <w:t xml:space="preserve">Resolved. Included in safety evaluation (Section 2.3).</w:t>
            </w:r>
          </w:p>
        </w:tc>
      </w:tr>
      <w:tr>
        <w:tc>
          <w:tcPr>
            <w:tcW w:type="dxa" w:w="3400"/>
            <w:shd w:fill="F2F2F2" w:color="auto" w:val="clear"/>
          </w:tcPr>
          <w:p>
            <w:r>
              <w:rPr>
                <w:rFonts w:ascii="Times New Roman" w:cs="Times New Roman" w:eastAsia="Times New Roman" w:hAnsi="Times New Roman"/>
                <w:sz w:val="18"/>
                <w:szCs w:val="18"/>
              </w:rPr>
              <w:t xml:space="preserve">Two datasets from top-tier venues</w:t>
            </w:r>
          </w:p>
        </w:tc>
        <w:tc>
          <w:tcPr>
            <w:tcW w:type="dxa" w:w="4520"/>
            <w:shd w:fill="F2F2F2" w:color="auto" w:val="clear"/>
          </w:tcPr>
          <w:p>
            <w:r>
              <w:rPr>
                <w:rFonts w:ascii="Times New Roman" w:cs="Times New Roman" w:eastAsia="Times New Roman" w:hAnsi="Times New Roman"/>
                <w:sz w:val="18"/>
                <w:szCs w:val="18"/>
              </w:rPr>
              <w:t xml:space="preserve">Resolved. Dreaddit (LOUHI Workshop @ EMNLP 2019, EMNLP co-located) and GoEmotions (ACL 2020) both satisfy the top-tier venue requirement. See Section 3.</w:t>
            </w:r>
          </w:p>
        </w:tc>
      </w:tr>
    </w:tbl>
    <w:p>
      <w:pPr>
        <w:spacing w:after="80"/>
      </w:pPr>
    </w:p>
    <w:p>
      <w:pPr>
        <w:pStyle w:val="Heading2"/>
        <w:spacing w:after="100" w:before="200"/>
      </w:pPr>
      <w:r>
        <w:t xml:space="preserve">7.2  Implementation Notes</w:t>
      </w:r>
    </w:p>
    <w:p>
      <w:pPr>
        <w:spacing w:after="120"/>
      </w:pPr>
      <w:r>
        <w:rPr>
          <w:rFonts w:ascii="Times New Roman" w:cs="Times New Roman" w:eastAsia="Times New Roman" w:hAnsi="Times New Roman"/>
          <w:sz w:val="22"/>
          <w:szCs w:val="22"/>
        </w:rPr>
        <w:t xml:space="preserve">GoEmotions access: GoEmotions (Demszky et al., ACL 2020) is publicly available on Kaggle (debarshichanda/goemotions) and Google Cloud Storage (gs://gresearch/goemotions/data/) without access restrictions.</w:t>
      </w:r>
    </w:p>
    <w:p>
      <w:pPr>
        <w:spacing w:after="120"/>
      </w:pPr>
      <w:r>
        <w:rPr>
          <w:rFonts w:ascii="Times New Roman" w:cs="Times New Roman" w:eastAsia="Times New Roman" w:hAnsi="Times New Roman"/>
          <w:b/>
          <w:bCs/>
          <w:sz w:val="22"/>
          <w:szCs w:val="22"/>
        </w:rPr>
        <w:t xml:space="preserve">Inference provider rate limits:  </w:t>
      </w:r>
      <w:r>
        <w:rPr>
          <w:rFonts w:ascii="Times New Roman" w:cs="Times New Roman" w:eastAsia="Times New Roman" w:hAnsi="Times New Roman"/>
          <w:sz w:val="22"/>
          <w:szCs w:val="22"/>
        </w:rPr>
        <w:t xml:space="preserve">Multi-provider rate limits: Groq enforces per-minute token limits; OpenRouter enforces per-minute request limits on free-tier models. Evaluation runs should be batched with exponential-backoff retry logic. Estimated total tokens across 150 runs: approximately 15 million, distributed across providers. Monitor usage dashboards for each provider to avoid exhausting free-tier quotas mid-experiment.</w:t>
      </w:r>
    </w:p>
    <w:p>
      <w:pPr>
        <w:spacing w:after="120"/>
      </w:pPr>
      <w:r>
        <w:rPr>
          <w:rFonts w:ascii="Times New Roman" w:cs="Times New Roman" w:eastAsia="Times New Roman" w:hAnsi="Times New Roman"/>
          <w:b/>
          <w:bCs/>
          <w:sz w:val="22"/>
          <w:szCs w:val="22"/>
        </w:rPr>
        <w:t xml:space="preserve">Reproducibility:  </w:t>
      </w:r>
      <w:r>
        <w:rPr>
          <w:rFonts w:ascii="Times New Roman" w:cs="Times New Roman" w:eastAsia="Times New Roman" w:hAnsi="Times New Roman"/>
          <w:sz w:val="22"/>
          <w:szCs w:val="22"/>
        </w:rPr>
        <w:t xml:space="preserve">All experimental inputs, model outputs, and computed metrics are saved to evaluation/prompt-experiments/runs/ using the existing export utility. Identical inputs are used across all five repeated runs for a given configuration to ensure comparability.</w:t>
      </w:r>
    </w:p>
    <w:p>
      <w:pPr>
        <w:spacing w:after="8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2026-07-20T00:37:52.579Z</dcterms:created>
  <dcterms:modified xsi:type="dcterms:W3CDTF">2026-07-20T00:37:52.579Z</dcterms:modified>
</cp:coreProperties>
</file>

<file path=docProps/custom.xml><?xml version="1.0" encoding="utf-8"?>
<Properties xmlns="http://schemas.openxmlformats.org/officeDocument/2006/custom-properties" xmlns:vt="http://schemas.openxmlformats.org/officeDocument/2006/docPropsVTypes"/>
</file>