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EA72332" w14:textId="77777777" w:rsidR="00E16D47" w:rsidRDefault="00CD421C">
      <w:pPr>
        <w:jc w:val="center"/>
      </w:pPr>
      <w:bookmarkStart w:id="0" w:name="_GoBack"/>
      <w:bookmarkEnd w:id="0"/>
      <w:r>
        <w:rPr>
          <w:b/>
          <w:sz w:val="30"/>
        </w:rPr>
        <w:t>ÉVOLUTION DU TAUX DE CHÔMAGE AU MAROC</w:t>
      </w:r>
    </w:p>
    <w:p w14:paraId="3CFDFED2" w14:textId="77777777" w:rsidR="00E16D47" w:rsidRDefault="00CD421C">
      <w:pPr>
        <w:jc w:val="center"/>
      </w:pPr>
      <w:r>
        <w:rPr>
          <w:b/>
          <w:sz w:val="24"/>
        </w:rPr>
        <w:t>Quels facteurs expliquent sa baisse en 2025 ?</w:t>
      </w:r>
    </w:p>
    <w:p w14:paraId="772586F7" w14:textId="77777777" w:rsidR="00E16D47" w:rsidRDefault="00CD421C">
      <w:r>
        <w:t>Source principale : Haut-Commissariat au Plan (HCP), Activité, emploi et chômage — Résultats annuels 2025.</w:t>
      </w:r>
    </w:p>
    <w:p w14:paraId="75B7B946" w14:textId="77777777" w:rsidR="00E16D47" w:rsidRDefault="00E16D47"/>
    <w:p w14:paraId="244BA2E6" w14:textId="77777777" w:rsidR="00E16D47" w:rsidRDefault="00CD421C">
      <w:pPr>
        <w:pStyle w:val="Titre1"/>
      </w:pPr>
      <w:r>
        <w:t>Introduction</w:t>
      </w:r>
    </w:p>
    <w:p w14:paraId="04B51DC3" w14:textId="77777777" w:rsidR="00E16D47" w:rsidRDefault="00CD421C">
      <w:r>
        <w:t xml:space="preserve">Le chômage constitue un indicateur </w:t>
      </w:r>
      <w:r>
        <w:t xml:space="preserve">essentiel de la situation économique et sociale d’un pays. Au Maroc, son évolution permet d’apprécier la capacité de l’économie à créer des emplois et à intégrer la population active. La question est particulièrement importante pour les jeunes, les femmes </w:t>
      </w:r>
      <w:r>
        <w:t>et les diplômés, catégories qui connaissent des niveaux de chômage nettement supérieurs à la moyenne nationale.</w:t>
      </w:r>
    </w:p>
    <w:p w14:paraId="33436AE7" w14:textId="77777777" w:rsidR="00E16D47" w:rsidRDefault="00CD421C">
      <w:r>
        <w:t xml:space="preserve">L’objectif de cette étude est d’analyser l’évolution récente du chômage au Maroc et, plus précisément, de comprendre les facteurs associés à sa </w:t>
      </w:r>
      <w:r>
        <w:t>baisse entre 2024 et 2025. Le rapport du Haut-Commissariat au Plan (HCP) constitue la principale source statistique utilisée dans cette analyse.</w:t>
      </w:r>
    </w:p>
    <w:p w14:paraId="3C68E813" w14:textId="77777777" w:rsidR="00E16D47" w:rsidRDefault="00CD421C">
      <w:r>
        <w:t>Une précision est nécessaire dès le départ : le taux de chômage marocain n’est pas en baisse de manière continu</w:t>
      </w:r>
      <w:r>
        <w:t>e. Après plusieurs fluctuations depuis 2017, il est passé de 13,3 % en 2024 à 13,0 % en 2025. L’étude porte donc sur les raisons de cette baisse récente et non sur une baisse permanente du chômage.</w:t>
      </w:r>
    </w:p>
    <w:p w14:paraId="1F9BF7AC" w14:textId="77777777" w:rsidR="00E16D47" w:rsidRDefault="00CD421C">
      <w:pPr>
        <w:pStyle w:val="Titre1"/>
      </w:pPr>
      <w:r>
        <w:t>Problématique</w:t>
      </w:r>
    </w:p>
    <w:p w14:paraId="3D794200" w14:textId="77777777" w:rsidR="00E16D47" w:rsidRDefault="00CD421C">
      <w:r>
        <w:t>Dans quelle mesure la baisse du taux de chôm</w:t>
      </w:r>
      <w:r>
        <w:t>age au Maroc entre 2024 et 2025 peut-elle être expliquée par la création d’emplois et par l’évolution de la structure du marché du travail ?</w:t>
      </w:r>
    </w:p>
    <w:p w14:paraId="6FE5BC89" w14:textId="77777777" w:rsidR="00E16D47" w:rsidRDefault="00CD421C">
      <w:pPr>
        <w:pStyle w:val="Titre1"/>
      </w:pPr>
      <w:r>
        <w:t>Méthodologie</w:t>
      </w:r>
    </w:p>
    <w:p w14:paraId="5B7EB8FF" w14:textId="77777777" w:rsidR="00E16D47" w:rsidRDefault="00CD421C">
      <w:r>
        <w:t>L’analyse repose sur les données du rapport annuel 2025 du HCP, issu de l’Enquête nationale sur l’empl</w:t>
      </w:r>
      <w:r>
        <w:t>oi. Les principaux indicateurs étudiés sont le taux et le volume du chômage, la création d’emplois, les secteurs d’activité, le sexe, l’âge, le diplôme, le milieu de résidence et le sous-emploi. Les variations sont comparées principalement entre 2024 et 20</w:t>
      </w:r>
      <w:r>
        <w:t>25 afin d’identifier les facteurs associés à la baisse observée.</w:t>
      </w:r>
    </w:p>
    <w:p w14:paraId="278BF7C3" w14:textId="77777777" w:rsidR="00E16D47" w:rsidRDefault="00CD421C">
      <w:pPr>
        <w:pStyle w:val="Titre1"/>
      </w:pPr>
      <w:r>
        <w:t>Source et périmètre</w:t>
      </w:r>
    </w:p>
    <w:p w14:paraId="3FACC79C" w14:textId="77777777" w:rsidR="00E16D47" w:rsidRDefault="00CD421C">
      <w:r>
        <w:t>Les données concernent la population âgée de 15 ans et plus et distinguent notamment les milieux urbain et rural. Les chiffres présentés ci-dessous sont ceux publiés par l</w:t>
      </w:r>
      <w:r>
        <w:t>e HCP dans les résultats annuels 2025.</w:t>
      </w:r>
    </w:p>
    <w:p w14:paraId="6272885B" w14:textId="77777777" w:rsidR="00E16D47" w:rsidRDefault="00CD421C">
      <w:pPr>
        <w:pageBreakBefore/>
        <w:jc w:val="center"/>
      </w:pPr>
      <w:r>
        <w:rPr>
          <w:b/>
          <w:sz w:val="30"/>
        </w:rPr>
        <w:lastRenderedPageBreak/>
        <w:t>1. ÉVOLUTION DU CHÔMAGE AU MAROC</w:t>
      </w:r>
    </w:p>
    <w:p w14:paraId="5EE5FF59" w14:textId="77777777" w:rsidR="00E16D47" w:rsidRDefault="00CD421C">
      <w:pPr>
        <w:pStyle w:val="Titre1"/>
      </w:pPr>
      <w:r>
        <w:t>1.1. Une évolution irrégulière depuis 2017</w:t>
      </w:r>
    </w:p>
    <w:p w14:paraId="3881CF93" w14:textId="77777777" w:rsidR="00E16D47" w:rsidRDefault="00CD421C">
      <w:r>
        <w:t>Les données du HCP montrent que le chômage ne suit pas une tendance constamment décroissante. Le taux national a connu plusieurs variations :</w:t>
      </w:r>
      <w:r>
        <w:t xml:space="preserve"> il était de 9,2 % en 2018, puis 10,2 % en 2019, avant d’atteindre 11,9 % en 2020 et 12,3 % en 2021. Après une baisse à 11,8 % en 2022, il est remonté à 13,0 % en 2023 et 13,3 % en 2024. En 2025, il recule à 13,0 %.</w:t>
      </w:r>
    </w:p>
    <w:tbl>
      <w:tblPr>
        <w:tblStyle w:val="Grilledutableau"/>
        <w:tblW w:w="0" w:type="auto"/>
        <w:jc w:val="center"/>
        <w:tblLook w:val="04A0" w:firstRow="1" w:lastRow="0" w:firstColumn="1" w:lastColumn="0" w:noHBand="0" w:noVBand="1"/>
      </w:tblPr>
      <w:tblGrid>
        <w:gridCol w:w="1019"/>
        <w:gridCol w:w="1019"/>
        <w:gridCol w:w="1019"/>
        <w:gridCol w:w="1019"/>
        <w:gridCol w:w="1019"/>
        <w:gridCol w:w="1019"/>
        <w:gridCol w:w="1019"/>
        <w:gridCol w:w="1019"/>
        <w:gridCol w:w="1019"/>
        <w:gridCol w:w="1019"/>
      </w:tblGrid>
      <w:tr w:rsidR="00E16D47" w14:paraId="22C49D7C" w14:textId="77777777">
        <w:trPr>
          <w:jc w:val="center"/>
        </w:trPr>
        <w:tc>
          <w:tcPr>
            <w:tcW w:w="1020" w:type="dxa"/>
            <w:shd w:val="clear" w:color="auto" w:fill="D9EAF7"/>
            <w:vAlign w:val="center"/>
          </w:tcPr>
          <w:p w14:paraId="670516DD" w14:textId="77777777" w:rsidR="00E16D47" w:rsidRDefault="00CD421C">
            <w:r>
              <w:rPr>
                <w:b/>
                <w:sz w:val="18"/>
              </w:rPr>
              <w:t>Année</w:t>
            </w:r>
          </w:p>
        </w:tc>
        <w:tc>
          <w:tcPr>
            <w:tcW w:w="1020" w:type="dxa"/>
            <w:shd w:val="clear" w:color="auto" w:fill="D9EAF7"/>
            <w:vAlign w:val="center"/>
          </w:tcPr>
          <w:p w14:paraId="494AFBAB" w14:textId="77777777" w:rsidR="00E16D47" w:rsidRDefault="00CD421C">
            <w:r>
              <w:rPr>
                <w:b/>
                <w:sz w:val="18"/>
              </w:rPr>
              <w:t>2017</w:t>
            </w:r>
          </w:p>
        </w:tc>
        <w:tc>
          <w:tcPr>
            <w:tcW w:w="1020" w:type="dxa"/>
            <w:shd w:val="clear" w:color="auto" w:fill="D9EAF7"/>
            <w:vAlign w:val="center"/>
          </w:tcPr>
          <w:p w14:paraId="5CA5B1BA" w14:textId="77777777" w:rsidR="00E16D47" w:rsidRDefault="00CD421C">
            <w:r>
              <w:rPr>
                <w:b/>
                <w:sz w:val="18"/>
              </w:rPr>
              <w:t>2018</w:t>
            </w:r>
          </w:p>
        </w:tc>
        <w:tc>
          <w:tcPr>
            <w:tcW w:w="1020" w:type="dxa"/>
            <w:shd w:val="clear" w:color="auto" w:fill="D9EAF7"/>
            <w:vAlign w:val="center"/>
          </w:tcPr>
          <w:p w14:paraId="5BA007E8" w14:textId="77777777" w:rsidR="00E16D47" w:rsidRDefault="00CD421C">
            <w:r>
              <w:rPr>
                <w:b/>
                <w:sz w:val="18"/>
              </w:rPr>
              <w:t>2019</w:t>
            </w:r>
          </w:p>
        </w:tc>
        <w:tc>
          <w:tcPr>
            <w:tcW w:w="1020" w:type="dxa"/>
            <w:shd w:val="clear" w:color="auto" w:fill="D9EAF7"/>
            <w:vAlign w:val="center"/>
          </w:tcPr>
          <w:p w14:paraId="255C393B" w14:textId="77777777" w:rsidR="00E16D47" w:rsidRDefault="00CD421C">
            <w:r>
              <w:rPr>
                <w:b/>
                <w:sz w:val="18"/>
              </w:rPr>
              <w:t>2020</w:t>
            </w:r>
          </w:p>
        </w:tc>
        <w:tc>
          <w:tcPr>
            <w:tcW w:w="1020" w:type="dxa"/>
            <w:shd w:val="clear" w:color="auto" w:fill="D9EAF7"/>
            <w:vAlign w:val="center"/>
          </w:tcPr>
          <w:p w14:paraId="5E0C6021" w14:textId="77777777" w:rsidR="00E16D47" w:rsidRDefault="00CD421C">
            <w:r>
              <w:rPr>
                <w:b/>
                <w:sz w:val="18"/>
              </w:rPr>
              <w:t>2021</w:t>
            </w:r>
          </w:p>
        </w:tc>
        <w:tc>
          <w:tcPr>
            <w:tcW w:w="1020" w:type="dxa"/>
            <w:shd w:val="clear" w:color="auto" w:fill="D9EAF7"/>
            <w:vAlign w:val="center"/>
          </w:tcPr>
          <w:p w14:paraId="1BD0A7B5" w14:textId="77777777" w:rsidR="00E16D47" w:rsidRDefault="00CD421C">
            <w:r>
              <w:rPr>
                <w:b/>
                <w:sz w:val="18"/>
              </w:rPr>
              <w:t>2022</w:t>
            </w:r>
          </w:p>
        </w:tc>
        <w:tc>
          <w:tcPr>
            <w:tcW w:w="1020" w:type="dxa"/>
            <w:shd w:val="clear" w:color="auto" w:fill="D9EAF7"/>
            <w:vAlign w:val="center"/>
          </w:tcPr>
          <w:p w14:paraId="2EBE9CCD" w14:textId="77777777" w:rsidR="00E16D47" w:rsidRDefault="00CD421C">
            <w:r>
              <w:rPr>
                <w:b/>
                <w:sz w:val="18"/>
              </w:rPr>
              <w:t>2023</w:t>
            </w:r>
          </w:p>
        </w:tc>
        <w:tc>
          <w:tcPr>
            <w:tcW w:w="1020" w:type="dxa"/>
            <w:shd w:val="clear" w:color="auto" w:fill="D9EAF7"/>
            <w:vAlign w:val="center"/>
          </w:tcPr>
          <w:p w14:paraId="61923A57" w14:textId="77777777" w:rsidR="00E16D47" w:rsidRDefault="00CD421C">
            <w:r>
              <w:rPr>
                <w:b/>
                <w:sz w:val="18"/>
              </w:rPr>
              <w:t>2024</w:t>
            </w:r>
          </w:p>
        </w:tc>
        <w:tc>
          <w:tcPr>
            <w:tcW w:w="1020" w:type="dxa"/>
            <w:shd w:val="clear" w:color="auto" w:fill="D9EAF7"/>
            <w:vAlign w:val="center"/>
          </w:tcPr>
          <w:p w14:paraId="41D4FB97" w14:textId="77777777" w:rsidR="00E16D47" w:rsidRDefault="00CD421C">
            <w:r>
              <w:rPr>
                <w:b/>
                <w:sz w:val="18"/>
              </w:rPr>
              <w:t>2025</w:t>
            </w:r>
          </w:p>
        </w:tc>
      </w:tr>
      <w:tr w:rsidR="00E16D47" w14:paraId="50C12D41" w14:textId="77777777">
        <w:trPr>
          <w:jc w:val="center"/>
        </w:trPr>
        <w:tc>
          <w:tcPr>
            <w:tcW w:w="1020" w:type="dxa"/>
          </w:tcPr>
          <w:p w14:paraId="6BDA586A" w14:textId="77777777" w:rsidR="00E16D47" w:rsidRDefault="00CD421C">
            <w:pPr>
              <w:spacing w:after="0"/>
            </w:pPr>
            <w:r>
              <w:rPr>
                <w:sz w:val="17"/>
              </w:rPr>
              <w:t>Taux de chômage (%)</w:t>
            </w:r>
          </w:p>
        </w:tc>
        <w:tc>
          <w:tcPr>
            <w:tcW w:w="1020" w:type="dxa"/>
          </w:tcPr>
          <w:p w14:paraId="327EC774" w14:textId="77777777" w:rsidR="00E16D47" w:rsidRDefault="00CD421C">
            <w:pPr>
              <w:spacing w:after="0"/>
            </w:pPr>
            <w:r>
              <w:rPr>
                <w:sz w:val="17"/>
              </w:rPr>
              <w:t>9,5</w:t>
            </w:r>
          </w:p>
        </w:tc>
        <w:tc>
          <w:tcPr>
            <w:tcW w:w="1020" w:type="dxa"/>
          </w:tcPr>
          <w:p w14:paraId="44B68B2D" w14:textId="77777777" w:rsidR="00E16D47" w:rsidRDefault="00CD421C">
            <w:pPr>
              <w:spacing w:after="0"/>
            </w:pPr>
            <w:r>
              <w:rPr>
                <w:sz w:val="17"/>
              </w:rPr>
              <w:t>9,2</w:t>
            </w:r>
          </w:p>
        </w:tc>
        <w:tc>
          <w:tcPr>
            <w:tcW w:w="1020" w:type="dxa"/>
          </w:tcPr>
          <w:p w14:paraId="2A06159D" w14:textId="77777777" w:rsidR="00E16D47" w:rsidRDefault="00CD421C">
            <w:pPr>
              <w:spacing w:after="0"/>
            </w:pPr>
            <w:r>
              <w:rPr>
                <w:sz w:val="17"/>
              </w:rPr>
              <w:t>10,2</w:t>
            </w:r>
          </w:p>
        </w:tc>
        <w:tc>
          <w:tcPr>
            <w:tcW w:w="1020" w:type="dxa"/>
          </w:tcPr>
          <w:p w14:paraId="467800D3" w14:textId="77777777" w:rsidR="00E16D47" w:rsidRDefault="00CD421C">
            <w:pPr>
              <w:spacing w:after="0"/>
            </w:pPr>
            <w:r>
              <w:rPr>
                <w:sz w:val="17"/>
              </w:rPr>
              <w:t>11,9</w:t>
            </w:r>
          </w:p>
        </w:tc>
        <w:tc>
          <w:tcPr>
            <w:tcW w:w="1020" w:type="dxa"/>
          </w:tcPr>
          <w:p w14:paraId="04C481DD" w14:textId="77777777" w:rsidR="00E16D47" w:rsidRDefault="00CD421C">
            <w:pPr>
              <w:spacing w:after="0"/>
            </w:pPr>
            <w:r>
              <w:rPr>
                <w:sz w:val="17"/>
              </w:rPr>
              <w:t>12,3</w:t>
            </w:r>
          </w:p>
        </w:tc>
        <w:tc>
          <w:tcPr>
            <w:tcW w:w="1020" w:type="dxa"/>
          </w:tcPr>
          <w:p w14:paraId="01B69B49" w14:textId="77777777" w:rsidR="00E16D47" w:rsidRDefault="00CD421C">
            <w:pPr>
              <w:spacing w:after="0"/>
            </w:pPr>
            <w:r>
              <w:rPr>
                <w:sz w:val="17"/>
              </w:rPr>
              <w:t>11,8</w:t>
            </w:r>
          </w:p>
        </w:tc>
        <w:tc>
          <w:tcPr>
            <w:tcW w:w="1020" w:type="dxa"/>
          </w:tcPr>
          <w:p w14:paraId="556FE223" w14:textId="77777777" w:rsidR="00E16D47" w:rsidRDefault="00CD421C">
            <w:pPr>
              <w:spacing w:after="0"/>
            </w:pPr>
            <w:r>
              <w:rPr>
                <w:sz w:val="17"/>
              </w:rPr>
              <w:t>13,0</w:t>
            </w:r>
          </w:p>
        </w:tc>
        <w:tc>
          <w:tcPr>
            <w:tcW w:w="1020" w:type="dxa"/>
          </w:tcPr>
          <w:p w14:paraId="40432F69" w14:textId="77777777" w:rsidR="00E16D47" w:rsidRDefault="00CD421C">
            <w:pPr>
              <w:spacing w:after="0"/>
            </w:pPr>
            <w:r>
              <w:rPr>
                <w:sz w:val="17"/>
              </w:rPr>
              <w:t>13,3</w:t>
            </w:r>
          </w:p>
        </w:tc>
        <w:tc>
          <w:tcPr>
            <w:tcW w:w="1020" w:type="dxa"/>
          </w:tcPr>
          <w:p w14:paraId="6C7E9FB1" w14:textId="77777777" w:rsidR="00E16D47" w:rsidRDefault="00CD421C">
            <w:pPr>
              <w:spacing w:after="0"/>
            </w:pPr>
            <w:r>
              <w:rPr>
                <w:sz w:val="17"/>
              </w:rPr>
              <w:t>13,0</w:t>
            </w:r>
          </w:p>
        </w:tc>
      </w:tr>
    </w:tbl>
    <w:p w14:paraId="1DF1FC71" w14:textId="77777777" w:rsidR="00E16D47" w:rsidRDefault="00E16D47">
      <w:pPr>
        <w:spacing w:after="0" w:line="80" w:lineRule="exact"/>
      </w:pPr>
    </w:p>
    <w:p w14:paraId="676E4F1E" w14:textId="77777777" w:rsidR="00E16D47" w:rsidRDefault="00CD421C">
      <w:r>
        <w:t xml:space="preserve">Cette série montre que la baisse de 2025 doit être interprétée comme une amélioration récente après la hausse enregistrée jusqu’en 2024. Elle ne permet pas, à elle seule, de </w:t>
      </w:r>
      <w:r>
        <w:t>conclure à une tendance durable.</w:t>
      </w:r>
    </w:p>
    <w:p w14:paraId="0DDE2A76" w14:textId="77777777" w:rsidR="00E16D47" w:rsidRDefault="00CD421C">
      <w:pPr>
        <w:pStyle w:val="Titre1"/>
      </w:pPr>
      <w:r>
        <w:t>1.2. La baisse entre 2024 et 2025</w:t>
      </w:r>
    </w:p>
    <w:p w14:paraId="1F0FAE50" w14:textId="77777777" w:rsidR="00E16D47" w:rsidRDefault="00CD421C">
      <w:r>
        <w:t xml:space="preserve">Entre 2024 et 2025, le nombre de chômeurs est passé de 1 638 000 à 1 621 000 personnes, soit une diminution de 17 000 personnes, équivalente à 1 %. Le taux de chômage national est passé de </w:t>
      </w:r>
      <w:r>
        <w:t>13,3 % à 13,0 %, soit une baisse de 0,3 point.</w:t>
      </w:r>
    </w:p>
    <w:tbl>
      <w:tblPr>
        <w:tblStyle w:val="Grilledutableau"/>
        <w:tblW w:w="0" w:type="auto"/>
        <w:jc w:val="center"/>
        <w:tblLook w:val="04A0" w:firstRow="1" w:lastRow="0" w:firstColumn="1" w:lastColumn="0" w:noHBand="0" w:noVBand="1"/>
      </w:tblPr>
      <w:tblGrid>
        <w:gridCol w:w="2548"/>
        <w:gridCol w:w="2547"/>
        <w:gridCol w:w="2547"/>
        <w:gridCol w:w="2548"/>
      </w:tblGrid>
      <w:tr w:rsidR="00E16D47" w14:paraId="44787D08" w14:textId="77777777">
        <w:trPr>
          <w:jc w:val="center"/>
        </w:trPr>
        <w:tc>
          <w:tcPr>
            <w:tcW w:w="2550" w:type="dxa"/>
            <w:shd w:val="clear" w:color="auto" w:fill="D9EAF7"/>
            <w:vAlign w:val="center"/>
          </w:tcPr>
          <w:p w14:paraId="379EE471" w14:textId="77777777" w:rsidR="00E16D47" w:rsidRDefault="00CD421C">
            <w:r>
              <w:rPr>
                <w:b/>
                <w:sz w:val="18"/>
              </w:rPr>
              <w:t>Indicateur</w:t>
            </w:r>
          </w:p>
        </w:tc>
        <w:tc>
          <w:tcPr>
            <w:tcW w:w="2550" w:type="dxa"/>
            <w:shd w:val="clear" w:color="auto" w:fill="D9EAF7"/>
            <w:vAlign w:val="center"/>
          </w:tcPr>
          <w:p w14:paraId="65AE916C" w14:textId="77777777" w:rsidR="00E16D47" w:rsidRDefault="00CD421C">
            <w:r>
              <w:rPr>
                <w:b/>
                <w:sz w:val="18"/>
              </w:rPr>
              <w:t>2024</w:t>
            </w:r>
          </w:p>
        </w:tc>
        <w:tc>
          <w:tcPr>
            <w:tcW w:w="2550" w:type="dxa"/>
            <w:shd w:val="clear" w:color="auto" w:fill="D9EAF7"/>
            <w:vAlign w:val="center"/>
          </w:tcPr>
          <w:p w14:paraId="750DDC49" w14:textId="77777777" w:rsidR="00E16D47" w:rsidRDefault="00CD421C">
            <w:r>
              <w:rPr>
                <w:b/>
                <w:sz w:val="18"/>
              </w:rPr>
              <w:t>2025</w:t>
            </w:r>
          </w:p>
        </w:tc>
        <w:tc>
          <w:tcPr>
            <w:tcW w:w="2550" w:type="dxa"/>
            <w:shd w:val="clear" w:color="auto" w:fill="D9EAF7"/>
            <w:vAlign w:val="center"/>
          </w:tcPr>
          <w:p w14:paraId="2FC8C69F" w14:textId="77777777" w:rsidR="00E16D47" w:rsidRDefault="00CD421C">
            <w:r>
              <w:rPr>
                <w:b/>
                <w:sz w:val="18"/>
              </w:rPr>
              <w:t>Variation</w:t>
            </w:r>
          </w:p>
        </w:tc>
      </w:tr>
      <w:tr w:rsidR="00E16D47" w14:paraId="4CFA78BF" w14:textId="77777777">
        <w:trPr>
          <w:jc w:val="center"/>
        </w:trPr>
        <w:tc>
          <w:tcPr>
            <w:tcW w:w="2550" w:type="dxa"/>
          </w:tcPr>
          <w:p w14:paraId="5D616961" w14:textId="77777777" w:rsidR="00E16D47" w:rsidRDefault="00CD421C">
            <w:pPr>
              <w:spacing w:after="0"/>
            </w:pPr>
            <w:r>
              <w:rPr>
                <w:sz w:val="17"/>
              </w:rPr>
              <w:t>Chômeurs</w:t>
            </w:r>
          </w:p>
        </w:tc>
        <w:tc>
          <w:tcPr>
            <w:tcW w:w="2550" w:type="dxa"/>
          </w:tcPr>
          <w:p w14:paraId="7D14A765" w14:textId="77777777" w:rsidR="00E16D47" w:rsidRDefault="00CD421C">
            <w:pPr>
              <w:spacing w:after="0"/>
            </w:pPr>
            <w:r>
              <w:rPr>
                <w:sz w:val="17"/>
              </w:rPr>
              <w:t>1 638 000</w:t>
            </w:r>
          </w:p>
        </w:tc>
        <w:tc>
          <w:tcPr>
            <w:tcW w:w="2550" w:type="dxa"/>
          </w:tcPr>
          <w:p w14:paraId="1C66C2E2" w14:textId="77777777" w:rsidR="00E16D47" w:rsidRDefault="00CD421C">
            <w:pPr>
              <w:spacing w:after="0"/>
            </w:pPr>
            <w:r>
              <w:rPr>
                <w:sz w:val="17"/>
              </w:rPr>
              <w:t>1 621 000</w:t>
            </w:r>
          </w:p>
        </w:tc>
        <w:tc>
          <w:tcPr>
            <w:tcW w:w="2550" w:type="dxa"/>
          </w:tcPr>
          <w:p w14:paraId="2D4F0EE0" w14:textId="77777777" w:rsidR="00E16D47" w:rsidRDefault="00CD421C">
            <w:pPr>
              <w:spacing w:after="0"/>
            </w:pPr>
            <w:r>
              <w:rPr>
                <w:sz w:val="17"/>
              </w:rPr>
              <w:t>-17 000</w:t>
            </w:r>
          </w:p>
        </w:tc>
      </w:tr>
      <w:tr w:rsidR="00E16D47" w14:paraId="6D68707E" w14:textId="77777777">
        <w:trPr>
          <w:jc w:val="center"/>
        </w:trPr>
        <w:tc>
          <w:tcPr>
            <w:tcW w:w="2550" w:type="dxa"/>
          </w:tcPr>
          <w:p w14:paraId="3FF71B44" w14:textId="77777777" w:rsidR="00E16D47" w:rsidRDefault="00CD421C">
            <w:pPr>
              <w:spacing w:after="0"/>
            </w:pPr>
            <w:r>
              <w:rPr>
                <w:sz w:val="17"/>
              </w:rPr>
              <w:t>Taux national</w:t>
            </w:r>
          </w:p>
        </w:tc>
        <w:tc>
          <w:tcPr>
            <w:tcW w:w="2550" w:type="dxa"/>
          </w:tcPr>
          <w:p w14:paraId="05DDDE6B" w14:textId="77777777" w:rsidR="00E16D47" w:rsidRDefault="00CD421C">
            <w:pPr>
              <w:spacing w:after="0"/>
            </w:pPr>
            <w:r>
              <w:rPr>
                <w:sz w:val="17"/>
              </w:rPr>
              <w:t>13,3 %</w:t>
            </w:r>
          </w:p>
        </w:tc>
        <w:tc>
          <w:tcPr>
            <w:tcW w:w="2550" w:type="dxa"/>
          </w:tcPr>
          <w:p w14:paraId="2BAA52C3" w14:textId="77777777" w:rsidR="00E16D47" w:rsidRDefault="00CD421C">
            <w:pPr>
              <w:spacing w:after="0"/>
            </w:pPr>
            <w:r>
              <w:rPr>
                <w:sz w:val="17"/>
              </w:rPr>
              <w:t>13,0 %</w:t>
            </w:r>
          </w:p>
        </w:tc>
        <w:tc>
          <w:tcPr>
            <w:tcW w:w="2550" w:type="dxa"/>
          </w:tcPr>
          <w:p w14:paraId="4035DCE7" w14:textId="77777777" w:rsidR="00E16D47" w:rsidRDefault="00CD421C">
            <w:pPr>
              <w:spacing w:after="0"/>
            </w:pPr>
            <w:r>
              <w:rPr>
                <w:sz w:val="17"/>
              </w:rPr>
              <w:t>-0,3 pt</w:t>
            </w:r>
          </w:p>
        </w:tc>
      </w:tr>
      <w:tr w:rsidR="00E16D47" w14:paraId="740735B3" w14:textId="77777777">
        <w:trPr>
          <w:jc w:val="center"/>
        </w:trPr>
        <w:tc>
          <w:tcPr>
            <w:tcW w:w="2550" w:type="dxa"/>
          </w:tcPr>
          <w:p w14:paraId="5AB08529" w14:textId="77777777" w:rsidR="00E16D47" w:rsidRDefault="00CD421C">
            <w:pPr>
              <w:spacing w:after="0"/>
            </w:pPr>
            <w:r>
              <w:rPr>
                <w:sz w:val="17"/>
              </w:rPr>
              <w:t>Taux urbain</w:t>
            </w:r>
          </w:p>
        </w:tc>
        <w:tc>
          <w:tcPr>
            <w:tcW w:w="2550" w:type="dxa"/>
          </w:tcPr>
          <w:p w14:paraId="40F16B9B" w14:textId="77777777" w:rsidR="00E16D47" w:rsidRDefault="00CD421C">
            <w:pPr>
              <w:spacing w:after="0"/>
            </w:pPr>
            <w:r>
              <w:rPr>
                <w:sz w:val="17"/>
              </w:rPr>
              <w:t>16,9 %</w:t>
            </w:r>
          </w:p>
        </w:tc>
        <w:tc>
          <w:tcPr>
            <w:tcW w:w="2550" w:type="dxa"/>
          </w:tcPr>
          <w:p w14:paraId="08BA00DD" w14:textId="77777777" w:rsidR="00E16D47" w:rsidRDefault="00CD421C">
            <w:pPr>
              <w:spacing w:after="0"/>
            </w:pPr>
            <w:r>
              <w:rPr>
                <w:sz w:val="17"/>
              </w:rPr>
              <w:t>16,4 %</w:t>
            </w:r>
          </w:p>
        </w:tc>
        <w:tc>
          <w:tcPr>
            <w:tcW w:w="2550" w:type="dxa"/>
          </w:tcPr>
          <w:p w14:paraId="62BFD2CF" w14:textId="77777777" w:rsidR="00E16D47" w:rsidRDefault="00CD421C">
            <w:pPr>
              <w:spacing w:after="0"/>
            </w:pPr>
            <w:r>
              <w:rPr>
                <w:sz w:val="17"/>
              </w:rPr>
              <w:t>-0,5 pt</w:t>
            </w:r>
          </w:p>
        </w:tc>
      </w:tr>
      <w:tr w:rsidR="00E16D47" w14:paraId="47BAC6A7" w14:textId="77777777">
        <w:trPr>
          <w:jc w:val="center"/>
        </w:trPr>
        <w:tc>
          <w:tcPr>
            <w:tcW w:w="2550" w:type="dxa"/>
          </w:tcPr>
          <w:p w14:paraId="53A40073" w14:textId="77777777" w:rsidR="00E16D47" w:rsidRDefault="00CD421C">
            <w:pPr>
              <w:spacing w:after="0"/>
            </w:pPr>
            <w:r>
              <w:rPr>
                <w:sz w:val="17"/>
              </w:rPr>
              <w:t>Taux rural</w:t>
            </w:r>
          </w:p>
        </w:tc>
        <w:tc>
          <w:tcPr>
            <w:tcW w:w="2550" w:type="dxa"/>
          </w:tcPr>
          <w:p w14:paraId="55B20F52" w14:textId="77777777" w:rsidR="00E16D47" w:rsidRDefault="00CD421C">
            <w:pPr>
              <w:spacing w:after="0"/>
            </w:pPr>
            <w:r>
              <w:rPr>
                <w:sz w:val="17"/>
              </w:rPr>
              <w:t>6,8 %</w:t>
            </w:r>
          </w:p>
        </w:tc>
        <w:tc>
          <w:tcPr>
            <w:tcW w:w="2550" w:type="dxa"/>
          </w:tcPr>
          <w:p w14:paraId="2B02AAEF" w14:textId="77777777" w:rsidR="00E16D47" w:rsidRDefault="00CD421C">
            <w:pPr>
              <w:spacing w:after="0"/>
            </w:pPr>
            <w:r>
              <w:rPr>
                <w:sz w:val="17"/>
              </w:rPr>
              <w:t>6,6 %</w:t>
            </w:r>
          </w:p>
        </w:tc>
        <w:tc>
          <w:tcPr>
            <w:tcW w:w="2550" w:type="dxa"/>
          </w:tcPr>
          <w:p w14:paraId="20646D1D" w14:textId="77777777" w:rsidR="00E16D47" w:rsidRDefault="00CD421C">
            <w:pPr>
              <w:spacing w:after="0"/>
            </w:pPr>
            <w:r>
              <w:rPr>
                <w:sz w:val="17"/>
              </w:rPr>
              <w:t>-0,2 pt</w:t>
            </w:r>
          </w:p>
        </w:tc>
      </w:tr>
    </w:tbl>
    <w:p w14:paraId="6363DBB1" w14:textId="77777777" w:rsidR="00E16D47" w:rsidRDefault="00E16D47">
      <w:pPr>
        <w:spacing w:after="0" w:line="80" w:lineRule="exact"/>
      </w:pPr>
    </w:p>
    <w:p w14:paraId="08F00C24" w14:textId="77777777" w:rsidR="00E16D47" w:rsidRDefault="00CD421C">
      <w:pPr>
        <w:keepNext/>
        <w:spacing w:before="40" w:after="0"/>
        <w:jc w:val="center"/>
      </w:pPr>
      <w:r>
        <w:rPr>
          <w:noProof/>
        </w:rPr>
        <w:drawing>
          <wp:inline distT="0" distB="0" distL="0" distR="0" wp14:anchorId="786633E3" wp14:editId="03E17890">
            <wp:extent cx="6217920" cy="170170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12.png"/>
                    <pic:cNvPicPr/>
                  </pic:nvPicPr>
                  <pic:blipFill>
                    <a:blip r:embed="rId8"/>
                    <a:stretch>
                      <a:fillRect/>
                    </a:stretch>
                  </pic:blipFill>
                  <pic:spPr>
                    <a:xfrm>
                      <a:off x="0" y="0"/>
                      <a:ext cx="6217920" cy="1701704"/>
                    </a:xfrm>
                    <a:prstGeom prst="rect">
                      <a:avLst/>
                    </a:prstGeom>
                  </pic:spPr>
                </pic:pic>
              </a:graphicData>
            </a:graphic>
          </wp:inline>
        </w:drawing>
      </w:r>
    </w:p>
    <w:p w14:paraId="7C0E77B3" w14:textId="77777777" w:rsidR="00E16D47" w:rsidRDefault="00CD421C">
      <w:pPr>
        <w:spacing w:after="60"/>
        <w:jc w:val="center"/>
      </w:pPr>
      <w:r>
        <w:rPr>
          <w:i/>
          <w:color w:val="595959"/>
          <w:sz w:val="15"/>
        </w:rPr>
        <w:t xml:space="preserve">Figure 1 : évolution du taux </w:t>
      </w:r>
      <w:r>
        <w:rPr>
          <w:i/>
          <w:color w:val="595959"/>
          <w:sz w:val="15"/>
        </w:rPr>
        <w:t>de chômage (2017-2025) et taux par milieu (2024-2025) — Source : HCP, résultats annuels 2025.</w:t>
      </w:r>
    </w:p>
    <w:p w14:paraId="5212F7D3" w14:textId="77777777" w:rsidR="00E16D47" w:rsidRDefault="00CD421C">
      <w:pPr>
        <w:pStyle w:val="Titre1"/>
      </w:pPr>
      <w:r>
        <w:t>1.3. Activité et emploi</w:t>
      </w:r>
    </w:p>
    <w:p w14:paraId="3CBA45C6" w14:textId="77777777" w:rsidR="00E16D47" w:rsidRDefault="00CD421C">
      <w:r>
        <w:t>Le taux d’activité est resté stable à 43,5 % entre 2024 et 2025, tandis que le taux d’emploi est passé de 37,7 % à 37,8 %. Cette évolution</w:t>
      </w:r>
      <w:r>
        <w:t xml:space="preserve"> est cohérente avec une légère amélioration de l’emploi, mais elle reste insuffisante pour parler d’un changement structurel du marché du travail.</w:t>
      </w:r>
    </w:p>
    <w:p w14:paraId="51139AE4" w14:textId="77777777" w:rsidR="00E16D47" w:rsidRDefault="00CD421C">
      <w:r>
        <w:t xml:space="preserve">Ainsi, le premier élément à examiner pour expliquer la baisse du chômage est l’évolution du volume </w:t>
      </w:r>
      <w:r>
        <w:t>d’emploi créé au cours de l’année 2025.</w:t>
      </w:r>
    </w:p>
    <w:p w14:paraId="7829EE1F" w14:textId="77777777" w:rsidR="00E16D47" w:rsidRDefault="00CD421C">
      <w:pPr>
        <w:pageBreakBefore/>
        <w:jc w:val="center"/>
      </w:pPr>
      <w:r>
        <w:rPr>
          <w:b/>
          <w:sz w:val="30"/>
        </w:rPr>
        <w:lastRenderedPageBreak/>
        <w:t>2. LA CRÉATION D’EMPLOIS : PRINCIPAL FACTEUR DE LA BAISSE</w:t>
      </w:r>
    </w:p>
    <w:p w14:paraId="7BA11E88" w14:textId="77777777" w:rsidR="00E16D47" w:rsidRDefault="00CD421C">
      <w:pPr>
        <w:pStyle w:val="Titre1"/>
      </w:pPr>
      <w:r>
        <w:t>2.1. Une accélération de la création d’emplois</w:t>
      </w:r>
    </w:p>
    <w:p w14:paraId="6F1D5099" w14:textId="77777777" w:rsidR="00E16D47" w:rsidRDefault="00CD421C">
      <w:r>
        <w:t xml:space="preserve">En 2025, l’économie nationale a créé 193 000 postes d’emploi, contre 82 000 en 2024. Cette évolution constitue </w:t>
      </w:r>
      <w:r>
        <w:t>l’un des principaux éléments permettant d’expliquer la diminution du nombre de chômeurs. La création nette résulte d’une hausse de 203 000 emplois en milieu urbain et d’une baisse de 10 000 emplois en milieu rural.</w:t>
      </w:r>
    </w:p>
    <w:tbl>
      <w:tblPr>
        <w:tblStyle w:val="Grilledutableau"/>
        <w:tblW w:w="0" w:type="auto"/>
        <w:jc w:val="center"/>
        <w:tblLook w:val="04A0" w:firstRow="1" w:lastRow="0" w:firstColumn="1" w:lastColumn="0" w:noHBand="0" w:noVBand="1"/>
      </w:tblPr>
      <w:tblGrid>
        <w:gridCol w:w="5095"/>
        <w:gridCol w:w="5095"/>
      </w:tblGrid>
      <w:tr w:rsidR="00E16D47" w14:paraId="315463BE" w14:textId="77777777">
        <w:trPr>
          <w:jc w:val="center"/>
        </w:trPr>
        <w:tc>
          <w:tcPr>
            <w:tcW w:w="5100" w:type="dxa"/>
            <w:shd w:val="clear" w:color="auto" w:fill="D9EAF7"/>
            <w:vAlign w:val="center"/>
          </w:tcPr>
          <w:p w14:paraId="52A9EDE6" w14:textId="77777777" w:rsidR="00E16D47" w:rsidRDefault="00CD421C">
            <w:r>
              <w:rPr>
                <w:b/>
                <w:sz w:val="18"/>
              </w:rPr>
              <w:t>Type d’emploi / milieu</w:t>
            </w:r>
          </w:p>
        </w:tc>
        <w:tc>
          <w:tcPr>
            <w:tcW w:w="5100" w:type="dxa"/>
            <w:shd w:val="clear" w:color="auto" w:fill="D9EAF7"/>
            <w:vAlign w:val="center"/>
          </w:tcPr>
          <w:p w14:paraId="5C18752F" w14:textId="77777777" w:rsidR="00E16D47" w:rsidRDefault="00CD421C">
            <w:r>
              <w:rPr>
                <w:b/>
                <w:sz w:val="18"/>
              </w:rPr>
              <w:t>Variation 2024-202</w:t>
            </w:r>
            <w:r>
              <w:rPr>
                <w:b/>
                <w:sz w:val="18"/>
              </w:rPr>
              <w:t>5</w:t>
            </w:r>
          </w:p>
        </w:tc>
      </w:tr>
      <w:tr w:rsidR="00E16D47" w14:paraId="54AAF34A" w14:textId="77777777">
        <w:trPr>
          <w:jc w:val="center"/>
        </w:trPr>
        <w:tc>
          <w:tcPr>
            <w:tcW w:w="5100" w:type="dxa"/>
          </w:tcPr>
          <w:p w14:paraId="0D83376F" w14:textId="77777777" w:rsidR="00E16D47" w:rsidRDefault="00CD421C">
            <w:pPr>
              <w:spacing w:after="0"/>
            </w:pPr>
            <w:r>
              <w:rPr>
                <w:sz w:val="17"/>
              </w:rPr>
              <w:t>Emploi total</w:t>
            </w:r>
          </w:p>
        </w:tc>
        <w:tc>
          <w:tcPr>
            <w:tcW w:w="5100" w:type="dxa"/>
          </w:tcPr>
          <w:p w14:paraId="7DF254C5" w14:textId="77777777" w:rsidR="00E16D47" w:rsidRDefault="00CD421C">
            <w:pPr>
              <w:spacing w:after="0"/>
            </w:pPr>
            <w:r>
              <w:rPr>
                <w:sz w:val="17"/>
              </w:rPr>
              <w:t>+193 000</w:t>
            </w:r>
          </w:p>
        </w:tc>
      </w:tr>
      <w:tr w:rsidR="00E16D47" w14:paraId="775DC181" w14:textId="77777777">
        <w:trPr>
          <w:jc w:val="center"/>
        </w:trPr>
        <w:tc>
          <w:tcPr>
            <w:tcW w:w="5100" w:type="dxa"/>
          </w:tcPr>
          <w:p w14:paraId="3D44431D" w14:textId="77777777" w:rsidR="00E16D47" w:rsidRDefault="00CD421C">
            <w:pPr>
              <w:spacing w:after="0"/>
            </w:pPr>
            <w:r>
              <w:rPr>
                <w:sz w:val="17"/>
              </w:rPr>
              <w:t>Emploi urbain</w:t>
            </w:r>
          </w:p>
        </w:tc>
        <w:tc>
          <w:tcPr>
            <w:tcW w:w="5100" w:type="dxa"/>
          </w:tcPr>
          <w:p w14:paraId="7ECF7238" w14:textId="77777777" w:rsidR="00E16D47" w:rsidRDefault="00CD421C">
            <w:pPr>
              <w:spacing w:after="0"/>
            </w:pPr>
            <w:r>
              <w:rPr>
                <w:sz w:val="17"/>
              </w:rPr>
              <w:t>+203 000</w:t>
            </w:r>
          </w:p>
        </w:tc>
      </w:tr>
      <w:tr w:rsidR="00E16D47" w14:paraId="722E6AD0" w14:textId="77777777">
        <w:trPr>
          <w:jc w:val="center"/>
        </w:trPr>
        <w:tc>
          <w:tcPr>
            <w:tcW w:w="5100" w:type="dxa"/>
          </w:tcPr>
          <w:p w14:paraId="62D5791B" w14:textId="77777777" w:rsidR="00E16D47" w:rsidRDefault="00CD421C">
            <w:pPr>
              <w:spacing w:after="0"/>
            </w:pPr>
            <w:r>
              <w:rPr>
                <w:sz w:val="17"/>
              </w:rPr>
              <w:t>Emploi rural</w:t>
            </w:r>
          </w:p>
        </w:tc>
        <w:tc>
          <w:tcPr>
            <w:tcW w:w="5100" w:type="dxa"/>
          </w:tcPr>
          <w:p w14:paraId="3293FBC4" w14:textId="77777777" w:rsidR="00E16D47" w:rsidRDefault="00CD421C">
            <w:pPr>
              <w:spacing w:after="0"/>
            </w:pPr>
            <w:r>
              <w:rPr>
                <w:sz w:val="17"/>
              </w:rPr>
              <w:t>-10 000</w:t>
            </w:r>
          </w:p>
        </w:tc>
      </w:tr>
      <w:tr w:rsidR="00E16D47" w14:paraId="11795344" w14:textId="77777777">
        <w:trPr>
          <w:jc w:val="center"/>
        </w:trPr>
        <w:tc>
          <w:tcPr>
            <w:tcW w:w="5100" w:type="dxa"/>
          </w:tcPr>
          <w:p w14:paraId="79C49AE1" w14:textId="77777777" w:rsidR="00E16D47" w:rsidRDefault="00CD421C">
            <w:pPr>
              <w:spacing w:after="0"/>
            </w:pPr>
            <w:r>
              <w:rPr>
                <w:sz w:val="17"/>
              </w:rPr>
              <w:t>Emploi rémunéré</w:t>
            </w:r>
          </w:p>
        </w:tc>
        <w:tc>
          <w:tcPr>
            <w:tcW w:w="5100" w:type="dxa"/>
          </w:tcPr>
          <w:p w14:paraId="0676AA8B" w14:textId="77777777" w:rsidR="00E16D47" w:rsidRDefault="00CD421C">
            <w:pPr>
              <w:spacing w:after="0"/>
            </w:pPr>
            <w:r>
              <w:rPr>
                <w:sz w:val="17"/>
              </w:rPr>
              <w:t>+249 000</w:t>
            </w:r>
          </w:p>
        </w:tc>
      </w:tr>
      <w:tr w:rsidR="00E16D47" w14:paraId="2C880EAF" w14:textId="77777777">
        <w:trPr>
          <w:jc w:val="center"/>
        </w:trPr>
        <w:tc>
          <w:tcPr>
            <w:tcW w:w="5100" w:type="dxa"/>
          </w:tcPr>
          <w:p w14:paraId="767C1717" w14:textId="77777777" w:rsidR="00E16D47" w:rsidRDefault="00CD421C">
            <w:pPr>
              <w:spacing w:after="0"/>
            </w:pPr>
            <w:r>
              <w:rPr>
                <w:sz w:val="17"/>
              </w:rPr>
              <w:t>Emploi non rémunéré</w:t>
            </w:r>
          </w:p>
        </w:tc>
        <w:tc>
          <w:tcPr>
            <w:tcW w:w="5100" w:type="dxa"/>
          </w:tcPr>
          <w:p w14:paraId="118EC0D3" w14:textId="77777777" w:rsidR="00E16D47" w:rsidRDefault="00CD421C">
            <w:pPr>
              <w:spacing w:after="0"/>
            </w:pPr>
            <w:r>
              <w:rPr>
                <w:sz w:val="17"/>
              </w:rPr>
              <w:t>-55 000</w:t>
            </w:r>
          </w:p>
        </w:tc>
      </w:tr>
    </w:tbl>
    <w:p w14:paraId="7AA8139B" w14:textId="77777777" w:rsidR="00E16D47" w:rsidRDefault="00E16D47">
      <w:pPr>
        <w:spacing w:after="0" w:line="80" w:lineRule="exact"/>
      </w:pPr>
    </w:p>
    <w:p w14:paraId="1D051ED1" w14:textId="77777777" w:rsidR="00E16D47" w:rsidRDefault="00CD421C">
      <w:r>
        <w:t xml:space="preserve">La création d’emplois est essentiellement rémunérée : 249 000 postes rémunérés supplémentaires ont été enregistrés, alors que </w:t>
      </w:r>
      <w:r>
        <w:t>l’emploi non rémunéré a diminué de 55 000 postes. Cette évolution est particulièrement importante pour l’analyse de la qualité de l’insertion professionnelle.</w:t>
      </w:r>
    </w:p>
    <w:p w14:paraId="687BF4FD" w14:textId="77777777" w:rsidR="00E16D47" w:rsidRDefault="00CD421C">
      <w:pPr>
        <w:pStyle w:val="Titre1"/>
      </w:pPr>
      <w:r>
        <w:t>2.2. Les secteurs qui ont créé des emplois</w:t>
      </w:r>
    </w:p>
    <w:p w14:paraId="76728F88" w14:textId="77777777" w:rsidR="00E16D47" w:rsidRDefault="00CD421C">
      <w:r>
        <w:t>La création d’emplois est principalement portée par le</w:t>
      </w:r>
      <w:r>
        <w:t>s services, le BTP et l’industrie. À l’inverse, l’agriculture, la forêt et la pêche ont enregistré une perte nette d’emplois.</w:t>
      </w:r>
    </w:p>
    <w:tbl>
      <w:tblPr>
        <w:tblStyle w:val="Grilledutableau"/>
        <w:tblW w:w="0" w:type="auto"/>
        <w:jc w:val="center"/>
        <w:tblLook w:val="04A0" w:firstRow="1" w:lastRow="0" w:firstColumn="1" w:lastColumn="0" w:noHBand="0" w:noVBand="1"/>
      </w:tblPr>
      <w:tblGrid>
        <w:gridCol w:w="5095"/>
        <w:gridCol w:w="5095"/>
      </w:tblGrid>
      <w:tr w:rsidR="00E16D47" w14:paraId="62047DE3" w14:textId="77777777">
        <w:trPr>
          <w:jc w:val="center"/>
        </w:trPr>
        <w:tc>
          <w:tcPr>
            <w:tcW w:w="5100" w:type="dxa"/>
            <w:shd w:val="clear" w:color="auto" w:fill="D9EAF7"/>
            <w:vAlign w:val="center"/>
          </w:tcPr>
          <w:p w14:paraId="23F95DC0" w14:textId="77777777" w:rsidR="00E16D47" w:rsidRDefault="00CD421C">
            <w:r>
              <w:rPr>
                <w:b/>
                <w:sz w:val="18"/>
              </w:rPr>
              <w:t>Secteur</w:t>
            </w:r>
          </w:p>
        </w:tc>
        <w:tc>
          <w:tcPr>
            <w:tcW w:w="5100" w:type="dxa"/>
            <w:shd w:val="clear" w:color="auto" w:fill="D9EAF7"/>
            <w:vAlign w:val="center"/>
          </w:tcPr>
          <w:p w14:paraId="308E66A4" w14:textId="77777777" w:rsidR="00E16D47" w:rsidRDefault="00CD421C">
            <w:r>
              <w:rPr>
                <w:b/>
                <w:sz w:val="18"/>
              </w:rPr>
              <w:t>Variation nette</w:t>
            </w:r>
          </w:p>
        </w:tc>
      </w:tr>
      <w:tr w:rsidR="00E16D47" w14:paraId="6AB69361" w14:textId="77777777">
        <w:trPr>
          <w:jc w:val="center"/>
        </w:trPr>
        <w:tc>
          <w:tcPr>
            <w:tcW w:w="5100" w:type="dxa"/>
          </w:tcPr>
          <w:p w14:paraId="615E6546" w14:textId="77777777" w:rsidR="00E16D47" w:rsidRDefault="00CD421C">
            <w:pPr>
              <w:spacing w:after="0"/>
            </w:pPr>
            <w:r>
              <w:rPr>
                <w:sz w:val="17"/>
              </w:rPr>
              <w:t>Services</w:t>
            </w:r>
          </w:p>
        </w:tc>
        <w:tc>
          <w:tcPr>
            <w:tcW w:w="5100" w:type="dxa"/>
          </w:tcPr>
          <w:p w14:paraId="7D601946" w14:textId="77777777" w:rsidR="00E16D47" w:rsidRDefault="00CD421C">
            <w:pPr>
              <w:spacing w:after="0"/>
            </w:pPr>
            <w:r>
              <w:rPr>
                <w:sz w:val="17"/>
              </w:rPr>
              <w:t>+123 000</w:t>
            </w:r>
          </w:p>
        </w:tc>
      </w:tr>
      <w:tr w:rsidR="00E16D47" w14:paraId="111434B0" w14:textId="77777777">
        <w:trPr>
          <w:jc w:val="center"/>
        </w:trPr>
        <w:tc>
          <w:tcPr>
            <w:tcW w:w="5100" w:type="dxa"/>
          </w:tcPr>
          <w:p w14:paraId="7940E14D" w14:textId="77777777" w:rsidR="00E16D47" w:rsidRDefault="00CD421C">
            <w:pPr>
              <w:spacing w:after="0"/>
            </w:pPr>
            <w:r>
              <w:rPr>
                <w:sz w:val="17"/>
              </w:rPr>
              <w:t>BTP</w:t>
            </w:r>
          </w:p>
        </w:tc>
        <w:tc>
          <w:tcPr>
            <w:tcW w:w="5100" w:type="dxa"/>
          </w:tcPr>
          <w:p w14:paraId="49104AD9" w14:textId="77777777" w:rsidR="00E16D47" w:rsidRDefault="00CD421C">
            <w:pPr>
              <w:spacing w:after="0"/>
            </w:pPr>
            <w:r>
              <w:rPr>
                <w:sz w:val="17"/>
              </w:rPr>
              <w:t>+64 000</w:t>
            </w:r>
          </w:p>
        </w:tc>
      </w:tr>
      <w:tr w:rsidR="00E16D47" w14:paraId="4C2ABE84" w14:textId="77777777">
        <w:trPr>
          <w:jc w:val="center"/>
        </w:trPr>
        <w:tc>
          <w:tcPr>
            <w:tcW w:w="5100" w:type="dxa"/>
          </w:tcPr>
          <w:p w14:paraId="4F35ECD9" w14:textId="77777777" w:rsidR="00E16D47" w:rsidRDefault="00CD421C">
            <w:pPr>
              <w:spacing w:after="0"/>
            </w:pPr>
            <w:r>
              <w:rPr>
                <w:sz w:val="17"/>
              </w:rPr>
              <w:t>Industrie</w:t>
            </w:r>
          </w:p>
        </w:tc>
        <w:tc>
          <w:tcPr>
            <w:tcW w:w="5100" w:type="dxa"/>
          </w:tcPr>
          <w:p w14:paraId="62CC216A" w14:textId="77777777" w:rsidR="00E16D47" w:rsidRDefault="00CD421C">
            <w:pPr>
              <w:spacing w:after="0"/>
            </w:pPr>
            <w:r>
              <w:rPr>
                <w:sz w:val="17"/>
              </w:rPr>
              <w:t>+46 000</w:t>
            </w:r>
          </w:p>
        </w:tc>
      </w:tr>
      <w:tr w:rsidR="00E16D47" w14:paraId="07BD0055" w14:textId="77777777">
        <w:trPr>
          <w:jc w:val="center"/>
        </w:trPr>
        <w:tc>
          <w:tcPr>
            <w:tcW w:w="5100" w:type="dxa"/>
          </w:tcPr>
          <w:p w14:paraId="1EDBB415" w14:textId="77777777" w:rsidR="00E16D47" w:rsidRDefault="00CD421C">
            <w:pPr>
              <w:spacing w:after="0"/>
            </w:pPr>
            <w:r>
              <w:rPr>
                <w:sz w:val="17"/>
              </w:rPr>
              <w:t>Agriculture, forêt et pêche</w:t>
            </w:r>
          </w:p>
        </w:tc>
        <w:tc>
          <w:tcPr>
            <w:tcW w:w="5100" w:type="dxa"/>
          </w:tcPr>
          <w:p w14:paraId="6D985335" w14:textId="77777777" w:rsidR="00E16D47" w:rsidRDefault="00CD421C">
            <w:pPr>
              <w:spacing w:after="0"/>
            </w:pPr>
            <w:r>
              <w:rPr>
                <w:sz w:val="17"/>
              </w:rPr>
              <w:t>-41 000</w:t>
            </w:r>
          </w:p>
        </w:tc>
      </w:tr>
      <w:tr w:rsidR="00E16D47" w14:paraId="24B2A67D" w14:textId="77777777">
        <w:trPr>
          <w:jc w:val="center"/>
        </w:trPr>
        <w:tc>
          <w:tcPr>
            <w:tcW w:w="5100" w:type="dxa"/>
          </w:tcPr>
          <w:p w14:paraId="78C27BE4" w14:textId="77777777" w:rsidR="00E16D47" w:rsidRDefault="00CD421C">
            <w:pPr>
              <w:spacing w:after="0"/>
            </w:pPr>
            <w:r>
              <w:rPr>
                <w:sz w:val="17"/>
              </w:rPr>
              <w:t>Total</w:t>
            </w:r>
          </w:p>
        </w:tc>
        <w:tc>
          <w:tcPr>
            <w:tcW w:w="5100" w:type="dxa"/>
          </w:tcPr>
          <w:p w14:paraId="5817D0D0" w14:textId="77777777" w:rsidR="00E16D47" w:rsidRDefault="00CD421C">
            <w:pPr>
              <w:spacing w:after="0"/>
            </w:pPr>
            <w:r>
              <w:rPr>
                <w:sz w:val="17"/>
              </w:rPr>
              <w:t>+193 000</w:t>
            </w:r>
          </w:p>
        </w:tc>
      </w:tr>
    </w:tbl>
    <w:p w14:paraId="74A9C49A" w14:textId="77777777" w:rsidR="00E16D47" w:rsidRDefault="00E16D47">
      <w:pPr>
        <w:spacing w:after="0" w:line="80" w:lineRule="exact"/>
      </w:pPr>
    </w:p>
    <w:p w14:paraId="2FE834D1" w14:textId="77777777" w:rsidR="00E16D47" w:rsidRDefault="00CD421C">
      <w:r>
        <w:t>Le secteur des services a créé 123 000 postes. À l’intérieur de ce secteur, les activités financières, d’assurance, immobilières, scientifiques, techniques et de services administratifs et de soutien ont contribué à hauteur de 53 000 postes, tandis que le</w:t>
      </w:r>
      <w:r>
        <w:t>s services sociaux fournis aux collectivités ont créé 46 000 postes.</w:t>
      </w:r>
    </w:p>
    <w:p w14:paraId="7A3F0CEA" w14:textId="77777777" w:rsidR="00E16D47" w:rsidRDefault="00CD421C">
      <w:r>
        <w:t>Le BTP a créé 64 000 emplois et l’industrie 46 000. En revanche, l’agriculture, la forêt et la pêche ont perdu 41 000 postes. La baisse du chômage en 2025 est donc liée à une dynamique de</w:t>
      </w:r>
      <w:r>
        <w:t xml:space="preserve"> création d’emplois principalement non agricoles.</w:t>
      </w:r>
    </w:p>
    <w:p w14:paraId="5FDF68CA" w14:textId="77777777" w:rsidR="00E16D47" w:rsidRDefault="00CD421C">
      <w:pPr>
        <w:pStyle w:val="Titre1"/>
      </w:pPr>
      <w:r>
        <w:t>2.3. Une dynamique surtout urbaine</w:t>
      </w:r>
    </w:p>
    <w:p w14:paraId="18C3E9EC" w14:textId="77777777" w:rsidR="00E16D47" w:rsidRDefault="00CD421C">
      <w:r>
        <w:t>La contribution du milieu urbain est particulièrement forte : 203 000 postes y ont été créés, contre une perte nette de 10 000 postes en milieu rural. Cette situation cont</w:t>
      </w:r>
      <w:r>
        <w:t>ribue à expliquer pourquoi le taux de chômage urbain a reculé de 0,5 point, contre 0,2 point en milieu rural.</w:t>
      </w:r>
    </w:p>
    <w:p w14:paraId="2EF1C2B9" w14:textId="77777777" w:rsidR="00E16D47" w:rsidRDefault="00CD421C">
      <w:pPr>
        <w:keepNext/>
        <w:spacing w:before="40" w:after="0"/>
        <w:jc w:val="center"/>
      </w:pPr>
      <w:r>
        <w:rPr>
          <w:noProof/>
        </w:rPr>
        <w:drawing>
          <wp:inline distT="0" distB="0" distL="0" distR="0" wp14:anchorId="7BDAF1C5" wp14:editId="1979FB05">
            <wp:extent cx="6217920" cy="170576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3.png"/>
                    <pic:cNvPicPr/>
                  </pic:nvPicPr>
                  <pic:blipFill>
                    <a:blip r:embed="rId9"/>
                    <a:stretch>
                      <a:fillRect/>
                    </a:stretch>
                  </pic:blipFill>
                  <pic:spPr>
                    <a:xfrm>
                      <a:off x="0" y="0"/>
                      <a:ext cx="6217920" cy="1705765"/>
                    </a:xfrm>
                    <a:prstGeom prst="rect">
                      <a:avLst/>
                    </a:prstGeom>
                  </pic:spPr>
                </pic:pic>
              </a:graphicData>
            </a:graphic>
          </wp:inline>
        </w:drawing>
      </w:r>
    </w:p>
    <w:p w14:paraId="0BC811B2" w14:textId="77777777" w:rsidR="00E16D47" w:rsidRDefault="00CD421C">
      <w:pPr>
        <w:spacing w:after="60"/>
        <w:jc w:val="center"/>
      </w:pPr>
      <w:r>
        <w:rPr>
          <w:i/>
          <w:color w:val="595959"/>
          <w:sz w:val="15"/>
        </w:rPr>
        <w:t>Figure 2 : création d'emplois par secteur, milieu et type d'emploi — Source : HCP, résultats annuels 2025.</w:t>
      </w:r>
    </w:p>
    <w:p w14:paraId="155B8F04" w14:textId="77777777" w:rsidR="00E16D47" w:rsidRDefault="00CD421C">
      <w:pPr>
        <w:pageBreakBefore/>
        <w:jc w:val="center"/>
      </w:pPr>
      <w:r>
        <w:rPr>
          <w:b/>
          <w:sz w:val="30"/>
        </w:rPr>
        <w:lastRenderedPageBreak/>
        <w:t>3. UNE BAISSE INÉGALE SELON LES CATÉG</w:t>
      </w:r>
      <w:r>
        <w:rPr>
          <w:b/>
          <w:sz w:val="30"/>
        </w:rPr>
        <w:t>ORIES</w:t>
      </w:r>
    </w:p>
    <w:p w14:paraId="748A4C84" w14:textId="77777777" w:rsidR="00E16D47" w:rsidRDefault="00CD421C">
      <w:pPr>
        <w:pStyle w:val="Titre1"/>
      </w:pPr>
      <w:r>
        <w:t>3.1. Sexe et âge</w:t>
      </w:r>
    </w:p>
    <w:p w14:paraId="78A64967" w14:textId="77777777" w:rsidR="00E16D47" w:rsidRDefault="00CD421C">
      <w:r>
        <w:t xml:space="preserve">La baisse nationale ne concerne pas toutes les catégories de la population. Entre 2024 et 2025, le taux de chômage des hommes a diminué de 11,6 % à 10,8 %, alors que celui des femmes a augmenté de 19,4 % à 20,5 %. Le chômage des </w:t>
      </w:r>
      <w:r>
        <w:t>jeunes de 15 à 24 ans a également augmenté, passant de 36,7 % à 37,2 %.</w:t>
      </w:r>
    </w:p>
    <w:tbl>
      <w:tblPr>
        <w:tblStyle w:val="Grilledutableau"/>
        <w:tblW w:w="0" w:type="auto"/>
        <w:jc w:val="center"/>
        <w:tblLook w:val="04A0" w:firstRow="1" w:lastRow="0" w:firstColumn="1" w:lastColumn="0" w:noHBand="0" w:noVBand="1"/>
      </w:tblPr>
      <w:tblGrid>
        <w:gridCol w:w="2548"/>
        <w:gridCol w:w="2547"/>
        <w:gridCol w:w="2547"/>
        <w:gridCol w:w="2548"/>
      </w:tblGrid>
      <w:tr w:rsidR="00E16D47" w14:paraId="1616BF61" w14:textId="77777777">
        <w:trPr>
          <w:jc w:val="center"/>
        </w:trPr>
        <w:tc>
          <w:tcPr>
            <w:tcW w:w="2550" w:type="dxa"/>
            <w:shd w:val="clear" w:color="auto" w:fill="D9EAF7"/>
            <w:vAlign w:val="center"/>
          </w:tcPr>
          <w:p w14:paraId="1E5AF286" w14:textId="77777777" w:rsidR="00E16D47" w:rsidRDefault="00CD421C">
            <w:r>
              <w:rPr>
                <w:b/>
                <w:sz w:val="18"/>
              </w:rPr>
              <w:t>Catégorie</w:t>
            </w:r>
          </w:p>
        </w:tc>
        <w:tc>
          <w:tcPr>
            <w:tcW w:w="2550" w:type="dxa"/>
            <w:shd w:val="clear" w:color="auto" w:fill="D9EAF7"/>
            <w:vAlign w:val="center"/>
          </w:tcPr>
          <w:p w14:paraId="2216CD22" w14:textId="77777777" w:rsidR="00E16D47" w:rsidRDefault="00CD421C">
            <w:r>
              <w:rPr>
                <w:b/>
                <w:sz w:val="18"/>
              </w:rPr>
              <w:t>2024</w:t>
            </w:r>
          </w:p>
        </w:tc>
        <w:tc>
          <w:tcPr>
            <w:tcW w:w="2550" w:type="dxa"/>
            <w:shd w:val="clear" w:color="auto" w:fill="D9EAF7"/>
            <w:vAlign w:val="center"/>
          </w:tcPr>
          <w:p w14:paraId="5FC84BA5" w14:textId="77777777" w:rsidR="00E16D47" w:rsidRDefault="00CD421C">
            <w:r>
              <w:rPr>
                <w:b/>
                <w:sz w:val="18"/>
              </w:rPr>
              <w:t>2025</w:t>
            </w:r>
          </w:p>
        </w:tc>
        <w:tc>
          <w:tcPr>
            <w:tcW w:w="2550" w:type="dxa"/>
            <w:shd w:val="clear" w:color="auto" w:fill="D9EAF7"/>
            <w:vAlign w:val="center"/>
          </w:tcPr>
          <w:p w14:paraId="220ADEEC" w14:textId="77777777" w:rsidR="00E16D47" w:rsidRDefault="00CD421C">
            <w:r>
              <w:rPr>
                <w:b/>
                <w:sz w:val="18"/>
              </w:rPr>
              <w:t>Évolution</w:t>
            </w:r>
          </w:p>
        </w:tc>
      </w:tr>
      <w:tr w:rsidR="00E16D47" w14:paraId="12A02F2D" w14:textId="77777777">
        <w:trPr>
          <w:jc w:val="center"/>
        </w:trPr>
        <w:tc>
          <w:tcPr>
            <w:tcW w:w="2550" w:type="dxa"/>
          </w:tcPr>
          <w:p w14:paraId="01B8B632" w14:textId="77777777" w:rsidR="00E16D47" w:rsidRDefault="00CD421C">
            <w:pPr>
              <w:spacing w:after="0"/>
            </w:pPr>
            <w:r>
              <w:rPr>
                <w:sz w:val="17"/>
              </w:rPr>
              <w:t>Hommes</w:t>
            </w:r>
          </w:p>
        </w:tc>
        <w:tc>
          <w:tcPr>
            <w:tcW w:w="2550" w:type="dxa"/>
          </w:tcPr>
          <w:p w14:paraId="26325A5B" w14:textId="77777777" w:rsidR="00E16D47" w:rsidRDefault="00CD421C">
            <w:pPr>
              <w:spacing w:after="0"/>
            </w:pPr>
            <w:r>
              <w:rPr>
                <w:sz w:val="17"/>
              </w:rPr>
              <w:t>11,6 %</w:t>
            </w:r>
          </w:p>
        </w:tc>
        <w:tc>
          <w:tcPr>
            <w:tcW w:w="2550" w:type="dxa"/>
          </w:tcPr>
          <w:p w14:paraId="74C125C1" w14:textId="77777777" w:rsidR="00E16D47" w:rsidRDefault="00CD421C">
            <w:pPr>
              <w:spacing w:after="0"/>
            </w:pPr>
            <w:r>
              <w:rPr>
                <w:sz w:val="17"/>
              </w:rPr>
              <w:t>10,8 %</w:t>
            </w:r>
          </w:p>
        </w:tc>
        <w:tc>
          <w:tcPr>
            <w:tcW w:w="2550" w:type="dxa"/>
          </w:tcPr>
          <w:p w14:paraId="30D26602" w14:textId="77777777" w:rsidR="00E16D47" w:rsidRDefault="00CD421C">
            <w:pPr>
              <w:spacing w:after="0"/>
            </w:pPr>
            <w:r>
              <w:rPr>
                <w:sz w:val="17"/>
              </w:rPr>
              <w:t>-0,8 pt</w:t>
            </w:r>
          </w:p>
        </w:tc>
      </w:tr>
      <w:tr w:rsidR="00E16D47" w14:paraId="711249FA" w14:textId="77777777">
        <w:trPr>
          <w:jc w:val="center"/>
        </w:trPr>
        <w:tc>
          <w:tcPr>
            <w:tcW w:w="2550" w:type="dxa"/>
          </w:tcPr>
          <w:p w14:paraId="263E79A9" w14:textId="77777777" w:rsidR="00E16D47" w:rsidRDefault="00CD421C">
            <w:pPr>
              <w:spacing w:after="0"/>
            </w:pPr>
            <w:r>
              <w:rPr>
                <w:sz w:val="17"/>
              </w:rPr>
              <w:t>Femmes</w:t>
            </w:r>
          </w:p>
        </w:tc>
        <w:tc>
          <w:tcPr>
            <w:tcW w:w="2550" w:type="dxa"/>
          </w:tcPr>
          <w:p w14:paraId="45CE1798" w14:textId="77777777" w:rsidR="00E16D47" w:rsidRDefault="00CD421C">
            <w:pPr>
              <w:spacing w:after="0"/>
            </w:pPr>
            <w:r>
              <w:rPr>
                <w:sz w:val="17"/>
              </w:rPr>
              <w:t>19,4 %</w:t>
            </w:r>
          </w:p>
        </w:tc>
        <w:tc>
          <w:tcPr>
            <w:tcW w:w="2550" w:type="dxa"/>
          </w:tcPr>
          <w:p w14:paraId="0E6BFBD6" w14:textId="77777777" w:rsidR="00E16D47" w:rsidRDefault="00CD421C">
            <w:pPr>
              <w:spacing w:after="0"/>
            </w:pPr>
            <w:r>
              <w:rPr>
                <w:sz w:val="17"/>
              </w:rPr>
              <w:t>20,5 %</w:t>
            </w:r>
          </w:p>
        </w:tc>
        <w:tc>
          <w:tcPr>
            <w:tcW w:w="2550" w:type="dxa"/>
          </w:tcPr>
          <w:p w14:paraId="5FA8FD82" w14:textId="77777777" w:rsidR="00E16D47" w:rsidRDefault="00CD421C">
            <w:pPr>
              <w:spacing w:after="0"/>
            </w:pPr>
            <w:r>
              <w:rPr>
                <w:sz w:val="17"/>
              </w:rPr>
              <w:t>+1,1 pt</w:t>
            </w:r>
          </w:p>
        </w:tc>
      </w:tr>
      <w:tr w:rsidR="00E16D47" w14:paraId="6C31C511" w14:textId="77777777">
        <w:trPr>
          <w:jc w:val="center"/>
        </w:trPr>
        <w:tc>
          <w:tcPr>
            <w:tcW w:w="2550" w:type="dxa"/>
          </w:tcPr>
          <w:p w14:paraId="65ACEF48" w14:textId="77777777" w:rsidR="00E16D47" w:rsidRDefault="00CD421C">
            <w:pPr>
              <w:spacing w:after="0"/>
            </w:pPr>
            <w:r>
              <w:rPr>
                <w:sz w:val="17"/>
              </w:rPr>
              <w:t>15-24 ans</w:t>
            </w:r>
          </w:p>
        </w:tc>
        <w:tc>
          <w:tcPr>
            <w:tcW w:w="2550" w:type="dxa"/>
          </w:tcPr>
          <w:p w14:paraId="366499EA" w14:textId="77777777" w:rsidR="00E16D47" w:rsidRDefault="00CD421C">
            <w:pPr>
              <w:spacing w:after="0"/>
            </w:pPr>
            <w:r>
              <w:rPr>
                <w:sz w:val="17"/>
              </w:rPr>
              <w:t>36,7 %</w:t>
            </w:r>
          </w:p>
        </w:tc>
        <w:tc>
          <w:tcPr>
            <w:tcW w:w="2550" w:type="dxa"/>
          </w:tcPr>
          <w:p w14:paraId="4C716A0B" w14:textId="77777777" w:rsidR="00E16D47" w:rsidRDefault="00CD421C">
            <w:pPr>
              <w:spacing w:after="0"/>
            </w:pPr>
            <w:r>
              <w:rPr>
                <w:sz w:val="17"/>
              </w:rPr>
              <w:t>37,2 %</w:t>
            </w:r>
          </w:p>
        </w:tc>
        <w:tc>
          <w:tcPr>
            <w:tcW w:w="2550" w:type="dxa"/>
          </w:tcPr>
          <w:p w14:paraId="35FDFF23" w14:textId="77777777" w:rsidR="00E16D47" w:rsidRDefault="00CD421C">
            <w:pPr>
              <w:spacing w:after="0"/>
            </w:pPr>
            <w:r>
              <w:rPr>
                <w:sz w:val="17"/>
              </w:rPr>
              <w:t>+0,5 pt</w:t>
            </w:r>
          </w:p>
        </w:tc>
      </w:tr>
      <w:tr w:rsidR="00E16D47" w14:paraId="03AE60CA" w14:textId="77777777">
        <w:trPr>
          <w:jc w:val="center"/>
        </w:trPr>
        <w:tc>
          <w:tcPr>
            <w:tcW w:w="2550" w:type="dxa"/>
          </w:tcPr>
          <w:p w14:paraId="4C6217D5" w14:textId="77777777" w:rsidR="00E16D47" w:rsidRDefault="00CD421C">
            <w:pPr>
              <w:spacing w:after="0"/>
            </w:pPr>
            <w:r>
              <w:rPr>
                <w:sz w:val="17"/>
              </w:rPr>
              <w:t>25-34 ans</w:t>
            </w:r>
          </w:p>
        </w:tc>
        <w:tc>
          <w:tcPr>
            <w:tcW w:w="2550" w:type="dxa"/>
          </w:tcPr>
          <w:p w14:paraId="6A392D8E" w14:textId="77777777" w:rsidR="00E16D47" w:rsidRDefault="00CD421C">
            <w:pPr>
              <w:spacing w:after="0"/>
            </w:pPr>
            <w:r>
              <w:rPr>
                <w:sz w:val="17"/>
              </w:rPr>
              <w:t>21,0 %</w:t>
            </w:r>
          </w:p>
        </w:tc>
        <w:tc>
          <w:tcPr>
            <w:tcW w:w="2550" w:type="dxa"/>
          </w:tcPr>
          <w:p w14:paraId="2E957EFF" w14:textId="77777777" w:rsidR="00E16D47" w:rsidRDefault="00CD421C">
            <w:pPr>
              <w:spacing w:after="0"/>
            </w:pPr>
            <w:r>
              <w:rPr>
                <w:sz w:val="17"/>
              </w:rPr>
              <w:t>20,9 %</w:t>
            </w:r>
          </w:p>
        </w:tc>
        <w:tc>
          <w:tcPr>
            <w:tcW w:w="2550" w:type="dxa"/>
          </w:tcPr>
          <w:p w14:paraId="3835D162" w14:textId="77777777" w:rsidR="00E16D47" w:rsidRDefault="00CD421C">
            <w:pPr>
              <w:spacing w:after="0"/>
            </w:pPr>
            <w:r>
              <w:rPr>
                <w:sz w:val="17"/>
              </w:rPr>
              <w:t>-0,1 pt</w:t>
            </w:r>
          </w:p>
        </w:tc>
      </w:tr>
      <w:tr w:rsidR="00E16D47" w14:paraId="5B370FA8" w14:textId="77777777">
        <w:trPr>
          <w:jc w:val="center"/>
        </w:trPr>
        <w:tc>
          <w:tcPr>
            <w:tcW w:w="2550" w:type="dxa"/>
          </w:tcPr>
          <w:p w14:paraId="53C3E419" w14:textId="77777777" w:rsidR="00E16D47" w:rsidRDefault="00CD421C">
            <w:pPr>
              <w:spacing w:after="0"/>
            </w:pPr>
            <w:r>
              <w:rPr>
                <w:sz w:val="17"/>
              </w:rPr>
              <w:t>35-44 ans</w:t>
            </w:r>
          </w:p>
        </w:tc>
        <w:tc>
          <w:tcPr>
            <w:tcW w:w="2550" w:type="dxa"/>
          </w:tcPr>
          <w:p w14:paraId="1D126E33" w14:textId="77777777" w:rsidR="00E16D47" w:rsidRDefault="00CD421C">
            <w:pPr>
              <w:spacing w:after="0"/>
            </w:pPr>
            <w:r>
              <w:rPr>
                <w:sz w:val="17"/>
              </w:rPr>
              <w:t>7,6 %</w:t>
            </w:r>
          </w:p>
        </w:tc>
        <w:tc>
          <w:tcPr>
            <w:tcW w:w="2550" w:type="dxa"/>
          </w:tcPr>
          <w:p w14:paraId="671A4935" w14:textId="77777777" w:rsidR="00E16D47" w:rsidRDefault="00CD421C">
            <w:pPr>
              <w:spacing w:after="0"/>
            </w:pPr>
            <w:r>
              <w:rPr>
                <w:sz w:val="17"/>
              </w:rPr>
              <w:t>7,2 %</w:t>
            </w:r>
          </w:p>
        </w:tc>
        <w:tc>
          <w:tcPr>
            <w:tcW w:w="2550" w:type="dxa"/>
          </w:tcPr>
          <w:p w14:paraId="7677564F" w14:textId="77777777" w:rsidR="00E16D47" w:rsidRDefault="00CD421C">
            <w:pPr>
              <w:spacing w:after="0"/>
            </w:pPr>
            <w:r>
              <w:rPr>
                <w:sz w:val="17"/>
              </w:rPr>
              <w:t>-0,4 pt</w:t>
            </w:r>
          </w:p>
        </w:tc>
      </w:tr>
      <w:tr w:rsidR="00E16D47" w14:paraId="59607EC7" w14:textId="77777777">
        <w:trPr>
          <w:jc w:val="center"/>
        </w:trPr>
        <w:tc>
          <w:tcPr>
            <w:tcW w:w="2550" w:type="dxa"/>
          </w:tcPr>
          <w:p w14:paraId="6A607CB7" w14:textId="77777777" w:rsidR="00E16D47" w:rsidRDefault="00CD421C">
            <w:pPr>
              <w:spacing w:after="0"/>
            </w:pPr>
            <w:r>
              <w:rPr>
                <w:sz w:val="17"/>
              </w:rPr>
              <w:t>45 ans et +</w:t>
            </w:r>
          </w:p>
        </w:tc>
        <w:tc>
          <w:tcPr>
            <w:tcW w:w="2550" w:type="dxa"/>
          </w:tcPr>
          <w:p w14:paraId="129D6CC6" w14:textId="77777777" w:rsidR="00E16D47" w:rsidRDefault="00CD421C">
            <w:pPr>
              <w:spacing w:after="0"/>
            </w:pPr>
            <w:r>
              <w:rPr>
                <w:sz w:val="17"/>
              </w:rPr>
              <w:t>4,0 %</w:t>
            </w:r>
          </w:p>
        </w:tc>
        <w:tc>
          <w:tcPr>
            <w:tcW w:w="2550" w:type="dxa"/>
          </w:tcPr>
          <w:p w14:paraId="3C6297CF" w14:textId="77777777" w:rsidR="00E16D47" w:rsidRDefault="00CD421C">
            <w:pPr>
              <w:spacing w:after="0"/>
            </w:pPr>
            <w:r>
              <w:rPr>
                <w:sz w:val="17"/>
              </w:rPr>
              <w:t>3,6 %</w:t>
            </w:r>
          </w:p>
        </w:tc>
        <w:tc>
          <w:tcPr>
            <w:tcW w:w="2550" w:type="dxa"/>
          </w:tcPr>
          <w:p w14:paraId="2D66BCAA" w14:textId="77777777" w:rsidR="00E16D47" w:rsidRDefault="00CD421C">
            <w:pPr>
              <w:spacing w:after="0"/>
            </w:pPr>
            <w:r>
              <w:rPr>
                <w:sz w:val="17"/>
              </w:rPr>
              <w:t>-0,4 pt</w:t>
            </w:r>
          </w:p>
        </w:tc>
      </w:tr>
    </w:tbl>
    <w:p w14:paraId="65EC7AE6" w14:textId="77777777" w:rsidR="00E16D47" w:rsidRDefault="00E16D47">
      <w:pPr>
        <w:spacing w:after="0" w:line="80" w:lineRule="exact"/>
      </w:pPr>
    </w:p>
    <w:p w14:paraId="3C33A4E5" w14:textId="77777777" w:rsidR="00E16D47" w:rsidRDefault="00CD421C">
      <w:r>
        <w:t>Ces résultats montrent que la diminution du taux national masque des évolutions divergentes. En particulier, les jeunes de 15 à 24 ans restent confrontés à un niveau de chômage très élevé.</w:t>
      </w:r>
    </w:p>
    <w:p w14:paraId="2449A8C7" w14:textId="77777777" w:rsidR="00E16D47" w:rsidRDefault="00CD421C">
      <w:pPr>
        <w:pStyle w:val="Titre1"/>
      </w:pPr>
      <w:r>
        <w:t xml:space="preserve">3.2. Niveau de </w:t>
      </w:r>
      <w:r>
        <w:t>diplôme</w:t>
      </w:r>
    </w:p>
    <w:p w14:paraId="38DCADFD" w14:textId="77777777" w:rsidR="00E16D47" w:rsidRDefault="00CD421C">
      <w:r>
        <w:t>Le chômage reste également plus élevé parmi les personnes diplômées. En 2025, le taux de chômage des personnes ayant un diplôme est de 19,1 %, contre 4,7 % pour celles n’ayant aucun diplôme. Parmi les diplômés, les taux restent élevés pour plusieur</w:t>
      </w:r>
      <w:r>
        <w:t>s catégories de diplômes techniques et professionnels.</w:t>
      </w:r>
    </w:p>
    <w:tbl>
      <w:tblPr>
        <w:tblStyle w:val="Grilledutableau"/>
        <w:tblW w:w="0" w:type="auto"/>
        <w:jc w:val="center"/>
        <w:tblLook w:val="04A0" w:firstRow="1" w:lastRow="0" w:firstColumn="1" w:lastColumn="0" w:noHBand="0" w:noVBand="1"/>
      </w:tblPr>
      <w:tblGrid>
        <w:gridCol w:w="5095"/>
        <w:gridCol w:w="5095"/>
      </w:tblGrid>
      <w:tr w:rsidR="00E16D47" w14:paraId="60CB9FA3" w14:textId="77777777">
        <w:trPr>
          <w:jc w:val="center"/>
        </w:trPr>
        <w:tc>
          <w:tcPr>
            <w:tcW w:w="5100" w:type="dxa"/>
            <w:shd w:val="clear" w:color="auto" w:fill="D9EAF7"/>
            <w:vAlign w:val="center"/>
          </w:tcPr>
          <w:p w14:paraId="050B98A2" w14:textId="77777777" w:rsidR="00E16D47" w:rsidRDefault="00CD421C">
            <w:r>
              <w:rPr>
                <w:b/>
                <w:sz w:val="18"/>
              </w:rPr>
              <w:t>Catégorie</w:t>
            </w:r>
          </w:p>
        </w:tc>
        <w:tc>
          <w:tcPr>
            <w:tcW w:w="5100" w:type="dxa"/>
            <w:shd w:val="clear" w:color="auto" w:fill="D9EAF7"/>
            <w:vAlign w:val="center"/>
          </w:tcPr>
          <w:p w14:paraId="28EB2A89" w14:textId="77777777" w:rsidR="00E16D47" w:rsidRDefault="00CD421C">
            <w:r>
              <w:rPr>
                <w:b/>
                <w:sz w:val="18"/>
              </w:rPr>
              <w:t>Taux de chômage 2025</w:t>
            </w:r>
          </w:p>
        </w:tc>
      </w:tr>
      <w:tr w:rsidR="00E16D47" w14:paraId="4CC0B2E6" w14:textId="77777777">
        <w:trPr>
          <w:jc w:val="center"/>
        </w:trPr>
        <w:tc>
          <w:tcPr>
            <w:tcW w:w="5100" w:type="dxa"/>
          </w:tcPr>
          <w:p w14:paraId="7EB81032" w14:textId="77777777" w:rsidR="00E16D47" w:rsidRDefault="00CD421C">
            <w:pPr>
              <w:spacing w:after="0"/>
            </w:pPr>
            <w:r>
              <w:rPr>
                <w:sz w:val="17"/>
              </w:rPr>
              <w:t>Aucun diplôme</w:t>
            </w:r>
          </w:p>
        </w:tc>
        <w:tc>
          <w:tcPr>
            <w:tcW w:w="5100" w:type="dxa"/>
          </w:tcPr>
          <w:p w14:paraId="76524226" w14:textId="77777777" w:rsidR="00E16D47" w:rsidRDefault="00CD421C">
            <w:pPr>
              <w:spacing w:after="0"/>
            </w:pPr>
            <w:r>
              <w:rPr>
                <w:sz w:val="17"/>
              </w:rPr>
              <w:t>4,7 %</w:t>
            </w:r>
          </w:p>
        </w:tc>
      </w:tr>
      <w:tr w:rsidR="00E16D47" w14:paraId="57AB642F" w14:textId="77777777">
        <w:trPr>
          <w:jc w:val="center"/>
        </w:trPr>
        <w:tc>
          <w:tcPr>
            <w:tcW w:w="5100" w:type="dxa"/>
          </w:tcPr>
          <w:p w14:paraId="179C0E94" w14:textId="77777777" w:rsidR="00E16D47" w:rsidRDefault="00CD421C">
            <w:pPr>
              <w:spacing w:after="0"/>
            </w:pPr>
            <w:r>
              <w:rPr>
                <w:sz w:val="17"/>
              </w:rPr>
              <w:t>Ayant un diplôme</w:t>
            </w:r>
          </w:p>
        </w:tc>
        <w:tc>
          <w:tcPr>
            <w:tcW w:w="5100" w:type="dxa"/>
          </w:tcPr>
          <w:p w14:paraId="58E80241" w14:textId="77777777" w:rsidR="00E16D47" w:rsidRDefault="00CD421C">
            <w:pPr>
              <w:spacing w:after="0"/>
            </w:pPr>
            <w:r>
              <w:rPr>
                <w:sz w:val="17"/>
              </w:rPr>
              <w:t>19,1 %</w:t>
            </w:r>
          </w:p>
        </w:tc>
      </w:tr>
      <w:tr w:rsidR="00E16D47" w14:paraId="2F4AC58F" w14:textId="77777777">
        <w:trPr>
          <w:jc w:val="center"/>
        </w:trPr>
        <w:tc>
          <w:tcPr>
            <w:tcW w:w="5100" w:type="dxa"/>
          </w:tcPr>
          <w:p w14:paraId="652F407B" w14:textId="77777777" w:rsidR="00E16D47" w:rsidRDefault="00CD421C">
            <w:pPr>
              <w:spacing w:after="0"/>
            </w:pPr>
            <w:r>
              <w:rPr>
                <w:sz w:val="17"/>
              </w:rPr>
              <w:t>Techniciens et cadres moyens</w:t>
            </w:r>
          </w:p>
        </w:tc>
        <w:tc>
          <w:tcPr>
            <w:tcW w:w="5100" w:type="dxa"/>
          </w:tcPr>
          <w:p w14:paraId="60C98D9E" w14:textId="77777777" w:rsidR="00E16D47" w:rsidRDefault="00CD421C">
            <w:pPr>
              <w:spacing w:after="0"/>
            </w:pPr>
            <w:r>
              <w:rPr>
                <w:sz w:val="17"/>
              </w:rPr>
              <w:t>24,0 %</w:t>
            </w:r>
          </w:p>
        </w:tc>
      </w:tr>
      <w:tr w:rsidR="00E16D47" w14:paraId="6143E330" w14:textId="77777777">
        <w:trPr>
          <w:jc w:val="center"/>
        </w:trPr>
        <w:tc>
          <w:tcPr>
            <w:tcW w:w="5100" w:type="dxa"/>
          </w:tcPr>
          <w:p w14:paraId="6289CCA6" w14:textId="77777777" w:rsidR="00E16D47" w:rsidRDefault="00CD421C">
            <w:pPr>
              <w:spacing w:after="0"/>
            </w:pPr>
            <w:r>
              <w:rPr>
                <w:sz w:val="17"/>
              </w:rPr>
              <w:t>Qualification professionnelle</w:t>
            </w:r>
          </w:p>
        </w:tc>
        <w:tc>
          <w:tcPr>
            <w:tcW w:w="5100" w:type="dxa"/>
          </w:tcPr>
          <w:p w14:paraId="5B7CE401" w14:textId="77777777" w:rsidR="00E16D47" w:rsidRDefault="00CD421C">
            <w:pPr>
              <w:spacing w:after="0"/>
            </w:pPr>
            <w:r>
              <w:rPr>
                <w:sz w:val="17"/>
              </w:rPr>
              <w:t>22,0 %</w:t>
            </w:r>
          </w:p>
        </w:tc>
      </w:tr>
    </w:tbl>
    <w:p w14:paraId="046F86B4" w14:textId="77777777" w:rsidR="00E16D47" w:rsidRDefault="00E16D47">
      <w:pPr>
        <w:spacing w:after="0" w:line="80" w:lineRule="exact"/>
      </w:pPr>
    </w:p>
    <w:p w14:paraId="458F47D6" w14:textId="77777777" w:rsidR="00E16D47" w:rsidRDefault="00CD421C">
      <w:r>
        <w:t xml:space="preserve">Le HCP indique également que 36,6 % des </w:t>
      </w:r>
      <w:r>
        <w:t>chômeurs se sont retrouvés dans cette situation après l’arrêt ou l’achèvement de leurs études ou formations. Cela met en évidence la difficulté de la transition entre formation et insertion professionnelle.</w:t>
      </w:r>
    </w:p>
    <w:p w14:paraId="24C3A92C" w14:textId="77777777" w:rsidR="00E16D47" w:rsidRDefault="00CD421C">
      <w:pPr>
        <w:keepNext/>
        <w:spacing w:before="40" w:after="0"/>
        <w:jc w:val="center"/>
      </w:pPr>
      <w:r>
        <w:rPr>
          <w:noProof/>
        </w:rPr>
        <w:drawing>
          <wp:inline distT="0" distB="0" distL="0" distR="0" wp14:anchorId="779FAA62" wp14:editId="43585AF3">
            <wp:extent cx="6217920" cy="138402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4.png"/>
                    <pic:cNvPicPr/>
                  </pic:nvPicPr>
                  <pic:blipFill>
                    <a:blip r:embed="rId10"/>
                    <a:stretch>
                      <a:fillRect/>
                    </a:stretch>
                  </pic:blipFill>
                  <pic:spPr>
                    <a:xfrm>
                      <a:off x="0" y="0"/>
                      <a:ext cx="6217920" cy="1384028"/>
                    </a:xfrm>
                    <a:prstGeom prst="rect">
                      <a:avLst/>
                    </a:prstGeom>
                  </pic:spPr>
                </pic:pic>
              </a:graphicData>
            </a:graphic>
          </wp:inline>
        </w:drawing>
      </w:r>
    </w:p>
    <w:p w14:paraId="013DBAF4" w14:textId="77777777" w:rsidR="00E16D47" w:rsidRDefault="00CD421C">
      <w:pPr>
        <w:spacing w:after="60"/>
        <w:jc w:val="center"/>
      </w:pPr>
      <w:r>
        <w:rPr>
          <w:i/>
          <w:color w:val="595959"/>
          <w:sz w:val="15"/>
        </w:rPr>
        <w:t>Figure 3 : taux de chômage par sexe, âge et dip</w:t>
      </w:r>
      <w:r>
        <w:rPr>
          <w:i/>
          <w:color w:val="595959"/>
          <w:sz w:val="15"/>
        </w:rPr>
        <w:t>lôme — Source : HCP, résultats annuels 2025.</w:t>
      </w:r>
    </w:p>
    <w:p w14:paraId="3839DE6F" w14:textId="77777777" w:rsidR="00E16D47" w:rsidRDefault="00CD421C">
      <w:pPr>
        <w:pStyle w:val="Titre1"/>
      </w:pPr>
      <w:r>
        <w:t>3.3. Le chômage de longue durée</w:t>
      </w:r>
    </w:p>
    <w:p w14:paraId="1F172038" w14:textId="77777777" w:rsidR="00E16D47" w:rsidRDefault="00CD421C">
      <w:r>
        <w:t xml:space="preserve">La diminution du nombre total de chômeurs ne signifie pas que la durée du chômage diminue. La part des chômeurs n’ayant jamais travaillé est passée de 49,3 % à 52,9 %, tandis que </w:t>
      </w:r>
      <w:r>
        <w:t>la part des personnes au chômage depuis au moins un an est passée de 62,4 % à 64,8 %. La durée moyenne du chômage est passée de 31 à 33 mois.</w:t>
      </w:r>
    </w:p>
    <w:p w14:paraId="553BC5C1" w14:textId="77777777" w:rsidR="00E16D47" w:rsidRDefault="00CD421C">
      <w:pPr>
        <w:keepNext/>
        <w:spacing w:before="40" w:after="0"/>
        <w:jc w:val="center"/>
      </w:pPr>
      <w:r>
        <w:rPr>
          <w:noProof/>
        </w:rPr>
        <w:drawing>
          <wp:inline distT="0" distB="0" distL="0" distR="0" wp14:anchorId="2FA6051A" wp14:editId="0F1E94B5">
            <wp:extent cx="6217920" cy="8940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5.png"/>
                    <pic:cNvPicPr/>
                  </pic:nvPicPr>
                  <pic:blipFill>
                    <a:blip r:embed="rId11"/>
                    <a:stretch>
                      <a:fillRect/>
                    </a:stretch>
                  </pic:blipFill>
                  <pic:spPr>
                    <a:xfrm>
                      <a:off x="0" y="0"/>
                      <a:ext cx="6217920" cy="894080"/>
                    </a:xfrm>
                    <a:prstGeom prst="rect">
                      <a:avLst/>
                    </a:prstGeom>
                  </pic:spPr>
                </pic:pic>
              </a:graphicData>
            </a:graphic>
          </wp:inline>
        </w:drawing>
      </w:r>
    </w:p>
    <w:p w14:paraId="711E6CE7" w14:textId="77777777" w:rsidR="00E16D47" w:rsidRDefault="00CD421C">
      <w:pPr>
        <w:spacing w:after="60"/>
        <w:jc w:val="center"/>
      </w:pPr>
      <w:r>
        <w:rPr>
          <w:i/>
          <w:color w:val="595959"/>
          <w:sz w:val="15"/>
        </w:rPr>
        <w:t>Figure 4 : chômage de longue durée — Source : HCP, résultats annuels 2025.</w:t>
      </w:r>
    </w:p>
    <w:p w14:paraId="3744DA6C" w14:textId="77777777" w:rsidR="00E16D47" w:rsidRDefault="00CD421C">
      <w:pPr>
        <w:pageBreakBefore/>
        <w:jc w:val="center"/>
      </w:pPr>
      <w:r>
        <w:rPr>
          <w:b/>
          <w:sz w:val="30"/>
        </w:rPr>
        <w:lastRenderedPageBreak/>
        <w:t>4. LES LIMITES DE LA BAISSE ET CONCLU</w:t>
      </w:r>
      <w:r>
        <w:rPr>
          <w:b/>
          <w:sz w:val="30"/>
        </w:rPr>
        <w:t>SION</w:t>
      </w:r>
    </w:p>
    <w:p w14:paraId="677C287D" w14:textId="77777777" w:rsidR="00E16D47" w:rsidRDefault="00CD421C">
      <w:pPr>
        <w:pStyle w:val="Titre1"/>
      </w:pPr>
      <w:r>
        <w:t>4.1. La hausse du sous-emploi</w:t>
      </w:r>
    </w:p>
    <w:p w14:paraId="212A39A6" w14:textId="77777777" w:rsidR="00E16D47" w:rsidRDefault="00CD421C">
      <w:r>
        <w:t xml:space="preserve">L’évolution du sous-emploi constitue une limite importante à l’interprétation de la baisse du chômage. Entre 2024 et 2025, le nombre de personnes en situation de sous-emploi est passé de 1 082 000 à 1 190 000, tandis que </w:t>
      </w:r>
      <w:r>
        <w:t>le taux de sous-emploi a augmenté de 10,1 % à 10,9 %.</w:t>
      </w:r>
    </w:p>
    <w:tbl>
      <w:tblPr>
        <w:tblStyle w:val="Grilledutableau"/>
        <w:tblW w:w="0" w:type="auto"/>
        <w:jc w:val="center"/>
        <w:tblLook w:val="04A0" w:firstRow="1" w:lastRow="0" w:firstColumn="1" w:lastColumn="0" w:noHBand="0" w:noVBand="1"/>
      </w:tblPr>
      <w:tblGrid>
        <w:gridCol w:w="2548"/>
        <w:gridCol w:w="2547"/>
        <w:gridCol w:w="2547"/>
        <w:gridCol w:w="2548"/>
      </w:tblGrid>
      <w:tr w:rsidR="00E16D47" w14:paraId="4FB916CC" w14:textId="77777777">
        <w:trPr>
          <w:jc w:val="center"/>
        </w:trPr>
        <w:tc>
          <w:tcPr>
            <w:tcW w:w="2550" w:type="dxa"/>
            <w:shd w:val="clear" w:color="auto" w:fill="D9EAF7"/>
            <w:vAlign w:val="center"/>
          </w:tcPr>
          <w:p w14:paraId="6BF260E8" w14:textId="77777777" w:rsidR="00E16D47" w:rsidRDefault="00CD421C">
            <w:r>
              <w:rPr>
                <w:b/>
                <w:sz w:val="18"/>
              </w:rPr>
              <w:t>Indicateur</w:t>
            </w:r>
          </w:p>
        </w:tc>
        <w:tc>
          <w:tcPr>
            <w:tcW w:w="2550" w:type="dxa"/>
            <w:shd w:val="clear" w:color="auto" w:fill="D9EAF7"/>
            <w:vAlign w:val="center"/>
          </w:tcPr>
          <w:p w14:paraId="4C7C88AF" w14:textId="77777777" w:rsidR="00E16D47" w:rsidRDefault="00CD421C">
            <w:r>
              <w:rPr>
                <w:b/>
                <w:sz w:val="18"/>
              </w:rPr>
              <w:t>2024</w:t>
            </w:r>
          </w:p>
        </w:tc>
        <w:tc>
          <w:tcPr>
            <w:tcW w:w="2550" w:type="dxa"/>
            <w:shd w:val="clear" w:color="auto" w:fill="D9EAF7"/>
            <w:vAlign w:val="center"/>
          </w:tcPr>
          <w:p w14:paraId="60948AB2" w14:textId="77777777" w:rsidR="00E16D47" w:rsidRDefault="00CD421C">
            <w:r>
              <w:rPr>
                <w:b/>
                <w:sz w:val="18"/>
              </w:rPr>
              <w:t>2025</w:t>
            </w:r>
          </w:p>
        </w:tc>
        <w:tc>
          <w:tcPr>
            <w:tcW w:w="2550" w:type="dxa"/>
            <w:shd w:val="clear" w:color="auto" w:fill="D9EAF7"/>
            <w:vAlign w:val="center"/>
          </w:tcPr>
          <w:p w14:paraId="3D99C8CC" w14:textId="77777777" w:rsidR="00E16D47" w:rsidRDefault="00CD421C">
            <w:r>
              <w:rPr>
                <w:b/>
                <w:sz w:val="18"/>
              </w:rPr>
              <w:t>Évolution</w:t>
            </w:r>
          </w:p>
        </w:tc>
      </w:tr>
      <w:tr w:rsidR="00E16D47" w14:paraId="17B1CF6B" w14:textId="77777777">
        <w:trPr>
          <w:jc w:val="center"/>
        </w:trPr>
        <w:tc>
          <w:tcPr>
            <w:tcW w:w="2550" w:type="dxa"/>
          </w:tcPr>
          <w:p w14:paraId="0AAC5E0A" w14:textId="77777777" w:rsidR="00E16D47" w:rsidRDefault="00CD421C">
            <w:pPr>
              <w:spacing w:after="0"/>
            </w:pPr>
            <w:r>
              <w:rPr>
                <w:sz w:val="17"/>
              </w:rPr>
              <w:t>Sous-emploi (personnes)</w:t>
            </w:r>
          </w:p>
        </w:tc>
        <w:tc>
          <w:tcPr>
            <w:tcW w:w="2550" w:type="dxa"/>
          </w:tcPr>
          <w:p w14:paraId="11A05584" w14:textId="77777777" w:rsidR="00E16D47" w:rsidRDefault="00CD421C">
            <w:pPr>
              <w:spacing w:after="0"/>
            </w:pPr>
            <w:r>
              <w:rPr>
                <w:sz w:val="17"/>
              </w:rPr>
              <w:t>1 082 000</w:t>
            </w:r>
          </w:p>
        </w:tc>
        <w:tc>
          <w:tcPr>
            <w:tcW w:w="2550" w:type="dxa"/>
          </w:tcPr>
          <w:p w14:paraId="4EFD5F0D" w14:textId="77777777" w:rsidR="00E16D47" w:rsidRDefault="00CD421C">
            <w:pPr>
              <w:spacing w:after="0"/>
            </w:pPr>
            <w:r>
              <w:rPr>
                <w:sz w:val="17"/>
              </w:rPr>
              <w:t>1 190 000</w:t>
            </w:r>
          </w:p>
        </w:tc>
        <w:tc>
          <w:tcPr>
            <w:tcW w:w="2550" w:type="dxa"/>
          </w:tcPr>
          <w:p w14:paraId="6934551B" w14:textId="77777777" w:rsidR="00E16D47" w:rsidRDefault="00CD421C">
            <w:pPr>
              <w:spacing w:after="0"/>
            </w:pPr>
            <w:r>
              <w:rPr>
                <w:sz w:val="17"/>
              </w:rPr>
              <w:t>+108 000</w:t>
            </w:r>
          </w:p>
        </w:tc>
      </w:tr>
      <w:tr w:rsidR="00E16D47" w14:paraId="1C6358BE" w14:textId="77777777">
        <w:trPr>
          <w:jc w:val="center"/>
        </w:trPr>
        <w:tc>
          <w:tcPr>
            <w:tcW w:w="2550" w:type="dxa"/>
          </w:tcPr>
          <w:p w14:paraId="1B6EF0D9" w14:textId="77777777" w:rsidR="00E16D47" w:rsidRDefault="00CD421C">
            <w:pPr>
              <w:spacing w:after="0"/>
            </w:pPr>
            <w:r>
              <w:rPr>
                <w:sz w:val="17"/>
              </w:rPr>
              <w:t>Taux national</w:t>
            </w:r>
          </w:p>
        </w:tc>
        <w:tc>
          <w:tcPr>
            <w:tcW w:w="2550" w:type="dxa"/>
          </w:tcPr>
          <w:p w14:paraId="0A1A786C" w14:textId="77777777" w:rsidR="00E16D47" w:rsidRDefault="00CD421C">
            <w:pPr>
              <w:spacing w:after="0"/>
            </w:pPr>
            <w:r>
              <w:rPr>
                <w:sz w:val="17"/>
              </w:rPr>
              <w:t>10,1 %</w:t>
            </w:r>
          </w:p>
        </w:tc>
        <w:tc>
          <w:tcPr>
            <w:tcW w:w="2550" w:type="dxa"/>
          </w:tcPr>
          <w:p w14:paraId="348A7491" w14:textId="77777777" w:rsidR="00E16D47" w:rsidRDefault="00CD421C">
            <w:pPr>
              <w:spacing w:after="0"/>
            </w:pPr>
            <w:r>
              <w:rPr>
                <w:sz w:val="17"/>
              </w:rPr>
              <w:t>10,9 %</w:t>
            </w:r>
          </w:p>
        </w:tc>
        <w:tc>
          <w:tcPr>
            <w:tcW w:w="2550" w:type="dxa"/>
          </w:tcPr>
          <w:p w14:paraId="3EA6B465" w14:textId="77777777" w:rsidR="00E16D47" w:rsidRDefault="00CD421C">
            <w:pPr>
              <w:spacing w:after="0"/>
            </w:pPr>
            <w:r>
              <w:rPr>
                <w:sz w:val="17"/>
              </w:rPr>
              <w:t>+0,8 pt</w:t>
            </w:r>
          </w:p>
        </w:tc>
      </w:tr>
      <w:tr w:rsidR="00E16D47" w14:paraId="5B2504A4" w14:textId="77777777">
        <w:trPr>
          <w:jc w:val="center"/>
        </w:trPr>
        <w:tc>
          <w:tcPr>
            <w:tcW w:w="2550" w:type="dxa"/>
          </w:tcPr>
          <w:p w14:paraId="2A502088" w14:textId="77777777" w:rsidR="00E16D47" w:rsidRDefault="00CD421C">
            <w:pPr>
              <w:spacing w:after="0"/>
            </w:pPr>
            <w:r>
              <w:rPr>
                <w:sz w:val="17"/>
              </w:rPr>
              <w:t>Taux urbain</w:t>
            </w:r>
          </w:p>
        </w:tc>
        <w:tc>
          <w:tcPr>
            <w:tcW w:w="2550" w:type="dxa"/>
          </w:tcPr>
          <w:p w14:paraId="5EFCBB06" w14:textId="77777777" w:rsidR="00E16D47" w:rsidRDefault="00CD421C">
            <w:pPr>
              <w:spacing w:after="0"/>
            </w:pPr>
            <w:r>
              <w:rPr>
                <w:sz w:val="17"/>
              </w:rPr>
              <w:t>8,9 %</w:t>
            </w:r>
          </w:p>
        </w:tc>
        <w:tc>
          <w:tcPr>
            <w:tcW w:w="2550" w:type="dxa"/>
          </w:tcPr>
          <w:p w14:paraId="209FC92C" w14:textId="77777777" w:rsidR="00E16D47" w:rsidRDefault="00CD421C">
            <w:pPr>
              <w:spacing w:after="0"/>
            </w:pPr>
            <w:r>
              <w:rPr>
                <w:sz w:val="17"/>
              </w:rPr>
              <w:t>9,6 %</w:t>
            </w:r>
          </w:p>
        </w:tc>
        <w:tc>
          <w:tcPr>
            <w:tcW w:w="2550" w:type="dxa"/>
          </w:tcPr>
          <w:p w14:paraId="2CF5575B" w14:textId="77777777" w:rsidR="00E16D47" w:rsidRDefault="00CD421C">
            <w:pPr>
              <w:spacing w:after="0"/>
            </w:pPr>
            <w:r>
              <w:rPr>
                <w:sz w:val="17"/>
              </w:rPr>
              <w:t>+0,7 pt</w:t>
            </w:r>
          </w:p>
        </w:tc>
      </w:tr>
      <w:tr w:rsidR="00E16D47" w14:paraId="71EAD1FA" w14:textId="77777777">
        <w:trPr>
          <w:jc w:val="center"/>
        </w:trPr>
        <w:tc>
          <w:tcPr>
            <w:tcW w:w="2550" w:type="dxa"/>
          </w:tcPr>
          <w:p w14:paraId="362FE577" w14:textId="77777777" w:rsidR="00E16D47" w:rsidRDefault="00CD421C">
            <w:pPr>
              <w:spacing w:after="0"/>
            </w:pPr>
            <w:r>
              <w:rPr>
                <w:sz w:val="17"/>
              </w:rPr>
              <w:t>Taux rural</w:t>
            </w:r>
          </w:p>
        </w:tc>
        <w:tc>
          <w:tcPr>
            <w:tcW w:w="2550" w:type="dxa"/>
          </w:tcPr>
          <w:p w14:paraId="6682D08F" w14:textId="77777777" w:rsidR="00E16D47" w:rsidRDefault="00CD421C">
            <w:pPr>
              <w:spacing w:after="0"/>
            </w:pPr>
            <w:r>
              <w:rPr>
                <w:sz w:val="17"/>
              </w:rPr>
              <w:t>12,2 %</w:t>
            </w:r>
          </w:p>
        </w:tc>
        <w:tc>
          <w:tcPr>
            <w:tcW w:w="2550" w:type="dxa"/>
          </w:tcPr>
          <w:p w14:paraId="4387DEFB" w14:textId="77777777" w:rsidR="00E16D47" w:rsidRDefault="00CD421C">
            <w:pPr>
              <w:spacing w:after="0"/>
            </w:pPr>
            <w:r>
              <w:rPr>
                <w:sz w:val="17"/>
              </w:rPr>
              <w:t>13,2 %</w:t>
            </w:r>
          </w:p>
        </w:tc>
        <w:tc>
          <w:tcPr>
            <w:tcW w:w="2550" w:type="dxa"/>
          </w:tcPr>
          <w:p w14:paraId="4E8225A4" w14:textId="77777777" w:rsidR="00E16D47" w:rsidRDefault="00CD421C">
            <w:pPr>
              <w:spacing w:after="0"/>
            </w:pPr>
            <w:r>
              <w:rPr>
                <w:sz w:val="17"/>
              </w:rPr>
              <w:t>+1,0 pt</w:t>
            </w:r>
          </w:p>
        </w:tc>
      </w:tr>
    </w:tbl>
    <w:p w14:paraId="58865603" w14:textId="77777777" w:rsidR="00E16D47" w:rsidRDefault="00E16D47">
      <w:pPr>
        <w:spacing w:after="0" w:line="80" w:lineRule="exact"/>
      </w:pPr>
    </w:p>
    <w:p w14:paraId="349E8409" w14:textId="77777777" w:rsidR="00E16D47" w:rsidRDefault="00CD421C">
      <w:r>
        <w:t xml:space="preserve">Le </w:t>
      </w:r>
      <w:r>
        <w:t>sous-emploi lié à l’insuffisance du revenu ou à l’inadéquation entre la formation et l’emploi exercé a également augmenté : il concerne 573 000 personnes en 2025, contre 486 000 en 2024. Ainsi, la sortie du chômage peut parfois correspondre à une insertion</w:t>
      </w:r>
      <w:r>
        <w:t xml:space="preserve"> professionnelle qui reste insuffisante.</w:t>
      </w:r>
    </w:p>
    <w:p w14:paraId="403C2A08" w14:textId="77777777" w:rsidR="00E16D47" w:rsidRDefault="00CD421C">
      <w:pPr>
        <w:keepNext/>
        <w:spacing w:before="40" w:after="0"/>
        <w:jc w:val="center"/>
      </w:pPr>
      <w:r>
        <w:rPr>
          <w:noProof/>
        </w:rPr>
        <w:drawing>
          <wp:inline distT="0" distB="0" distL="0" distR="0" wp14:anchorId="233BAA90" wp14:editId="430B22BD">
            <wp:extent cx="6217920" cy="152201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6.png"/>
                    <pic:cNvPicPr/>
                  </pic:nvPicPr>
                  <pic:blipFill>
                    <a:blip r:embed="rId12"/>
                    <a:stretch>
                      <a:fillRect/>
                    </a:stretch>
                  </pic:blipFill>
                  <pic:spPr>
                    <a:xfrm>
                      <a:off x="0" y="0"/>
                      <a:ext cx="6217920" cy="1522010"/>
                    </a:xfrm>
                    <a:prstGeom prst="rect">
                      <a:avLst/>
                    </a:prstGeom>
                  </pic:spPr>
                </pic:pic>
              </a:graphicData>
            </a:graphic>
          </wp:inline>
        </w:drawing>
      </w:r>
    </w:p>
    <w:p w14:paraId="5F2549CC" w14:textId="77777777" w:rsidR="00E16D47" w:rsidRDefault="00CD421C">
      <w:pPr>
        <w:spacing w:after="60"/>
        <w:jc w:val="center"/>
      </w:pPr>
      <w:r>
        <w:rPr>
          <w:i/>
          <w:color w:val="595959"/>
          <w:sz w:val="15"/>
        </w:rPr>
        <w:t>Figure 5 : sous-emploi, 2024-2025 — Source : HCP, résultats annuels 2025.</w:t>
      </w:r>
    </w:p>
    <w:p w14:paraId="348D0F98" w14:textId="77777777" w:rsidR="00E16D47" w:rsidRDefault="00CD421C">
      <w:pPr>
        <w:pStyle w:val="Titre1"/>
      </w:pPr>
      <w:r>
        <w:t>4.2. Conclusion</w:t>
      </w:r>
    </w:p>
    <w:p w14:paraId="229C170F" w14:textId="77777777" w:rsidR="00E16D47" w:rsidRDefault="00CD421C">
      <w:r>
        <w:t xml:space="preserve">L’analyse des données du HCP montre que le taux de chômage au Maroc a diminué de 13,3 % en 2024 à 13,0 % en 2025. </w:t>
      </w:r>
      <w:r>
        <w:t>Cette baisse est associée à une diminution de 17 000 du nombre de chômeurs et, surtout, à une accélération de la création nette d’emplois : 193 000 postes ont été créés en 2025 contre 82 000 en 2024.</w:t>
      </w:r>
    </w:p>
    <w:p w14:paraId="592D4FF2" w14:textId="77777777" w:rsidR="00E16D47" w:rsidRDefault="00CD421C">
      <w:r>
        <w:t>Les services, le BTP et l’industrie ont été les principa</w:t>
      </w:r>
      <w:r>
        <w:t>ux moteurs de cette création d’emplois. La dynamique a été particulièrement forte en milieu urbain. Ces éléments constituent les principaux facteurs permettant d’expliquer la baisse observée du chômage.</w:t>
      </w:r>
    </w:p>
    <w:p w14:paraId="3A60EB47" w14:textId="77777777" w:rsidR="00E16D47" w:rsidRDefault="00CD421C">
      <w:r>
        <w:t>Cependant, cette évolution doit être interprétée avec</w:t>
      </w:r>
      <w:r>
        <w:t xml:space="preserve"> prudence. Le taux de chômage n’est pas constamment en baisse depuis 2017, certaines catégories — notamment les femmes et les jeunes de 15 à 24 ans — ont connu une hausse en 2025, le chômage de longue durée s’est accru et le sous-emploi a progressé. La bai</w:t>
      </w:r>
      <w:r>
        <w:t>sse du taux national ne signifie donc pas une amélioration uniforme de toutes les situations sur le marché du travail.</w:t>
      </w:r>
    </w:p>
    <w:p w14:paraId="332EE001" w14:textId="77777777" w:rsidR="00E16D47" w:rsidRDefault="00CD421C">
      <w:r>
        <w:t xml:space="preserve">En définitive, les données disponibles permettent de conclure que la baisse du chômage en 2025 est principalement associée à la création </w:t>
      </w:r>
      <w:r>
        <w:t>nette d’emplois, mais qu’elle demeure partielle et hétérogène. Une analyse plus approfondie pourrait compléter cette étude par une analyse économétrique des relations entre chômage, croissance, emploi sectoriel, niveau de diplôme et caractéristiques démogr</w:t>
      </w:r>
      <w:r>
        <w:t>aphiques.</w:t>
      </w:r>
    </w:p>
    <w:p w14:paraId="28545EB5" w14:textId="77777777" w:rsidR="00E16D47" w:rsidRDefault="00CD421C">
      <w:pPr>
        <w:pStyle w:val="Titre1"/>
      </w:pPr>
      <w:r>
        <w:t>Référence bibliographique</w:t>
      </w:r>
    </w:p>
    <w:p w14:paraId="47C1FF26" w14:textId="77777777" w:rsidR="00E16D47" w:rsidRDefault="00CD421C">
      <w:r>
        <w:t>Haut-Commissariat au Plan (HCP), Direction de la Statistique, Division des Enquêtes sur l’Emploi, Activité, emploi et chômage — Résultats annuels 2025, publié le 6 mai 2026. Rapport consulté à l’adresse : https://www.hcp</w:t>
      </w:r>
      <w:r>
        <w:t>.ma/file/247824/</w:t>
      </w:r>
    </w:p>
    <w:sectPr w:rsidR="00E16D47" w:rsidSect="00034616">
      <w:footerReference w:type="default" r:id="rId13"/>
      <w:pgSz w:w="12240" w:h="15840"/>
      <w:pgMar w:top="935" w:right="1020" w:bottom="879" w:left="10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223E492" w14:textId="77777777" w:rsidR="00CD421C" w:rsidRDefault="00CD421C">
      <w:pPr>
        <w:spacing w:after="0" w:line="240" w:lineRule="auto"/>
      </w:pPr>
      <w:r>
        <w:separator/>
      </w:r>
    </w:p>
  </w:endnote>
  <w:endnote w:type="continuationSeparator" w:id="0">
    <w:p w14:paraId="25E4B6B1" w14:textId="77777777" w:rsidR="00CD421C" w:rsidRDefault="00CD42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DB556D2" w14:textId="77777777" w:rsidR="00E16D47" w:rsidRDefault="00CD421C">
    <w:pPr>
      <w:pStyle w:val="Pieddepage"/>
      <w:jc w:val="center"/>
    </w:pPr>
    <w:r>
      <w:t xml:space="preserve">Page </w:t>
    </w:r>
    <w:r>
      <w:fldChar w:fldCharType="begin"/>
    </w:r>
    <w:r>
      <w:instrText>PAGE</w:instrText>
    </w:r>
    <w:r w:rsidR="0003367A">
      <w:fldChar w:fldCharType="separate"/>
    </w:r>
    <w:r w:rsidR="0003367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646C6F9" w14:textId="77777777" w:rsidR="00CD421C" w:rsidRDefault="00CD421C">
      <w:pPr>
        <w:spacing w:after="0" w:line="240" w:lineRule="auto"/>
      </w:pPr>
      <w:r>
        <w:separator/>
      </w:r>
    </w:p>
  </w:footnote>
  <w:footnote w:type="continuationSeparator" w:id="0">
    <w:p w14:paraId="3AB3BA96" w14:textId="77777777" w:rsidR="00CD421C" w:rsidRDefault="00CD421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367A"/>
    <w:rsid w:val="00034616"/>
    <w:rsid w:val="0006063C"/>
    <w:rsid w:val="0015074B"/>
    <w:rsid w:val="0029639D"/>
    <w:rsid w:val="00326F90"/>
    <w:rsid w:val="00AA1D8D"/>
    <w:rsid w:val="00B47730"/>
    <w:rsid w:val="00CB0664"/>
    <w:rsid w:val="00CD421C"/>
    <w:rsid w:val="00E16D4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5D9D3E"/>
  <w14:defaultImageDpi w14:val="300"/>
  <w15:docId w15:val="{308F80AE-83B2-498A-A183-46C09D29D9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4" w:semiHidden="1" w:unhideWhenUsed="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FC693F"/>
    <w:pPr>
      <w:spacing w:after="80" w:line="252" w:lineRule="auto"/>
    </w:pPr>
    <w:rPr>
      <w:rFonts w:ascii="Calibri" w:hAnsi="Calibri"/>
      <w:sz w:val="21"/>
    </w:rPr>
  </w:style>
  <w:style w:type="paragraph" w:styleId="Titre1">
    <w:name w:val="heading 1"/>
    <w:basedOn w:val="Normal"/>
    <w:next w:val="Normal"/>
    <w:link w:val="Titre1Car"/>
    <w:uiPriority w:val="9"/>
    <w:qFormat/>
    <w:rsid w:val="00FC693F"/>
    <w:pPr>
      <w:keepNext/>
      <w:keepLines/>
      <w:spacing w:before="2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3"/>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6"/>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0AA9D79-4EC0-4B6F-897F-EE984710EC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1644</Words>
  <Characters>9046</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10669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HP</cp:lastModifiedBy>
  <cp:revision>2</cp:revision>
  <dcterms:created xsi:type="dcterms:W3CDTF">2026-09-30T20:52:00Z</dcterms:created>
  <dcterms:modified xsi:type="dcterms:W3CDTF">2026-09-30T20:52:00Z</dcterms:modified>
  <cp:category/>
</cp:coreProperties>
</file>