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42497">
      <w:pPr>
        <w:pStyle w:val="37"/>
        <w:rPr>
          <w:color w:val="000000" w:themeColor="text1"/>
          <w14:textFill>
            <w14:solidFill>
              <w14:schemeClr w14:val="tx1"/>
            </w14:solidFill>
          </w14:textFill>
        </w:rPr>
      </w:pPr>
      <w:r>
        <w:rPr>
          <w:color w:val="000000" w:themeColor="text1"/>
          <w14:textFill>
            <w14:solidFill>
              <w14:schemeClr w14:val="tx1"/>
            </w14:solidFill>
          </w14:textFill>
        </w:rPr>
        <w:t>Literature Review: Dark Store Location Optimization</w:t>
      </w:r>
    </w:p>
    <w:p w14:paraId="3E3CA6D2">
      <w:pPr>
        <w:rPr>
          <w:color w:val="000000" w:themeColor="text1"/>
          <w14:textFill>
            <w14:solidFill>
              <w14:schemeClr w14:val="tx1"/>
            </w14:solidFill>
          </w14:textFill>
        </w:rPr>
      </w:pPr>
      <w:r>
        <w:rPr>
          <w:color w:val="000000" w:themeColor="text1"/>
          <w14:textFill>
            <w14:solidFill>
              <w14:schemeClr w14:val="tx1"/>
            </w14:solidFill>
          </w14:textFill>
        </w:rPr>
        <w:t>The rapid rise of quick commerce Q-commerce has transformed urban logistics by emphasizing ultra-fast delivery of groceries and essential goods through strategically positioned micro-fulfillment centers known as dark stores. Unlike traditional retail outlets, dark stores operate exclusively for online order fulfillment, allowing businesses to optimize inventory management and delivery speed. As consumer expectations for same-hour or sub-30-minute delivery intensify, selecting optimal dark store locations has become a critical operational and strategic challenge. This literature review explores the academic and practical foundations of dark store location optimization through the lenses of geographic information systems (GIS), spatial analytics, population density modeling, traffic analysis, facility location theory, and artificial intelligence optimization methods.</w:t>
      </w:r>
    </w:p>
    <w:p w14:paraId="37D8AAB2">
      <w:pPr>
        <w:pStyle w:val="2"/>
        <w:rPr>
          <w:color w:val="000000" w:themeColor="text1"/>
          <w14:textFill>
            <w14:solidFill>
              <w14:schemeClr w14:val="tx1"/>
            </w14:solidFill>
          </w14:textFill>
        </w:rPr>
      </w:pPr>
      <w:r>
        <w:rPr>
          <w:color w:val="000000" w:themeColor="text1"/>
          <w14:textFill>
            <w14:solidFill>
              <w14:schemeClr w14:val="tx1"/>
            </w14:solidFill>
          </w14:textFill>
        </w:rPr>
        <w:t>1. Dark Stores and the Evolution of Q-Commerce</w:t>
      </w:r>
    </w:p>
    <w:p w14:paraId="0E19316E">
      <w:pPr>
        <w:rPr>
          <w:color w:val="000000" w:themeColor="text1"/>
          <w14:textFill>
            <w14:solidFill>
              <w14:schemeClr w14:val="tx1"/>
            </w14:solidFill>
          </w14:textFill>
        </w:rPr>
      </w:pPr>
      <w:r>
        <w:rPr>
          <w:color w:val="000000" w:themeColor="text1"/>
          <w14:textFill>
            <w14:solidFill>
              <w14:schemeClr w14:val="tx1"/>
            </w14:solidFill>
          </w14:textFill>
        </w:rPr>
        <w:t>Dark stores emerged as an innovation in response to increasing e-commerce penetration and consumer demand for rapid delivery. Research highlights that dark stores improve operational efficiency by reducing customer-facing retail costs while increasing delivery responsiveness. Scholars such as Hübner et al. (2016) and Wollenburg et al. (2018) emphasize that urban fulfillment strategies increasingly rely on decentralized logistics nodes to shorten last-mile delivery distances. The literature suggests that dark stores play a crucial role in reducing delivery lead times, but their success is heavily dependent on location decisions, which directly affect transportation costs, customer reach, and competitive advantage.</w:t>
      </w:r>
    </w:p>
    <w:p w14:paraId="7789F65D">
      <w:pPr>
        <w:pStyle w:val="2"/>
        <w:rPr>
          <w:color w:val="000000" w:themeColor="text1"/>
          <w14:textFill>
            <w14:solidFill>
              <w14:schemeClr w14:val="tx1"/>
            </w14:solidFill>
          </w14:textFill>
        </w:rPr>
      </w:pPr>
      <w:r>
        <w:rPr>
          <w:color w:val="000000" w:themeColor="text1"/>
          <w14:textFill>
            <w14:solidFill>
              <w14:schemeClr w14:val="tx1"/>
            </w14:solidFill>
          </w14:textFill>
        </w:rPr>
        <w:t>2. GIS and Spatial Decision Support Systems</w:t>
      </w:r>
    </w:p>
    <w:p w14:paraId="02BD50D7">
      <w:pPr>
        <w:rPr>
          <w:color w:val="000000" w:themeColor="text1"/>
          <w14:textFill>
            <w14:solidFill>
              <w14:schemeClr w14:val="tx1"/>
            </w14:solidFill>
          </w14:textFill>
        </w:rPr>
      </w:pPr>
      <w:r>
        <w:rPr>
          <w:color w:val="000000" w:themeColor="text1"/>
          <w14:textFill>
            <w14:solidFill>
              <w14:schemeClr w14:val="tx1"/>
            </w14:solidFill>
          </w14:textFill>
        </w:rPr>
        <w:t>GIS has become a central tool in logistics planning due to its capacity to analyze spatial relationships between customers, infrastructure, and service areas. Spatial decision support systems integrate demographic, geographic, and transportation data to identify optimal facility locations. Studies by Church and Murray (2009) demonstrate that GIS-based facility placement can maximize service accessibility while minimizing cost. GIS techniques such as hotspot analysis, service area mapping, and network analysis enable organizations to identify underserved urban zones and evaluate candidate locations based on real-world geographic constraints.</w:t>
      </w:r>
    </w:p>
    <w:p w14:paraId="33D2EFBE">
      <w:pPr>
        <w:pStyle w:val="2"/>
        <w:rPr>
          <w:color w:val="000000" w:themeColor="text1"/>
          <w14:textFill>
            <w14:solidFill>
              <w14:schemeClr w14:val="tx1"/>
            </w14:solidFill>
          </w14:textFill>
        </w:rPr>
      </w:pPr>
      <w:r>
        <w:rPr>
          <w:color w:val="000000" w:themeColor="text1"/>
          <w14:textFill>
            <w14:solidFill>
              <w14:schemeClr w14:val="tx1"/>
            </w14:solidFill>
          </w14:textFill>
        </w:rPr>
        <w:t>3. Population Density and Demand Forecasting</w:t>
      </w:r>
    </w:p>
    <w:p w14:paraId="3E44293D">
      <w:pPr>
        <w:rPr>
          <w:color w:val="000000" w:themeColor="text1"/>
          <w14:textFill>
            <w14:solidFill>
              <w14:schemeClr w14:val="tx1"/>
            </w14:solidFill>
          </w14:textFill>
        </w:rPr>
      </w:pPr>
      <w:r>
        <w:rPr>
          <w:color w:val="000000" w:themeColor="text1"/>
          <w14:textFill>
            <w14:solidFill>
              <w14:schemeClr w14:val="tx1"/>
            </w14:solidFill>
          </w14:textFill>
        </w:rPr>
        <w:t>Population density is a major determinant of dark store viability because densely populated areas generate higher demand concentrations. Datasets such as WorldPop and LandScan have been widely used to estimate consumer distribution and forecast service demand. Literature indicates that integrating population clusters with socioeconomic indicators significantly enhances location decisions. Research by Daskin (2013) supports the use of weighted demand models where facilities are positioned to maximize accessibility to high-density customer clusters.</w:t>
      </w:r>
    </w:p>
    <w:p w14:paraId="57EED224">
      <w:pPr>
        <w:pStyle w:val="2"/>
        <w:rPr>
          <w:color w:val="000000" w:themeColor="text1"/>
          <w14:textFill>
            <w14:solidFill>
              <w14:schemeClr w14:val="tx1"/>
            </w14:solidFill>
          </w14:textFill>
        </w:rPr>
      </w:pPr>
      <w:r>
        <w:rPr>
          <w:color w:val="000000" w:themeColor="text1"/>
          <w14:textFill>
            <w14:solidFill>
              <w14:schemeClr w14:val="tx1"/>
            </w14:solidFill>
          </w14:textFill>
        </w:rPr>
        <w:t>4. Road Networks, Traffic Conditions, and Accessibility</w:t>
      </w:r>
    </w:p>
    <w:p w14:paraId="000085C6">
      <w:pPr>
        <w:rPr>
          <w:color w:val="000000" w:themeColor="text1"/>
          <w14:textFill>
            <w14:solidFill>
              <w14:schemeClr w14:val="tx1"/>
            </w14:solidFill>
          </w14:textFill>
        </w:rPr>
      </w:pPr>
      <w:r>
        <w:rPr>
          <w:color w:val="000000" w:themeColor="text1"/>
          <w14:textFill>
            <w14:solidFill>
              <w14:schemeClr w14:val="tx1"/>
            </w14:solidFill>
          </w14:textFill>
        </w:rPr>
        <w:t>Road infrastructure and traffic congestion directly influence delivery speed and operational efficiency. OpenStreetMap (OSM), OSMnx, and Uber Movement data have become critical sources for modeling transportation networks and estimating travel times. Boeing (2017) demonstrated that OSMnx enables robust urban network analysis, including shortest-path calculations and accessibility metrics. Traffic-weighted road network models improve upon static distance measures by incorporating real travel conditions, allowing more accurate service radius calculations. Studies consistently show that time-based accessibility outperforms Euclidean distance in logistics optimization.</w:t>
      </w:r>
    </w:p>
    <w:p w14:paraId="2F18B67A">
      <w:pPr>
        <w:pStyle w:val="2"/>
        <w:rPr>
          <w:color w:val="000000" w:themeColor="text1"/>
          <w14:textFill>
            <w14:solidFill>
              <w14:schemeClr w14:val="tx1"/>
            </w14:solidFill>
          </w14:textFill>
        </w:rPr>
      </w:pPr>
      <w:r>
        <w:rPr>
          <w:color w:val="000000" w:themeColor="text1"/>
          <w14:textFill>
            <w14:solidFill>
              <w14:schemeClr w14:val="tx1"/>
            </w14:solidFill>
          </w14:textFill>
        </w:rPr>
        <w:t>5. Facility Location Models and Location-Allocation Theory</w:t>
      </w:r>
    </w:p>
    <w:p w14:paraId="621D2CFA">
      <w:pPr>
        <w:rPr>
          <w:color w:val="000000" w:themeColor="text1"/>
          <w14:textFill>
            <w14:solidFill>
              <w14:schemeClr w14:val="tx1"/>
            </w14:solidFill>
          </w14:textFill>
        </w:rPr>
      </w:pPr>
      <w:r>
        <w:rPr>
          <w:color w:val="000000" w:themeColor="text1"/>
          <w14:textFill>
            <w14:solidFill>
              <w14:schemeClr w14:val="tx1"/>
            </w14:solidFill>
          </w14:textFill>
        </w:rPr>
        <w:t>Facility location problems have long been studied in operations research. Classical models such as the p-median problem, maximal covering location problem (MCLP), and location-allocation analysis provide mathematical frameworks for selecting optimal service points. These models aim to minimize customer travel distance while maximizing demand coverage. According to Hakimi (1964) and subsequent research, location-allocation methods remain foundational for urban service planning. However, real-world logistics increasingly require hybrid models that integrate dynamic traffic, competitor influence, and demand variability.</w:t>
      </w:r>
    </w:p>
    <w:p w14:paraId="14536577">
      <w:pPr>
        <w:pStyle w:val="2"/>
        <w:rPr>
          <w:color w:val="000000" w:themeColor="text1"/>
          <w14:textFill>
            <w14:solidFill>
              <w14:schemeClr w14:val="tx1"/>
            </w14:solidFill>
          </w14:textFill>
        </w:rPr>
      </w:pPr>
      <w:r>
        <w:rPr>
          <w:color w:val="000000" w:themeColor="text1"/>
          <w14:textFill>
            <w14:solidFill>
              <w14:schemeClr w14:val="tx1"/>
            </w14:solidFill>
          </w14:textFill>
        </w:rPr>
        <w:t>6. Genetic Algorithms and AI-Based Optimization</w:t>
      </w:r>
    </w:p>
    <w:p w14:paraId="5E683642">
      <w:pPr>
        <w:rPr>
          <w:color w:val="000000" w:themeColor="text1"/>
          <w14:textFill>
            <w14:solidFill>
              <w14:schemeClr w14:val="tx1"/>
            </w14:solidFill>
          </w14:textFill>
        </w:rPr>
      </w:pPr>
      <w:r>
        <w:rPr>
          <w:color w:val="000000" w:themeColor="text1"/>
          <w14:textFill>
            <w14:solidFill>
              <w14:schemeClr w14:val="tx1"/>
            </w14:solidFill>
          </w14:textFill>
        </w:rPr>
        <w:t>Genetic Algorithms (GAs) are evolutionary optimization techniques increasingly applied to complex logistics problems due to their ability to search large, nonlinear solution spaces. In dark store optimization, GAs can iteratively evaluate candidate coordinates, balancing objectives such as delivery time, population coverage, and competitor avoidance. Studies by Goldberg (1989) and more recent logistics applications demonstrate that GAs outperform many traditional heuristics when solving multi-objective spatial optimization problems. Combining GIS with AI enables more adaptive and scalable decision-making systems.</w:t>
      </w:r>
    </w:p>
    <w:p w14:paraId="5EF66C60">
      <w:pPr>
        <w:pStyle w:val="2"/>
        <w:rPr>
          <w:color w:val="000000" w:themeColor="text1"/>
          <w14:textFill>
            <w14:solidFill>
              <w14:schemeClr w14:val="tx1"/>
            </w14:solidFill>
          </w14:textFill>
        </w:rPr>
      </w:pPr>
      <w:r>
        <w:rPr>
          <w:color w:val="000000" w:themeColor="text1"/>
          <w14:textFill>
            <w14:solidFill>
              <w14:schemeClr w14:val="tx1"/>
            </w14:solidFill>
          </w14:textFill>
        </w:rPr>
        <w:t>7. Competitive Analysis and Market Saturation</w:t>
      </w:r>
    </w:p>
    <w:p w14:paraId="2EA87605">
      <w:pPr>
        <w:rPr>
          <w:color w:val="000000" w:themeColor="text1"/>
          <w14:textFill>
            <w14:solidFill>
              <w14:schemeClr w14:val="tx1"/>
            </w14:solidFill>
          </w14:textFill>
        </w:rPr>
      </w:pPr>
      <w:r>
        <w:rPr>
          <w:color w:val="000000" w:themeColor="text1"/>
          <w14:textFill>
            <w14:solidFill>
              <w14:schemeClr w14:val="tx1"/>
            </w14:solidFill>
          </w14:textFill>
        </w:rPr>
        <w:t>Competitor proximity significantly influences dark store performance. Existing warehouses, fulfillment centers, and retail hubs can saturate markets or increase competitive pressure. Literature on competitive facility location emphasizes the importance of spatial differentiation. Firms benefit from targeting underserved but high-demand areas where competition is limited. GIS competitor mapping and buffer analysis are widely used to evaluate strategic positioning.</w:t>
      </w:r>
    </w:p>
    <w:p w14:paraId="0FC45AD0">
      <w:pPr>
        <w:pStyle w:val="2"/>
        <w:rPr>
          <w:color w:val="000000" w:themeColor="text1"/>
          <w14:textFill>
            <w14:solidFill>
              <w14:schemeClr w14:val="tx1"/>
            </w14:solidFill>
          </w14:textFill>
        </w:rPr>
      </w:pPr>
      <w:r>
        <w:rPr>
          <w:color w:val="000000" w:themeColor="text1"/>
          <w14:textFill>
            <w14:solidFill>
              <w14:schemeClr w14:val="tx1"/>
            </w14:solidFill>
          </w14:textFill>
        </w:rPr>
        <w:t>8. Visualization and Decision Communication</w:t>
      </w:r>
    </w:p>
    <w:p w14:paraId="7ADC8B7E">
      <w:pPr>
        <w:rPr>
          <w:color w:val="000000" w:themeColor="text1"/>
          <w14:textFill>
            <w14:solidFill>
              <w14:schemeClr w14:val="tx1"/>
            </w14:solidFill>
          </w14:textFill>
        </w:rPr>
      </w:pPr>
      <w:r>
        <w:rPr>
          <w:color w:val="000000" w:themeColor="text1"/>
          <w14:textFill>
            <w14:solidFill>
              <w14:schemeClr w14:val="tx1"/>
            </w14:solidFill>
          </w14:textFill>
        </w:rPr>
        <w:t>Effective visualization is essential for stakeholder decision-making. Heatmaps, service area polygons, accessibility maps, and optimization dashboards allow decision-makers to interpret complex geospatial analyses intuitively. Interactive GIS tools improve transparency, reproducibility, and business communication. Research indicates that visual analytics significantly enhances strategic planning by bridging technical outputs with executive understanding.</w:t>
      </w:r>
    </w:p>
    <w:p w14:paraId="79E047DF">
      <w:pPr>
        <w:pStyle w:val="2"/>
        <w:rPr>
          <w:color w:val="000000" w:themeColor="text1"/>
          <w14:textFill>
            <w14:solidFill>
              <w14:schemeClr w14:val="tx1"/>
            </w14:solidFill>
          </w14:textFill>
        </w:rPr>
      </w:pPr>
      <w:r>
        <w:rPr>
          <w:color w:val="000000" w:themeColor="text1"/>
          <w14:textFill>
            <w14:solidFill>
              <w14:schemeClr w14:val="tx1"/>
            </w14:solidFill>
          </w14:textFill>
        </w:rPr>
        <w:t>9. Research Gaps and Project Contribution</w:t>
      </w:r>
    </w:p>
    <w:p w14:paraId="2C3233D1">
      <w:pPr>
        <w:rPr>
          <w:color w:val="000000" w:themeColor="text1"/>
          <w14:textFill>
            <w14:solidFill>
              <w14:schemeClr w14:val="tx1"/>
            </w14:solidFill>
          </w14:textFill>
        </w:rPr>
      </w:pPr>
      <w:r>
        <w:rPr>
          <w:color w:val="000000" w:themeColor="text1"/>
          <w14:textFill>
            <w14:solidFill>
              <w14:schemeClr w14:val="tx1"/>
            </w14:solidFill>
          </w14:textFill>
        </w:rPr>
        <w:t>While substantial literature exists on logistics optimization, relatively few studies comprehensively integrate high-resolution population data, traffic-weighted road networks, competitor analysis, GIS spatial intelligence, and AI-based optimization into a unified framework tailored for Q-commerce dark stores, especially in emerging markets such as Egypt. This project addresses that gap by developing a multidisciplinary solution that combines geospatial analysis with machine learning optimization to produce actionable recommendations for startup logistics networks.</w:t>
      </w:r>
    </w:p>
    <w:p w14:paraId="1CFAB1DE">
      <w:pPr>
        <w:pStyle w:val="2"/>
        <w:rPr>
          <w:color w:val="000000" w:themeColor="text1"/>
          <w14:textFill>
            <w14:solidFill>
              <w14:schemeClr w14:val="tx1"/>
            </w14:solidFill>
          </w14:textFill>
        </w:rPr>
      </w:pPr>
      <w:r>
        <w:rPr>
          <w:color w:val="000000" w:themeColor="text1"/>
          <w14:textFill>
            <w14:solidFill>
              <w14:schemeClr w14:val="tx1"/>
            </w14:solidFill>
          </w14:textFill>
        </w:rPr>
        <w:t>Conclusion</w:t>
      </w:r>
    </w:p>
    <w:p w14:paraId="58865C6D">
      <w:pPr>
        <w:rPr>
          <w:color w:val="000000" w:themeColor="text1"/>
          <w14:textFill>
            <w14:solidFill>
              <w14:schemeClr w14:val="tx1"/>
            </w14:solidFill>
          </w14:textFill>
        </w:rPr>
      </w:pPr>
      <w:r>
        <w:rPr>
          <w:color w:val="000000" w:themeColor="text1"/>
          <w14:textFill>
            <w14:solidFill>
              <w14:schemeClr w14:val="tx1"/>
            </w14:solidFill>
          </w14:textFill>
        </w:rPr>
        <w:t>The literature strongly supports the integration of GIS, population analytics, traffic modeling, and AI optimization for solving complex urban logistics challenges. Dark store location optimization represents a critical strategic function in Q-commerce, where operational success depends on balancing customer proximity, delivery efficiency, and competitive differentiation. By leveraging advanced geospatial technologies and genetic algorithms, this project builds upon established research while offering practical innovations for real-world logistics deployment. Ultimately, the project contributes to both academic knowledge and commercial practice by delivering a scalable, data-driven framework for optimizing dark store placement.</w:t>
      </w:r>
    </w:p>
    <w:p w14:paraId="3594A614">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2B416FF">
      <w:pPr>
        <w:pStyle w:val="2"/>
        <w:rPr>
          <w:color w:val="000000" w:themeColor="text1"/>
          <w14:textFill>
            <w14:solidFill>
              <w14:schemeClr w14:val="tx1"/>
            </w14:solidFill>
          </w14:textFill>
        </w:rPr>
      </w:pPr>
      <w:r>
        <w:rPr>
          <w:color w:val="000000" w:themeColor="text1"/>
          <w14:textFill>
            <w14:solidFill>
              <w14:schemeClr w14:val="tx1"/>
            </w14:solidFill>
          </w14:textFill>
        </w:rPr>
        <w:t>References</w:t>
      </w:r>
    </w:p>
    <w:p w14:paraId="71E30448">
      <w:pPr>
        <w:pStyle w:val="30"/>
        <w:rPr>
          <w:color w:val="000000" w:themeColor="text1"/>
          <w14:textFill>
            <w14:solidFill>
              <w14:schemeClr w14:val="tx1"/>
            </w14:solidFill>
          </w14:textFill>
        </w:rPr>
      </w:pPr>
      <w:r>
        <w:rPr>
          <w:color w:val="000000" w:themeColor="text1"/>
          <w14:textFill>
            <w14:solidFill>
              <w14:schemeClr w14:val="tx1"/>
            </w14:solidFill>
          </w14:textFill>
        </w:rPr>
        <w:t>Boeing, G. (2017). OSMnx: New methods for acquiring, constructing, analyzing, and visualizing complex street networks. Computers, Environment and Urban Systems, 65, 126-139.</w:t>
      </w:r>
    </w:p>
    <w:p w14:paraId="606787AD">
      <w:pPr>
        <w:pStyle w:val="30"/>
        <w:numPr>
          <w:numId w:val="0"/>
        </w:numPr>
        <w:ind w:leftChars="0"/>
        <w:rPr>
          <w:color w:val="000000" w:themeColor="text1"/>
          <w14:textFill>
            <w14:solidFill>
              <w14:schemeClr w14:val="tx1"/>
            </w14:solidFill>
          </w14:textFill>
        </w:rPr>
      </w:pPr>
      <w:bookmarkStart w:id="0" w:name="_GoBack"/>
      <w:bookmarkEnd w:id="0"/>
    </w:p>
    <w:p w14:paraId="2D284195">
      <w:pPr>
        <w:pStyle w:val="30"/>
        <w:rPr>
          <w:color w:val="000000" w:themeColor="text1"/>
          <w14:textFill>
            <w14:solidFill>
              <w14:schemeClr w14:val="tx1"/>
            </w14:solidFill>
          </w14:textFill>
        </w:rPr>
      </w:pPr>
      <w:r>
        <w:rPr>
          <w:color w:val="000000" w:themeColor="text1"/>
          <w14:textFill>
            <w14:solidFill>
              <w14:schemeClr w14:val="tx1"/>
            </w14:solidFill>
          </w14:textFill>
        </w:rPr>
        <w:t>Church, R. L., &amp; Murray, A. T. (2009). Business Site Selection, Location Analysis, and GIS. Wiley.</w:t>
      </w:r>
    </w:p>
    <w:p w14:paraId="3E5EB34B">
      <w:pPr>
        <w:pStyle w:val="30"/>
        <w:numPr>
          <w:numId w:val="0"/>
        </w:numPr>
        <w:ind w:leftChars="0"/>
        <w:rPr>
          <w:color w:val="000000" w:themeColor="text1"/>
          <w14:textFill>
            <w14:solidFill>
              <w14:schemeClr w14:val="tx1"/>
            </w14:solidFill>
          </w14:textFill>
        </w:rPr>
      </w:pPr>
    </w:p>
    <w:p w14:paraId="7C68BBAE">
      <w:pPr>
        <w:pStyle w:val="30"/>
        <w:rPr>
          <w:color w:val="000000" w:themeColor="text1"/>
          <w14:textFill>
            <w14:solidFill>
              <w14:schemeClr w14:val="tx1"/>
            </w14:solidFill>
          </w14:textFill>
        </w:rPr>
      </w:pPr>
      <w:r>
        <w:rPr>
          <w:color w:val="000000" w:themeColor="text1"/>
          <w14:textFill>
            <w14:solidFill>
              <w14:schemeClr w14:val="tx1"/>
            </w14:solidFill>
          </w14:textFill>
        </w:rPr>
        <w:t>Daskin, M. S. (2013). Network and Discrete Location: Models, Algorithms, and Applications (2nd ed.). Wiley.</w:t>
      </w:r>
    </w:p>
    <w:p w14:paraId="16B84591">
      <w:pPr>
        <w:pStyle w:val="30"/>
        <w:numPr>
          <w:numId w:val="0"/>
        </w:numPr>
        <w:ind w:leftChars="0"/>
        <w:rPr>
          <w:color w:val="000000" w:themeColor="text1"/>
          <w14:textFill>
            <w14:solidFill>
              <w14:schemeClr w14:val="tx1"/>
            </w14:solidFill>
          </w14:textFill>
        </w:rPr>
      </w:pPr>
    </w:p>
    <w:p w14:paraId="58F4F826">
      <w:pPr>
        <w:pStyle w:val="30"/>
        <w:rPr>
          <w:color w:val="000000" w:themeColor="text1"/>
          <w14:textFill>
            <w14:solidFill>
              <w14:schemeClr w14:val="tx1"/>
            </w14:solidFill>
          </w14:textFill>
        </w:rPr>
      </w:pPr>
      <w:r>
        <w:rPr>
          <w:color w:val="000000" w:themeColor="text1"/>
          <w14:textFill>
            <w14:solidFill>
              <w14:schemeClr w14:val="tx1"/>
            </w14:solidFill>
          </w14:textFill>
        </w:rPr>
        <w:t>Goldberg, D. E. (1989). Genetic Algorithms in Search, Optimization, and Machine Learning. Addison-Wesley.</w:t>
      </w:r>
    </w:p>
    <w:p w14:paraId="50A81A3C">
      <w:pPr>
        <w:pStyle w:val="30"/>
        <w:numPr>
          <w:numId w:val="0"/>
        </w:numPr>
        <w:ind w:leftChars="0"/>
        <w:rPr>
          <w:color w:val="000000" w:themeColor="text1"/>
          <w14:textFill>
            <w14:solidFill>
              <w14:schemeClr w14:val="tx1"/>
            </w14:solidFill>
          </w14:textFill>
        </w:rPr>
      </w:pPr>
    </w:p>
    <w:p w14:paraId="48E0A00C">
      <w:pPr>
        <w:pStyle w:val="30"/>
        <w:rPr>
          <w:color w:val="000000" w:themeColor="text1"/>
          <w14:textFill>
            <w14:solidFill>
              <w14:schemeClr w14:val="tx1"/>
            </w14:solidFill>
          </w14:textFill>
        </w:rPr>
      </w:pPr>
      <w:r>
        <w:rPr>
          <w:color w:val="000000" w:themeColor="text1"/>
          <w14:textFill>
            <w14:solidFill>
              <w14:schemeClr w14:val="tx1"/>
            </w14:solidFill>
          </w14:textFill>
        </w:rPr>
        <w:t>Hakimi, S. L. (1964). Optimum locations of switching centers and the absolute centers and medians of a graph. Operations Research, 12(3), 450-459.</w:t>
      </w:r>
    </w:p>
    <w:p w14:paraId="659DD90F">
      <w:pPr>
        <w:pStyle w:val="30"/>
        <w:numPr>
          <w:numId w:val="0"/>
        </w:numPr>
        <w:ind w:leftChars="0"/>
        <w:rPr>
          <w:color w:val="000000" w:themeColor="text1"/>
          <w14:textFill>
            <w14:solidFill>
              <w14:schemeClr w14:val="tx1"/>
            </w14:solidFill>
          </w14:textFill>
        </w:rPr>
      </w:pPr>
    </w:p>
    <w:p w14:paraId="6C68C8D2">
      <w:pPr>
        <w:pStyle w:val="30"/>
        <w:rPr>
          <w:color w:val="000000" w:themeColor="text1"/>
          <w14:textFill>
            <w14:solidFill>
              <w14:schemeClr w14:val="tx1"/>
            </w14:solidFill>
          </w14:textFill>
        </w:rPr>
      </w:pPr>
      <w:r>
        <w:rPr>
          <w:color w:val="000000" w:themeColor="text1"/>
          <w14:textFill>
            <w14:solidFill>
              <w14:schemeClr w14:val="tx1"/>
            </w14:solidFill>
          </w14:textFill>
        </w:rPr>
        <w:t>Hübner, A., Kuhn, H., &amp; Wollenburg, J. (2016). Last mile fulfilment and distribution in omni-channel grocery retailing: A strategic planning framework. International Journal of Retail &amp; Distribution Management, 44(3), 228-247.</w:t>
      </w:r>
    </w:p>
    <w:p w14:paraId="49ADA151">
      <w:pPr>
        <w:pStyle w:val="30"/>
        <w:numPr>
          <w:numId w:val="0"/>
        </w:numPr>
        <w:ind w:leftChars="0"/>
        <w:rPr>
          <w:color w:val="000000" w:themeColor="text1"/>
          <w14:textFill>
            <w14:solidFill>
              <w14:schemeClr w14:val="tx1"/>
            </w14:solidFill>
          </w14:textFill>
        </w:rPr>
      </w:pPr>
    </w:p>
    <w:p w14:paraId="5A1D1378">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Wollenburg, J., Holzapfel, A., Hübner, A., &amp; Kuhn, H. (2018). Configuring retail fulfillment </w:t>
      </w:r>
    </w:p>
    <w:p w14:paraId="3AD137DC">
      <w:pPr>
        <w:pStyle w:val="30"/>
        <w:numPr>
          <w:numId w:val="0"/>
        </w:numPr>
        <w:ind w:leftChars="0"/>
        <w:rPr>
          <w:color w:val="000000" w:themeColor="text1"/>
          <w14:textFill>
            <w14:solidFill>
              <w14:schemeClr w14:val="tx1"/>
            </w14:solidFill>
          </w14:textFill>
        </w:rPr>
      </w:pPr>
    </w:p>
    <w:p w14:paraId="0AECFFAD">
      <w:pPr>
        <w:pStyle w:val="30"/>
        <w:rPr>
          <w:color w:val="000000" w:themeColor="text1"/>
          <w14:textFill>
            <w14:solidFill>
              <w14:schemeClr w14:val="tx1"/>
            </w14:solidFill>
          </w14:textFill>
        </w:rPr>
      </w:pPr>
      <w:r>
        <w:rPr>
          <w:color w:val="000000" w:themeColor="text1"/>
          <w14:textFill>
            <w14:solidFill>
              <w14:schemeClr w14:val="tx1"/>
            </w14:solidFill>
          </w14:textFill>
        </w:rPr>
        <w:t>processes for omni-channel customer steering. International Journal of Electronic Commerce, 22(4), 540-575.</w:t>
      </w:r>
    </w:p>
    <w:p w14:paraId="360E383E">
      <w:pPr>
        <w:pStyle w:val="30"/>
        <w:numPr>
          <w:numId w:val="0"/>
        </w:numPr>
        <w:ind w:leftChars="0"/>
        <w:rPr>
          <w:color w:val="000000" w:themeColor="text1"/>
          <w14:textFill>
            <w14:solidFill>
              <w14:schemeClr w14:val="tx1"/>
            </w14:solidFill>
          </w14:textFill>
        </w:rPr>
      </w:pPr>
    </w:p>
    <w:p w14:paraId="41194C2A">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WorldPop Project. (2024). Open spatial demographic data and research.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"https://www.worldpop.org/" </w:instrText>
      </w:r>
      <w:r>
        <w:rPr>
          <w:color w:val="000000" w:themeColor="text1"/>
          <w14:textFill>
            <w14:solidFill>
              <w14:schemeClr w14:val="tx1"/>
            </w14:solidFill>
          </w14:textFill>
        </w:rPr>
        <w:fldChar w:fldCharType="separate"/>
      </w:r>
      <w:r>
        <w:rPr>
          <w:rStyle w:val="20"/>
        </w:rPr>
        <w:t>https://www.worldpop.org/</w:t>
      </w:r>
      <w:r>
        <w:rPr>
          <w:color w:val="000000" w:themeColor="text1"/>
          <w14:textFill>
            <w14:solidFill>
              <w14:schemeClr w14:val="tx1"/>
            </w14:solidFill>
          </w14:textFill>
        </w:rPr>
        <w:fldChar w:fldCharType="end"/>
      </w:r>
    </w:p>
    <w:p w14:paraId="433A9189">
      <w:pPr>
        <w:pStyle w:val="30"/>
        <w:numPr>
          <w:numId w:val="0"/>
        </w:numPr>
        <w:ind w:leftChars="0"/>
        <w:rPr>
          <w:color w:val="000000" w:themeColor="text1"/>
          <w14:textFill>
            <w14:solidFill>
              <w14:schemeClr w14:val="tx1"/>
            </w14:solidFill>
          </w14:textFill>
        </w:rPr>
      </w:pPr>
    </w:p>
    <w:p w14:paraId="028BC991">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OpenStreetMap Contributors. (2024). Planet dump retrieved from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"https://www.openstreetmap.org" </w:instrText>
      </w:r>
      <w:r>
        <w:rPr>
          <w:color w:val="000000" w:themeColor="text1"/>
          <w14:textFill>
            <w14:solidFill>
              <w14:schemeClr w14:val="tx1"/>
            </w14:solidFill>
          </w14:textFill>
        </w:rPr>
        <w:fldChar w:fldCharType="separate"/>
      </w:r>
      <w:r>
        <w:rPr>
          <w:rStyle w:val="20"/>
        </w:rPr>
        <w:t>https://www.openstreetmap.org</w:t>
      </w:r>
      <w:r>
        <w:rPr>
          <w:color w:val="000000" w:themeColor="text1"/>
          <w14:textFill>
            <w14:solidFill>
              <w14:schemeClr w14:val="tx1"/>
            </w14:solidFill>
          </w14:textFill>
        </w:rPr>
        <w:fldChar w:fldCharType="end"/>
      </w:r>
    </w:p>
    <w:p w14:paraId="6F10CFDE">
      <w:pPr>
        <w:pStyle w:val="30"/>
        <w:numPr>
          <w:numId w:val="0"/>
        </w:numPr>
        <w:ind w:leftChars="0"/>
        <w:rPr>
          <w:color w:val="000000" w:themeColor="text1"/>
          <w14:textFill>
            <w14:solidFill>
              <w14:schemeClr w14:val="tx1"/>
            </w14:solidFill>
          </w14:textFill>
        </w:rPr>
      </w:pPr>
    </w:p>
    <w:p w14:paraId="47C07F24">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Uber Movement. (2024). Urban mobility data platform.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"https://movement.uber.com/" </w:instrText>
      </w:r>
      <w:r>
        <w:rPr>
          <w:color w:val="000000" w:themeColor="text1"/>
          <w14:textFill>
            <w14:solidFill>
              <w14:schemeClr w14:val="tx1"/>
            </w14:solidFill>
          </w14:textFill>
        </w:rPr>
        <w:fldChar w:fldCharType="separate"/>
      </w:r>
      <w:r>
        <w:rPr>
          <w:rStyle w:val="20"/>
        </w:rPr>
        <w:t>https://movement.uber.com/</w:t>
      </w:r>
      <w:r>
        <w:rPr>
          <w:color w:val="000000" w:themeColor="text1"/>
          <w14:textFill>
            <w14:solidFill>
              <w14:schemeClr w14:val="tx1"/>
            </w14:solidFill>
          </w14:textFill>
        </w:rPr>
        <w:fldChar w:fldCharType="end"/>
      </w:r>
    </w:p>
    <w:p w14:paraId="16E2D050">
      <w:pPr>
        <w:pStyle w:val="30"/>
        <w:numPr>
          <w:numId w:val="0"/>
        </w:numPr>
        <w:ind w:leftChars="0"/>
        <w:rPr>
          <w:color w:val="000000" w:themeColor="text1"/>
          <w14:textFill>
            <w14:solidFill>
              <w14:schemeClr w14:val="tx1"/>
            </w14:solidFill>
          </w14:textFill>
        </w:rPr>
      </w:pPr>
    </w:p>
    <w:p w14:paraId="3EDA5C27">
      <w:pPr>
        <w:pStyle w:val="30"/>
        <w:rPr>
          <w:color w:val="000000" w:themeColor="text1"/>
          <w14:textFill>
            <w14:solidFill>
              <w14:schemeClr w14:val="tx1"/>
            </w14:solidFill>
          </w14:textFill>
        </w:rPr>
      </w:pPr>
      <w:r>
        <w:rPr>
          <w:color w:val="000000" w:themeColor="text1"/>
          <w14:textFill>
            <w14:solidFill>
              <w14:schemeClr w14:val="tx1"/>
            </w14:solidFill>
          </w14:textFill>
        </w:rPr>
        <w:t>Murray, A. T. (2010). Advances in location modeling: GIS linkages and contributions. Journal of Geographical Systems, 12(3), 335-354.</w:t>
      </w:r>
    </w:p>
    <w:p w14:paraId="3A549A2C">
      <w:pPr>
        <w:pStyle w:val="30"/>
        <w:numPr>
          <w:numId w:val="0"/>
        </w:numPr>
        <w:ind w:leftChars="0"/>
        <w:rPr>
          <w:color w:val="000000" w:themeColor="text1"/>
          <w14:textFill>
            <w14:solidFill>
              <w14:schemeClr w14:val="tx1"/>
            </w14:solidFill>
          </w14:textFill>
        </w:rPr>
      </w:pPr>
    </w:p>
    <w:p w14:paraId="5A0E0701">
      <w:pPr>
        <w:pStyle w:val="30"/>
        <w:rPr>
          <w:color w:val="000000" w:themeColor="text1"/>
          <w14:textFill>
            <w14:solidFill>
              <w14:schemeClr w14:val="tx1"/>
            </w14:solidFill>
          </w14:textFill>
        </w:rPr>
      </w:pPr>
      <w:r>
        <w:rPr>
          <w:color w:val="000000" w:themeColor="text1"/>
          <w14:textFill>
            <w14:solidFill>
              <w14:schemeClr w14:val="tx1"/>
            </w14:solidFill>
          </w14:textFill>
        </w:rPr>
        <w:t>Farahani, R. Z., &amp; Hekmatfar, M. (2009). Facility Location: Concepts, Models, Algorithms and Case Studies. Springer.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13F0"/>
    <w:rsid w:val="00AA1D8D"/>
    <w:rsid w:val="00B47730"/>
    <w:rsid w:val="00CB0664"/>
    <w:rsid w:val="00F02C75"/>
    <w:rsid w:val="00FC0111"/>
    <w:rsid w:val="00FC693F"/>
    <w:rsid w:val="602517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1125</Words>
  <Characters>7923</Characters>
  <Lines>64</Lines>
  <Paragraphs>18</Paragraphs>
  <TotalTime>3</TotalTime>
  <ScaleCrop>false</ScaleCrop>
  <LinksUpToDate>false</LinksUpToDate>
  <CharactersWithSpaces>9013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Aya Eslam</cp:lastModifiedBy>
  <dcterms:modified xsi:type="dcterms:W3CDTF">2026-04-28T16:30:14Z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eyJoZGlkIjoiYWNlNzNhNmIzOTIzZGY2M2QzZGFjMTM3NDZmMGZlYmUiLCJ1c2VySWQiOiIxNDQ0ODk4OTg3Mzk3MiJ9</vt:lpwstr>
  </property>
  <property fmtid="{D5CDD505-2E9C-101B-9397-08002B2CF9AE}" pid="3" name="KSOProductBuildVer">
    <vt:lpwstr>1033-12.1.0.25242</vt:lpwstr>
  </property>
  <property fmtid="{D5CDD505-2E9C-101B-9397-08002B2CF9AE}" pid="4" name="ICV">
    <vt:lpwstr>3FF9FE610E0D43DCA2D9F3A0E1903766_12</vt:lpwstr>
  </property>
</Properties>
</file>