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0F172A"/>
          <w:sz w:val="32"/>
          <w:szCs w:val="32"/>
        </w:rPr>
        <w:t xml:space="preserve">PROGRAM TAHUNAN (PROTA)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4"/>
          <w:szCs w:val="24"/>
        </w:rPr>
        <w:t xml:space="preserve">Informatika / Web Design &amp; Digital Literacy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20"/>
          <w:szCs w:val="20"/>
        </w:rPr>
        <w:t xml:space="preserve">SMA PMA  ·  Tahun Pelajaran 2025/2026</w:t>
      </w:r>
    </w:p>
    <w:p>
      <w:pPr>
        <w:pStyle w:val="Heading2"/>
        <w:spacing w:after="120" w:before="200"/>
      </w:pPr>
      <w:r>
        <w:rPr>
          <w:rFonts w:ascii="Calibri" w:cs="Calibri" w:eastAsia="Calibri" w:hAnsi="Calibri"/>
          <w:b/>
          <w:bCs/>
          <w:color w:val="0369A1"/>
          <w:sz w:val="24"/>
          <w:szCs w:val="24"/>
        </w:rPr>
        <w:t xml:space="preserve">A. Identitas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Satuan Pendidikan</w:t>
            </w:r>
          </w:p>
        </w:tc>
        <w:tc>
          <w:tcPr>
            <w:tcW w:type="dxa" w:w="616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8"/>
                <w:szCs w:val="18"/>
              </w:rPr>
              <w:t xml:space="preserve">SMA PMA</w:t>
            </w:r>
          </w:p>
        </w:tc>
      </w:tr>
      <w:tr>
        <w:tc>
          <w:tcPr>
            <w:tcW w:type="dxa" w:w="320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Mata Pelajaran</w:t>
            </w:r>
          </w:p>
        </w:tc>
        <w:tc>
          <w:tcPr>
            <w:tcW w:type="dxa" w:w="616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8"/>
                <w:szCs w:val="18"/>
              </w:rPr>
              <w:t xml:space="preserve">Informatika / Web Design &amp; Digital Literacy</w:t>
            </w:r>
          </w:p>
        </w:tc>
      </w:tr>
      <w:tr>
        <w:tc>
          <w:tcPr>
            <w:tcW w:type="dxa" w:w="320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Fase / Kelas</w:t>
            </w:r>
          </w:p>
        </w:tc>
        <w:tc>
          <w:tcPr>
            <w:tcW w:type="dxa" w:w="616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8"/>
                <w:szCs w:val="18"/>
              </w:rPr>
              <w:t xml:space="preserve">Fase E/F (SMA) — Kelas XI (setara 51 &amp; 52)</w:t>
            </w:r>
          </w:p>
        </w:tc>
      </w:tr>
      <w:tr>
        <w:tc>
          <w:tcPr>
            <w:tcW w:type="dxa" w:w="320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Tahun Pelajaran</w:t>
            </w:r>
          </w:p>
        </w:tc>
        <w:tc>
          <w:tcPr>
            <w:tcW w:type="dxa" w:w="616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8"/>
                <w:szCs w:val="18"/>
              </w:rPr>
              <w:t xml:space="preserve">2025/2026</w:t>
            </w:r>
          </w:p>
        </w:tc>
      </w:tr>
      <w:tr>
        <w:tc>
          <w:tcPr>
            <w:tcW w:type="dxa" w:w="320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Guru Pengampu</w:t>
            </w:r>
          </w:p>
        </w:tc>
        <w:tc>
          <w:tcPr>
            <w:tcW w:type="dxa" w:w="616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8"/>
                <w:szCs w:val="18"/>
              </w:rPr>
              <w:t xml:space="preserve">Teddy Mulyana</w:t>
            </w:r>
          </w:p>
        </w:tc>
      </w:tr>
      <w:tr>
        <w:tc>
          <w:tcPr>
            <w:tcW w:type="dxa" w:w="320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Alokasi Waktu Tahunan</w:t>
            </w:r>
          </w:p>
        </w:tc>
        <w:tc>
          <w:tcPr>
            <w:tcW w:type="dxa" w:w="616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8"/>
                <w:szCs w:val="18"/>
              </w:rPr>
              <w:t xml:space="preserve">± 18–20 pertemuan efektif (menyesuaikan kalender akademik)</w:t>
            </w:r>
          </w:p>
        </w:tc>
      </w:tr>
    </w:tbl>
    <w:p>
      <w:pPr>
        <w:pStyle w:val="Heading2"/>
        <w:spacing w:after="120" w:before="200"/>
      </w:pPr>
      <w:r>
        <w:rPr>
          <w:rFonts w:ascii="Calibri" w:cs="Calibri" w:eastAsia="Calibri" w:hAnsi="Calibri"/>
          <w:b/>
          <w:bCs/>
          <w:color w:val="0369A1"/>
          <w:sz w:val="24"/>
          <w:szCs w:val="24"/>
        </w:rPr>
        <w:t xml:space="preserve">B. Capaian Pembelajaran (Kurikulum Merdeka — Informatika)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Peserta didik mampu memanfaatkan teknologi digital secara produktif, etis, dan kreatif; merancang serta mengembangkan solusi digital sederhana (termasuk aplikasi web); serta menggunakan kecerdasan artifisial sebagai alat bantu berpikir dan berkarya dengan kesadaran kritis.</w:t>
      </w:r>
    </w:p>
    <w:p>
      <w:pPr>
        <w:pStyle w:val="Heading2"/>
        <w:spacing w:after="120" w:before="200"/>
      </w:pPr>
      <w:r>
        <w:rPr>
          <w:rFonts w:ascii="Calibri" w:cs="Calibri" w:eastAsia="Calibri" w:hAnsi="Calibri"/>
          <w:b/>
          <w:bCs/>
          <w:color w:val="0369A1"/>
          <w:sz w:val="24"/>
          <w:szCs w:val="24"/>
        </w:rPr>
        <w:t xml:space="preserve">C. Tujuan Tahunan Program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0"/>
          <w:szCs w:val="20"/>
        </w:rPr>
        <w:t xml:space="preserve">•  Membangun literasi digital dasar (file, shortcut, cloud tools).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0"/>
          <w:szCs w:val="20"/>
        </w:rPr>
        <w:t xml:space="preserve">•  Mengembangkan AI literacy &amp; prompt engineering yang bertanggung jawab.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0"/>
          <w:szCs w:val="20"/>
        </w:rPr>
        <w:t xml:space="preserve">•  Menguasai dasar web development (HTML, CSS, JS, JSON) dan deployment (GitHub Pages).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0"/>
          <w:szCs w:val="20"/>
        </w:rPr>
        <w:t xml:space="preserve">•  Menghasilkan portofolio website publik (minimal 3 karya per peserta didik).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0"/>
          <w:szCs w:val="20"/>
        </w:rPr>
        <w:t xml:space="preserve">•  Menumbuhkan soft skills: problem-solving, kemandirian, dan digital citizenship.</w:t>
      </w:r>
    </w:p>
    <w:p>
      <w:pPr>
        <w:pStyle w:val="Heading2"/>
        <w:spacing w:after="120" w:before="200"/>
      </w:pPr>
      <w:r>
        <w:rPr>
          <w:rFonts w:ascii="Calibri" w:cs="Calibri" w:eastAsia="Calibri" w:hAnsi="Calibri"/>
          <w:b/>
          <w:bCs/>
          <w:color w:val="0369A1"/>
          <w:sz w:val="24"/>
          <w:szCs w:val="24"/>
        </w:rPr>
        <w:t xml:space="preserve">D. Distribusi Materi per Semester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800"/>
        <w:gridCol w:w="3760"/>
      </w:tblGrid>
      <w:tr>
        <w:tc>
          <w:tcPr>
            <w:tcW w:type="dxa" w:w="180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0F172A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Semester</w:t>
            </w:r>
          </w:p>
        </w:tc>
        <w:tc>
          <w:tcPr>
            <w:tcW w:type="dxa" w:w="380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0F172A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Fokus Materi</w:t>
            </w:r>
          </w:p>
        </w:tc>
        <w:tc>
          <w:tcPr>
            <w:tcW w:type="dxa" w:w="376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0F172A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Produk / Asesmen</w:t>
            </w:r>
          </w:p>
        </w:tc>
      </w:tr>
      <w:tr>
        <w:tc>
          <w:tcPr>
            <w:tcW w:type="dxa" w:w="180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0F2FE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Ganjil (Sem 1)</w:t>
            </w:r>
          </w:p>
        </w:tc>
        <w:tc>
          <w:tcPr>
            <w:tcW w:type="dxa" w:w="380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8"/>
                <w:szCs w:val="18"/>
              </w:rPr>
              <w:t xml:space="preserve">Fondasi digital, cloud tools, AI dasar, media production, pengenalan web &amp; GitHub</w:t>
            </w:r>
          </w:p>
        </w:tc>
        <w:tc>
          <w:tcPr>
            <w:tcW w:type="dxa" w:w="376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8"/>
                <w:szCs w:val="18"/>
              </w:rPr>
              <w:t xml:space="preserve">Refleksi belajar, akun kreator, 1–2 website awal (deploy GitHub Pages)</w:t>
            </w:r>
          </w:p>
        </w:tc>
      </w:tr>
      <w:tr>
        <w:tc>
          <w:tcPr>
            <w:tcW w:type="dxa" w:w="180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E0F2FE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Genap (Sem 2)</w:t>
            </w:r>
          </w:p>
        </w:tc>
        <w:tc>
          <w:tcPr>
            <w:tcW w:type="dxa" w:w="380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8"/>
                <w:szCs w:val="18"/>
              </w:rPr>
              <w:t xml:space="preserve">Web apps lanjutan, game/interaktif, display masjid, e-commerce, portfolio &amp; showcase</w:t>
            </w:r>
          </w:p>
        </w:tc>
        <w:tc>
          <w:tcPr>
            <w:tcW w:type="dxa" w:w="376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8"/>
                <w:szCs w:val="18"/>
              </w:rPr>
              <w:t xml:space="preserve">Portofolio 3–8 website publik, gallery showcase, refleksi capaian skill</w:t>
            </w:r>
          </w:p>
        </w:tc>
      </w:tr>
    </w:tbl>
    <w:p>
      <w:pPr>
        <w:pStyle w:val="Heading2"/>
        <w:spacing w:after="120" w:before="200"/>
      </w:pPr>
      <w:r>
        <w:rPr>
          <w:rFonts w:ascii="Calibri" w:cs="Calibri" w:eastAsia="Calibri" w:hAnsi="Calibri"/>
          <w:b/>
          <w:bCs/>
          <w:color w:val="0369A1"/>
          <w:sz w:val="24"/>
          <w:szCs w:val="24"/>
        </w:rPr>
        <w:t xml:space="preserve">E. Domain Kompetensi (Skills Map)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0"/>
          <w:szCs w:val="20"/>
        </w:rPr>
        <w:t xml:space="preserve">•  D1 Literasi Digital Dasar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0"/>
          <w:szCs w:val="20"/>
        </w:rPr>
        <w:t xml:space="preserve">•  D2 Kolaborasi &amp; Produktivitas Cloud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0"/>
          <w:szCs w:val="20"/>
        </w:rPr>
        <w:t xml:space="preserve">•  D3 AI Literacy &amp; Prompt Engineering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0"/>
          <w:szCs w:val="20"/>
        </w:rPr>
        <w:t xml:space="preserve">•  D4 Konten Digital &amp; Media Production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0"/>
          <w:szCs w:val="20"/>
        </w:rPr>
        <w:t xml:space="preserve">•  D5 Web Development &amp; Deployment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0"/>
          <w:szCs w:val="20"/>
        </w:rPr>
        <w:t xml:space="preserve">•  D6 Product Thinking &amp; Digital Products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0"/>
          <w:szCs w:val="20"/>
        </w:rPr>
        <w:t xml:space="preserve">•  D7 Soft Skills &amp; Digital Citizenship</w:t>
      </w:r>
    </w:p>
    <w:p>
      <w:pPr>
        <w:pStyle w:val="Heading2"/>
        <w:spacing w:after="120" w:before="200"/>
      </w:pPr>
      <w:r>
        <w:rPr>
          <w:rFonts w:ascii="Calibri" w:cs="Calibri" w:eastAsia="Calibri" w:hAnsi="Calibri"/>
          <w:b/>
          <w:bCs/>
          <w:color w:val="0369A1"/>
          <w:sz w:val="24"/>
          <w:szCs w:val="24"/>
        </w:rPr>
        <w:t xml:space="preserve">F. Catatan Fleksibilitas Pelaksanaan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0F172A"/>
          <w:sz w:val="20"/>
          <w:szCs w:val="20"/>
        </w:rPr>
        <w:t xml:space="preserve">Dokumen ini bersifat living document. Pelaksanaan dapat dimajukan, ditunda, atau dimodifikasi menyesuaikan kalender akademik (libur, kegiatan sekolah) dan kesiapan peserta didik, tanpa mengurangi capaian pembelajaran inti.</w:t>
      </w:r>
    </w:p>
    <w:p>
      <w:pPr>
        <w:pStyle w:val="Heading2"/>
        <w:spacing w:after="120" w:before="200"/>
      </w:pPr>
      <w:r>
        <w:rPr>
          <w:rFonts w:ascii="Calibri" w:cs="Calibri" w:eastAsia="Calibri" w:hAnsi="Calibri"/>
          <w:b/>
          <w:bCs/>
          <w:color w:val="0369A1"/>
          <w:sz w:val="24"/>
          <w:szCs w:val="24"/>
        </w:rPr>
        <w:t xml:space="preserve">G. Pengesahan</w:t>
      </w:r>
    </w:p>
    <w:p>
      <w:pPr>
        <w:spacing w:after="20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2"/>
          <w:szCs w:val="22"/>
        </w:rP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Mengetahui,
Wakasek Kurikulum</w:t>
            </w:r>
          </w:p>
        </w:tc>
        <w:tc>
          <w:tcPr>
            <w:tcW w:type="dxa" w:w="4680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Guru Mata Pelajaran
Teddy Mulyana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64748B"/>
        <w:sz w:val="16"/>
        <w:szCs w:val="16"/>
      </w:rPr>
      <w:t xml:space="preserve">Hal. </w:t>
    </w:r>
    <w:r>
      <w:rPr>
        <w:rFonts w:ascii="Calibri" w:cs="Calibri" w:eastAsia="Calibri" w:hAnsi="Calibri"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Calibri" w:cs="Calibri" w:eastAsia="Calibri" w:hAnsi="Calibri"/>
        <w:color w:val="64748B"/>
        <w:sz w:val="16"/>
        <w:szCs w:val="16"/>
      </w:rPr>
      <w:t xml:space="preserve">SMA PMA  ·  Informatika / Web Design &amp; Digital Literacy  ·  2025/2026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2026-09-08T04:41:25.505Z</dcterms:created>
  <dcterms:modified xsi:type="dcterms:W3CDTF">2026-09-08T04:41:25.505Z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