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172A"/>
          <w:sz w:val="32"/>
          <w:szCs w:val="32"/>
        </w:rPr>
        <w:t xml:space="preserve">PROGRAM SEMESTER (PROSEM)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2"/>
          <w:szCs w:val="22"/>
        </w:rPr>
        <w:t xml:space="preserve">Informatika / Web Design &amp; Digital Literacy  ·  SMA PMA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Tahun Pelajaran 2025/2026  ·  Pelaksanaan fleksibel menyesuaikan kalender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A. Identitas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Guru: Teddy Mulyana  |  Fase: Fase E/F (SMA)  |  Kelas: 51 &amp; 52 (setara XI)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B. Alur Minggu Pembelajaran (ATP Operasional)</w:t>
      </w:r>
    </w:p>
    <w:p>
      <w:pPr>
        <w:spacing w:after="16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F172A"/>
          <w:sz w:val="18"/>
          <w:szCs w:val="18"/>
        </w:rPr>
        <w:t xml:space="preserve">Nomor minggu bersifat urutan logis, bukan tanggal kalender kaku. Guru dapat menggeser, menggabungkan, atau memecah minggu sesuai kondisi lapangan.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3400"/>
        <w:gridCol w:w="3580"/>
      </w:tblGrid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0F172A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Mg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0F172A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Tema / Topik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0F172A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Materi Pokok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0F172A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Indikator / Produk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Orientasi &amp; Literasi Digital Dasar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File/folder, shortcut, browser, Classroom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Checklist praktik + refleksi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Cloud Productivity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Google Docs, Sheets, kolaborasi, link management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Dokumen kolaboratif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AI Literacy I — Prompt Dasar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ChatGPT/Gemini: prompt efektif, riset &amp; ideasi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Kumpulan prompt + hasil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Media Production I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Canva, CapCut dasar, export aset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Desain/video singkat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Media Production II &amp; Publikasi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Dailymotion, profil kreator, metadata konten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Video terpublikasi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AI Visual &amp; Branding Diri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AI image (headshot, style), etika AI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Aset visual profil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Pengenalan Web &amp; HTML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Struktur HTML, semantik, halaman statis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Halaman HTML pertama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CSS &amp; Tampilan Modern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Layout, warna, tipografi, komponen UI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Halaman bertema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JavaScript Dasar &amp; Interaksi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Event, DOM, logika sederhana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Halaman interaktif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GitHub &amp; GitHub Pages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Repo, deploy, URL publik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Website live .github.io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Project: Web Kreatif / Brand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Landing page produk/jasa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1 website publik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Project: Display Masjid/Mushola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Jadwal sholat, UI ibadah, responsif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1 website publik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Project: Game / Edukasi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Catur/puzzle/simulasi atau app belajar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1 website publik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JSON &amp; Data-Driven App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Pisah data–tampilan, gallery/katalog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App berbasis JSON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AI-Assisted Web Build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Prompt untuk generate/struktur web, review kritis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Iterasi karya AI + manual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Portfolio Polish &amp; Multi-Project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Perbaikan UI/UX, 3–7 karya per siswa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Portofolio multi-URL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Showcase &amp; Refleksi Capaian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Presentasi karya, What We Have Learnt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Refleksi tertulis + gallery</w:t>
            </w:r>
          </w:p>
        </w:tc>
      </w:tr>
      <w:tr>
        <w:tc>
          <w:tcPr>
            <w:tcW w:type="dxa" w:w="7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Cadangan / Remedial / Enrichment</w:t>
            </w:r>
          </w:p>
        </w:tc>
        <w:tc>
          <w:tcPr>
            <w:tcW w:type="dxa" w:w="34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Percepatan siswa cepat; pendampingan siswa yang tertinggal</w:t>
            </w:r>
          </w:p>
        </w:tc>
        <w:tc>
          <w:tcPr>
            <w:tcW w:type="dxa" w:w="35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5"/>
                <w:szCs w:val="15"/>
              </w:rPr>
              <w:t xml:space="preserve">Penyesuaian individual</w:t>
            </w:r>
          </w:p>
        </w:tc>
      </w:tr>
    </w:tbl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C. Asesmen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Asesmen formatif: observasi praktik, checklist skill, umpan balik prompt/kode.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Asesmen sumatif: website ter-deploy + portofolio multi-karya + refleksi tertulis.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Asesmen autentik: gallery publik (Silverhawk Web Gallery) sebagai bukti belajar.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D. Diferensiasi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Siswa cepat: enrichment (fitur lanjutan, multi-page, API sederhana).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Siswa perlu dukungan: scaffolding template, pair programming, perpanjangan waktu deploy.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Manuver on-the-fly diperbolehkan selama CP inti tetap tercapai.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E. Catatan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F172A"/>
          <w:sz w:val="18"/>
          <w:szCs w:val="18"/>
        </w:rPr>
        <w:t xml:space="preserve">Dokumen ini bersifat living document. Pelaksanaan dapat dimajukan, ditunda, atau dimodifikasi menyesuaikan kalender akademik (libur, kegiatan sekolah) dan kesiapan peserta didik, tanpa mengurangi capaian pembelajaran inti.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4748B"/>
        <w:sz w:val="16"/>
        <w:szCs w:val="16"/>
      </w:rPr>
      <w:t xml:space="preserve">Hal.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64748B"/>
        <w:sz w:val="16"/>
        <w:szCs w:val="16"/>
      </w:rPr>
      <w:t xml:space="preserve">SMA PMA  ·  Informatika / Web Design &amp; Digital Literacy  ·  2025/2026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2026-09-08T04:41:25.515Z</dcterms:created>
  <dcterms:modified xsi:type="dcterms:W3CDTF">2026-09-08T04:41:25.515Z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