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15c8664e9d9480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9323440cbcc4694"/>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CODING STANDARDS  ·  DOCUMENT 07</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28"/>
        </w:rPr>
        <w:t>Engineering Rules &amp; Coding Standards</w:t>
      </w:r>
    </w:p>
    <w:p>
      <w:pPr>
        <w:spacing w:after="80"/>
        <w:ind w:left="900"/>
      </w:pPr>
      <w:r>
        <w:rPr>
          <w:color w:val="A79C90"/>
          <w:sz w:val="20"/>
        </w:rPr>
        <w:t>The Engineering Bible  ·  20 Rulebooks  ·  One Consistent Codebase</w:t>
      </w:r>
    </w:p>
    <w:p>
      <w:pPr>
        <w:ind w:left="900"/>
      </w:pPr>
      <w:r>
        <w:rPr>
          <w:color w:val="A79C90"/>
          <w:sz w:val="20"/>
        </w:rPr>
        <w:t>Version 1.0  ·  Companion to Documents 01–06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How to Use This Document</w:t>
      </w:r>
      <w:r>
        <w:tab/>
      </w:r>
      <w:r>
        <w:t>3</w:t>
      </w:r>
    </w:p>
    <w:p>
      <w:pPr>
        <w:pStyle w:val="TOC1"/>
      </w:pPr>
      <w:r>
        <w:t>Part 1. Project Folder Structure</w:t>
      </w:r>
      <w:r>
        <w:tab/>
      </w:r>
      <w:r>
        <w:t>6</w:t>
      </w:r>
    </w:p>
    <w:p>
      <w:pPr>
        <w:pStyle w:val="TOC1"/>
      </w:pPr>
      <w:r>
        <w:t>Part 2. React Architecture</w:t>
      </w:r>
      <w:r>
        <w:tab/>
      </w:r>
      <w:r>
        <w:t>9</w:t>
      </w:r>
    </w:p>
    <w:p>
      <w:pPr>
        <w:pStyle w:val="TOC1"/>
      </w:pPr>
      <w:r>
        <w:t>Part 3. TypeScript Rules</w:t>
      </w:r>
      <w:r>
        <w:tab/>
      </w:r>
      <w:r>
        <w:t>12</w:t>
      </w:r>
    </w:p>
    <w:p>
      <w:pPr>
        <w:pStyle w:val="TOC1"/>
      </w:pPr>
      <w:r>
        <w:t>Part 4. State Management</w:t>
      </w:r>
      <w:r>
        <w:tab/>
      </w:r>
      <w:r>
        <w:t>15</w:t>
      </w:r>
    </w:p>
    <w:p>
      <w:pPr>
        <w:pStyle w:val="TOC1"/>
      </w:pPr>
      <w:r>
        <w:t>Part 5. API Layer</w:t>
      </w:r>
      <w:r>
        <w:tab/>
      </w:r>
      <w:r>
        <w:t>18</w:t>
      </w:r>
    </w:p>
    <w:p>
      <w:pPr>
        <w:pStyle w:val="TOC1"/>
      </w:pPr>
      <w:r>
        <w:t>Part 6. Forms</w:t>
      </w:r>
      <w:r>
        <w:tab/>
      </w:r>
      <w:r>
        <w:t>21</w:t>
      </w:r>
    </w:p>
    <w:p>
      <w:pPr>
        <w:pStyle w:val="TOC1"/>
      </w:pPr>
      <w:r>
        <w:t>Part 7. Tailwind Rules</w:t>
      </w:r>
      <w:r>
        <w:tab/>
      </w:r>
      <w:r>
        <w:t>24</w:t>
      </w:r>
    </w:p>
    <w:p>
      <w:pPr>
        <w:pStyle w:val="TOC1"/>
      </w:pPr>
      <w:r>
        <w:t>Part 8. Component Library</w:t>
      </w:r>
      <w:r>
        <w:tab/>
      </w:r>
      <w:r>
        <w:t>27</w:t>
      </w:r>
    </w:p>
    <w:p>
      <w:pPr>
        <w:pStyle w:val="TOC1"/>
      </w:pPr>
      <w:r>
        <w:t>Part 9. Backend Architecture</w:t>
      </w:r>
      <w:r>
        <w:tab/>
      </w:r>
      <w:r>
        <w:t>30</w:t>
      </w:r>
    </w:p>
    <w:p>
      <w:pPr>
        <w:pStyle w:val="TOC1"/>
      </w:pPr>
      <w:r>
        <w:t>Part 10. Prisma Rules</w:t>
      </w:r>
      <w:r>
        <w:tab/>
      </w:r>
      <w:r>
        <w:t>33</w:t>
      </w:r>
    </w:p>
    <w:p>
      <w:pPr>
        <w:pStyle w:val="TOC1"/>
      </w:pPr>
      <w:r>
        <w:t>Part 11. Redis Rules</w:t>
      </w:r>
      <w:r>
        <w:tab/>
      </w:r>
      <w:r>
        <w:t>36</w:t>
      </w:r>
    </w:p>
    <w:p>
      <w:pPr>
        <w:pStyle w:val="TOC1"/>
      </w:pPr>
      <w:r>
        <w:t>Part 12. Authentication Rules</w:t>
      </w:r>
      <w:r>
        <w:tab/>
      </w:r>
      <w:r>
        <w:t>39</w:t>
      </w:r>
    </w:p>
    <w:p>
      <w:pPr>
        <w:pStyle w:val="TOC1"/>
      </w:pPr>
      <w:r>
        <w:t>Part 13. Error Handling</w:t>
      </w:r>
      <w:r>
        <w:tab/>
      </w:r>
      <w:r>
        <w:t>42</w:t>
      </w:r>
    </w:p>
    <w:p>
      <w:pPr>
        <w:pStyle w:val="TOC1"/>
      </w:pPr>
      <w:r>
        <w:t>Part 14. Performance Rules</w:t>
      </w:r>
      <w:r>
        <w:tab/>
      </w:r>
      <w:r>
        <w:t>45</w:t>
      </w:r>
    </w:p>
    <w:p>
      <w:pPr>
        <w:pStyle w:val="TOC1"/>
      </w:pPr>
      <w:r>
        <w:t>Part 15. Accessibility Rules</w:t>
      </w:r>
      <w:r>
        <w:tab/>
      </w:r>
      <w:r>
        <w:t>48</w:t>
      </w:r>
    </w:p>
    <w:p>
      <w:pPr>
        <w:pStyle w:val="TOC1"/>
      </w:pPr>
      <w:r>
        <w:t>Part 16. Testing Strategy</w:t>
      </w:r>
      <w:r>
        <w:tab/>
      </w:r>
      <w:r>
        <w:t>51</w:t>
      </w:r>
    </w:p>
    <w:p>
      <w:pPr>
        <w:pStyle w:val="TOC1"/>
      </w:pPr>
      <w:r>
        <w:t>Part 17. Git Workflow</w:t>
      </w:r>
      <w:r>
        <w:tab/>
      </w:r>
      <w:r>
        <w:t>54</w:t>
      </w:r>
    </w:p>
    <w:p>
      <w:pPr>
        <w:pStyle w:val="TOC1"/>
      </w:pPr>
      <w:r>
        <w:t>Part 18. Code Review Checklist</w:t>
      </w:r>
      <w:r>
        <w:tab/>
      </w:r>
      <w:r>
        <w:t>57</w:t>
      </w:r>
    </w:p>
    <w:p>
      <w:pPr>
        <w:pStyle w:val="TOC1"/>
      </w:pPr>
      <w:r>
        <w:t>Part 19. Definition of Ready &amp; Definition of Done</w:t>
      </w:r>
      <w:r>
        <w:tab/>
      </w:r>
      <w:r>
        <w:t>60</w:t>
      </w:r>
    </w:p>
    <w:p>
      <w:pPr>
        <w:pStyle w:val="TOC1"/>
      </w:pPr>
      <w:r>
        <w:t>Part 20. Engineering Best Practices</w:t>
      </w:r>
      <w:r>
        <w:tab/>
      </w:r>
      <w:r>
        <w:t>63</w:t>
      </w:r>
    </w:p>
    <w:p>
      <w:r>
        <w:fldChar w:fldCharType="end"/>
      </w:r>
    </w:p>
    <w:p>
      <w:pPr>
        <w:sectPr>
          <w:type w:val="nextPage"/>
          <w:pgSz w:w="11906" w:h="16838"/>
          <w:pgMar w:top="1800" w:right="1440" w:bottom="1440" w:left="1440" w:header="720" w:footer="720"/>
        </w:sectPr>
      </w:pPr>
    </w:p>
    <w:p>
      <w:pPr>
        <w:pStyle w:val="Heading1"/>
      </w:pPr>
      <w:r>
        <w:t>How to Use This Document</w:t>
      </w:r>
      <w:bookmarkStart w:name="_Sec1" w:id="1"/>
      <w:bookmarkEnd w:id="1"/>
    </w:p>
    <w:p>
      <w:r>
        <w:t>This is the engineering bible of the Transportation Booking Platform — the single coding standard every engineer, reviewer, and AI coding assistant follows for the life of the project. It is derived exclusively from Documents 01–06 (Architecture, PRD, Database Design, API Specification, Design System, Development Roadmap) and contains no new product decisions: it translates those contracts into enforceable rules. Where this document and an earlier document disagree, the earlier document is the contract and this document is wrong — file the correction and fix here, never in the contract.</w:t>
      </w:r>
    </w:p>
    <w:p>
      <w:r>
        <w:t>Every rule carries a stable ID used in pull-request traceability, lint configuration names, and code-review comments: FS-xx (folder structure), FE-xx (React), TS-xx (TypeScript), SM-xx (state management), API-xx (API layer), FRM-xx (forms), TW-xx (Tailwind), CMP-xx (components), BE-xx (backend), PRS-xx (Prisma), RDS-xx (Redis), SEC-xx (authentication/security), ERR-xx (error handling), PERF-xx (performance), A11Y-xx (accessibility), TST-xx (testing), GIT-xx (git workflow), CR-xx (code review), DoR/DoD-xx (readiness/done), BP-xx (best practices).</w:t>
      </w:r>
    </w:p>
    <w:p>
      <w:r>
        <w:t>Each rule is written to be enforceable: wherever a rule can be automated, it is — the rule names the lint rule, CI gate, or test that enforces it; where it cannot be automated, it names the checklist (Part 18) that carries it. Rules marked MUST are merge blockers; rules marked SHOULD require a written justification in the PR description when violated; rules marked MAY are recommendations. No engineer makes architectural decisions in isolation — deviations from this document require an architecture decision record (ADR) accepted by the Principal Architect.</w:t>
      </w:r>
    </w:p>
    <w:p>
      <w:r>
        <w:t>Stack reference — Frontend: React 19, TypeScript, Vite, Tailwind CSS, shadcn/ui, React Router, TanStack Query, React Hook Form, Zod. Backend: Node.js, Express, TypeScript, Prisma, PostgreSQL, Redis. Infrastructure: Docker, GitHub, GitHub Actions, Cloudflare, NGINX, Paymob.</w:t>
      </w:r>
    </w:p>
    <w:p>
      <w:pPr>
        <w:pStyle w:val="Heading1"/>
      </w:pPr>
      <w:r>
        <w:t>Part 1. Project Folder Structure</w:t>
      </w:r>
      <w:bookmarkStart w:name="_Sec2" w:id="2"/>
      <w:bookmarkEnd w:id="2"/>
    </w:p>
    <w:p>
      <w:r>
        <w:t>One pnpm-workspace monorepo (per Doc 01 §3) hosts both applications and all shared packages. The layout below is the entire allowed hierarchy — engineers create files only inside it, and CI enforces module boundaries with an import-graph linter (FS-06).</w:t>
      </w:r>
    </w:p>
    <w:p>
      <w:pPr>
        <w:pStyle w:val="Heading2"/>
      </w:pPr>
      <w:r>
        <w:t>1.1 Complete Folder Hierarchy</w:t>
      </w:r>
    </w:p>
    <w:p>
      <w:pPr>
        <w:shd w:val="clear" w:fill="F4F0E9"/>
        <w:spacing w:before="0" w:after="0" w:line="240" w:lineRule="auto"/>
        <w:ind w:left="220" w:right="220"/>
      </w:pPr>
      <w:r>
        <w:rPr>
          <w:rFonts w:ascii="Consolas" w:hAnsi="Consolas"/>
          <w:color w:val="3A332C"/>
          <w:sz w:val="17"/>
        </w:rPr>
        <w:t xml:space="preserve">tbp/                                    # monorepo root</w:t>
      </w:r>
    </w:p>
    <w:p>
      <w:pPr>
        <w:shd w:val="clear" w:fill="F4F0E9"/>
        <w:spacing w:before="0" w:after="0" w:line="240" w:lineRule="auto"/>
        <w:ind w:left="220" w:right="220"/>
      </w:pPr>
      <w:r>
        <w:rPr>
          <w:rFonts w:ascii="Consolas" w:hAnsi="Consolas"/>
          <w:color w:val="3A332C"/>
          <w:sz w:val="17"/>
        </w:rPr>
        <w:t xml:space="preserve">├── apps/</w:t>
      </w:r>
    </w:p>
    <w:p>
      <w:pPr>
        <w:shd w:val="clear" w:fill="F4F0E9"/>
        <w:spacing w:before="0" w:after="0" w:line="240" w:lineRule="auto"/>
        <w:ind w:left="220" w:right="220"/>
      </w:pPr>
      <w:r>
        <w:rPr>
          <w:rFonts w:ascii="Consolas" w:hAnsi="Consolas"/>
          <w:color w:val="3A332C"/>
          <w:sz w:val="17"/>
        </w:rPr>
        <w:t xml:space="preserve">│   ├── web/                            # React 19 + Vite (customer + driver + admin shells)</w:t>
      </w:r>
    </w:p>
    <w:p>
      <w:pPr>
        <w:shd w:val="clear" w:fill="F4F0E9"/>
        <w:spacing w:before="0" w:after="0" w:line="240" w:lineRule="auto"/>
        <w:ind w:left="220" w:right="220"/>
      </w:pPr>
      <w:r>
        <w:rPr>
          <w:rFonts w:ascii="Consolas" w:hAnsi="Consolas"/>
          <w:color w:val="3A332C"/>
          <w:sz w:val="17"/>
        </w:rPr>
        <w:t xml:space="preserve">│   │   ├── src/</w:t>
      </w:r>
    </w:p>
    <w:p>
      <w:pPr>
        <w:shd w:val="clear" w:fill="F4F0E9"/>
        <w:spacing w:before="0" w:after="0" w:line="240" w:lineRule="auto"/>
        <w:ind w:left="220" w:right="220"/>
      </w:pPr>
      <w:r>
        <w:rPr>
          <w:rFonts w:ascii="Consolas" w:hAnsi="Consolas"/>
          <w:color w:val="3A332C"/>
          <w:sz w:val="17"/>
        </w:rPr>
        <w:t xml:space="preserve">│   │   │   ├── app/                    # router, providers, layouts, entry (main.tsx)</w:t>
      </w:r>
    </w:p>
    <w:p>
      <w:pPr>
        <w:shd w:val="clear" w:fill="F4F0E9"/>
        <w:spacing w:before="0" w:after="0" w:line="240" w:lineRule="auto"/>
        <w:ind w:left="220" w:right="220"/>
      </w:pPr>
      <w:r>
        <w:rPr>
          <w:rFonts w:ascii="Consolas" w:hAnsi="Consolas"/>
          <w:color w:val="3A332C"/>
          <w:sz w:val="17"/>
        </w:rPr>
        <w:t xml:space="preserve">│   │   │   ├── routes/                 # one folder per route group</w:t>
      </w:r>
    </w:p>
    <w:p>
      <w:pPr>
        <w:shd w:val="clear" w:fill="F4F0E9"/>
        <w:spacing w:before="0" w:after="0" w:line="240" w:lineRule="auto"/>
        <w:ind w:left="220" w:right="220"/>
      </w:pPr>
      <w:r>
        <w:rPr>
          <w:rFonts w:ascii="Consolas" w:hAnsi="Consolas"/>
          <w:color w:val="3A332C"/>
          <w:sz w:val="17"/>
        </w:rPr>
        <w:t xml:space="preserve">│   │   │   │   ├── (public)/           # landing, search, trips  → S-01…S-03</w:t>
      </w:r>
    </w:p>
    <w:p>
      <w:pPr>
        <w:shd w:val="clear" w:fill="F4F0E9"/>
        <w:spacing w:before="0" w:after="0" w:line="240" w:lineRule="auto"/>
        <w:ind w:left="220" w:right="220"/>
      </w:pPr>
      <w:r>
        <w:rPr>
          <w:rFonts w:ascii="Consolas" w:hAnsi="Consolas"/>
          <w:color w:val="3A332C"/>
          <w:sz w:val="17"/>
        </w:rPr>
        <w:t xml:space="preserve">│   │   │   │   ├── (booking)/          # seats, checkout, payment, confirmation</w:t>
      </w:r>
    </w:p>
    <w:p>
      <w:pPr>
        <w:shd w:val="clear" w:fill="F4F0E9"/>
        <w:spacing w:before="0" w:after="0" w:line="240" w:lineRule="auto"/>
        <w:ind w:left="220" w:right="220"/>
      </w:pPr>
      <w:r>
        <w:rPr>
          <w:rFonts w:ascii="Consolas" w:hAnsi="Consolas"/>
          <w:color w:val="3A332C"/>
          <w:sz w:val="17"/>
        </w:rPr>
        <w:t xml:space="preserve">│   │   │   │   ├── (account)/          # my-trips, wallet, profile, notifications, support</w:t>
      </w:r>
    </w:p>
    <w:p>
      <w:pPr>
        <w:shd w:val="clear" w:fill="F4F0E9"/>
        <w:spacing w:before="0" w:after="0" w:line="240" w:lineRule="auto"/>
        <w:ind w:left="220" w:right="220"/>
      </w:pPr>
      <w:r>
        <w:rPr>
          <w:rFonts w:ascii="Consolas" w:hAnsi="Consolas"/>
          <w:color w:val="3A332C"/>
          <w:sz w:val="17"/>
        </w:rPr>
        <w:t xml:space="preserve">│   │   │   │   ├── driver/             # D-01…D-05 screens</w:t>
      </w:r>
    </w:p>
    <w:p>
      <w:pPr>
        <w:shd w:val="clear" w:fill="F4F0E9"/>
        <w:spacing w:before="0" w:after="0" w:line="240" w:lineRule="auto"/>
        <w:ind w:left="220" w:right="220"/>
      </w:pPr>
      <w:r>
        <w:rPr>
          <w:rFonts w:ascii="Consolas" w:hAnsi="Consolas"/>
          <w:color w:val="3A332C"/>
          <w:sz w:val="17"/>
        </w:rPr>
        <w:t xml:space="preserve">│   │   │   │   └── admin/              # A-01…A-20 screens</w:t>
      </w:r>
    </w:p>
    <w:p>
      <w:pPr>
        <w:shd w:val="clear" w:fill="F4F0E9"/>
        <w:spacing w:before="0" w:after="0" w:line="240" w:lineRule="auto"/>
        <w:ind w:left="220" w:right="220"/>
      </w:pPr>
      <w:r>
        <w:rPr>
          <w:rFonts w:ascii="Consolas" w:hAnsi="Consolas"/>
          <w:color w:val="3A332C"/>
          <w:sz w:val="17"/>
        </w:rPr>
        <w:t xml:space="preserve">│   │   │   ├── features/               # feature modules (business logic)</w:t>
      </w:r>
    </w:p>
    <w:p>
      <w:pPr>
        <w:shd w:val="clear" w:fill="F4F0E9"/>
        <w:spacing w:before="0" w:after="0" w:line="240" w:lineRule="auto"/>
        <w:ind w:left="220" w:right="220"/>
      </w:pPr>
      <w:r>
        <w:rPr>
          <w:rFonts w:ascii="Consolas" w:hAnsi="Consolas"/>
          <w:color w:val="3A332C"/>
          <w:sz w:val="17"/>
        </w:rPr>
        <w:t xml:space="preserve">│   │   │   │   ├── auth/  search/  seats/  booking/  payments/</w:t>
      </w:r>
    </w:p>
    <w:p>
      <w:pPr>
        <w:shd w:val="clear" w:fill="F4F0E9"/>
        <w:spacing w:before="0" w:after="0" w:line="240" w:lineRule="auto"/>
        <w:ind w:left="220" w:right="220"/>
      </w:pPr>
      <w:r>
        <w:rPr>
          <w:rFonts w:ascii="Consolas" w:hAnsi="Consolas"/>
          <w:color w:val="3A332C"/>
          <w:sz w:val="17"/>
        </w:rPr>
        <w:t xml:space="preserve">│   │   │   │   ├── wallet/  notifications/  driver-ops/  admin-*/</w:t>
      </w:r>
    </w:p>
    <w:p>
      <w:pPr>
        <w:shd w:val="clear" w:fill="F4F0E9"/>
        <w:spacing w:before="0" w:after="0" w:line="240" w:lineRule="auto"/>
        <w:ind w:left="220" w:right="220"/>
      </w:pPr>
      <w:r>
        <w:rPr>
          <w:rFonts w:ascii="Consolas" w:hAnsi="Consolas"/>
          <w:color w:val="3A332C"/>
          <w:sz w:val="17"/>
        </w:rPr>
        <w:t xml:space="preserve">│   │   │   ├── components/             # app-wide composite components</w:t>
      </w:r>
    </w:p>
    <w:p>
      <w:pPr>
        <w:shd w:val="clear" w:fill="F4F0E9"/>
        <w:spacing w:before="0" w:after="0" w:line="240" w:lineRule="auto"/>
        <w:ind w:left="220" w:right="220"/>
      </w:pPr>
      <w:r>
        <w:rPr>
          <w:rFonts w:ascii="Consolas" w:hAnsi="Consolas"/>
          <w:color w:val="3A332C"/>
          <w:sz w:val="17"/>
        </w:rPr>
        <w:t xml:space="preserve">│   │   │   ├── ui/                     # shadcn/ui primitives (generated, then owned)</w:t>
      </w:r>
    </w:p>
    <w:p>
      <w:pPr>
        <w:shd w:val="clear" w:fill="F4F0E9"/>
        <w:spacing w:before="0" w:after="0" w:line="240" w:lineRule="auto"/>
        <w:ind w:left="220" w:right="220"/>
      </w:pPr>
      <w:r>
        <w:rPr>
          <w:rFonts w:ascii="Consolas" w:hAnsi="Consolas"/>
          <w:color w:val="3A332C"/>
          <w:sz w:val="17"/>
        </w:rPr>
        <w:t xml:space="preserve">│   │   │   ├── lib/                    # api client, query client, formatters, i18n</w:t>
      </w:r>
    </w:p>
    <w:p>
      <w:pPr>
        <w:shd w:val="clear" w:fill="F4F0E9"/>
        <w:spacing w:before="0" w:after="0" w:line="240" w:lineRule="auto"/>
        <w:ind w:left="220" w:right="220"/>
      </w:pPr>
      <w:r>
        <w:rPr>
          <w:rFonts w:ascii="Consolas" w:hAnsi="Consolas"/>
          <w:color w:val="3A332C"/>
          <w:sz w:val="17"/>
        </w:rPr>
        <w:t xml:space="preserve">│   │   │   ├── hooks/                  # cross-feature reusable hooks</w:t>
      </w:r>
    </w:p>
    <w:p>
      <w:pPr>
        <w:shd w:val="clear" w:fill="F4F0E9"/>
        <w:spacing w:before="0" w:after="0" w:line="240" w:lineRule="auto"/>
        <w:ind w:left="220" w:right="220"/>
      </w:pPr>
      <w:r>
        <w:rPr>
          <w:rFonts w:ascii="Consolas" w:hAnsi="Consolas"/>
          <w:color w:val="3A332C"/>
          <w:sz w:val="17"/>
        </w:rPr>
        <w:t xml:space="preserve">│   │   │   ├── styles/                 # globals.css, tokens.css (Doc 05 Part 12)</w:t>
      </w:r>
    </w:p>
    <w:p>
      <w:pPr>
        <w:shd w:val="clear" w:fill="F4F0E9"/>
        <w:spacing w:before="0" w:after="0" w:line="240" w:lineRule="auto"/>
        <w:ind w:left="220" w:right="220"/>
      </w:pPr>
      <w:r>
        <w:rPr>
          <w:rFonts w:ascii="Consolas" w:hAnsi="Consolas"/>
          <w:color w:val="3A332C"/>
          <w:sz w:val="17"/>
        </w:rPr>
        <w:t xml:space="preserve">│   │   │   └── assets/                 # static images, fonts, lottie</w:t>
      </w:r>
    </w:p>
    <w:p>
      <w:pPr>
        <w:shd w:val="clear" w:fill="F4F0E9"/>
        <w:spacing w:before="0" w:after="0" w:line="240" w:lineRule="auto"/>
        <w:ind w:left="220" w:right="220"/>
      </w:pPr>
      <w:r>
        <w:rPr>
          <w:rFonts w:ascii="Consolas" w:hAnsi="Consolas"/>
          <w:color w:val="3A332C"/>
          <w:sz w:val="17"/>
        </w:rPr>
        <w:t xml:space="preserve">│   │   ├── public/  tests/  index.html  vite.config.ts  tailwind.config.ts</w:t>
      </w:r>
    </w:p>
    <w:p>
      <w:pPr>
        <w:shd w:val="clear" w:fill="F4F0E9"/>
        <w:spacing w:before="0" w:after="0" w:line="240" w:lineRule="auto"/>
        <w:ind w:left="220" w:right="220"/>
      </w:pPr>
      <w:r>
        <w:rPr>
          <w:rFonts w:ascii="Consolas" w:hAnsi="Consolas"/>
          <w:color w:val="3A332C"/>
          <w:sz w:val="17"/>
        </w:rPr>
        <w:t xml:space="preserve">│   └── api/                            # Node + Express + Prisma backend</w:t>
      </w:r>
    </w:p>
    <w:p>
      <w:pPr>
        <w:shd w:val="clear" w:fill="F4F0E9"/>
        <w:spacing w:before="0" w:after="0" w:line="240" w:lineRule="auto"/>
        <w:ind w:left="220" w:right="220"/>
      </w:pPr>
      <w:r>
        <w:rPr>
          <w:rFonts w:ascii="Consolas" w:hAnsi="Consolas"/>
          <w:color w:val="3A332C"/>
          <w:sz w:val="17"/>
        </w:rPr>
        <w:t xml:space="preserve">│       ├── src/</w:t>
      </w:r>
    </w:p>
    <w:p>
      <w:pPr>
        <w:shd w:val="clear" w:fill="F4F0E9"/>
        <w:spacing w:before="0" w:after="0" w:line="240" w:lineRule="auto"/>
        <w:ind w:left="220" w:right="220"/>
      </w:pPr>
      <w:r>
        <w:rPr>
          <w:rFonts w:ascii="Consolas" w:hAnsi="Consolas"/>
          <w:color w:val="3A332C"/>
          <w:sz w:val="17"/>
        </w:rPr>
        <w:t xml:space="preserve">│       │   ├── modules/                # one folder per bounded context (Doc 01)</w:t>
      </w:r>
    </w:p>
    <w:p>
      <w:pPr>
        <w:shd w:val="clear" w:fill="F4F0E9"/>
        <w:spacing w:before="0" w:after="0" w:line="240" w:lineRule="auto"/>
        <w:ind w:left="220" w:right="220"/>
      </w:pPr>
      <w:r>
        <w:rPr>
          <w:rFonts w:ascii="Consolas" w:hAnsi="Consolas"/>
          <w:color w:val="3A332C"/>
          <w:sz w:val="17"/>
        </w:rPr>
        <w:t xml:space="preserve">│       │   │   ├── identity/  transportation/  booking/  payments/</w:t>
      </w:r>
    </w:p>
    <w:p>
      <w:pPr>
        <w:shd w:val="clear" w:fill="F4F0E9"/>
        <w:spacing w:before="0" w:after="0" w:line="240" w:lineRule="auto"/>
        <w:ind w:left="220" w:right="220"/>
      </w:pPr>
      <w:r>
        <w:rPr>
          <w:rFonts w:ascii="Consolas" w:hAnsi="Consolas"/>
          <w:color w:val="3A332C"/>
          <w:sz w:val="17"/>
        </w:rPr>
        <w:t xml:space="preserve">│       │   │   ├── notifications/  cms/  analytics/  system/</w:t>
      </w:r>
    </w:p>
    <w:p>
      <w:pPr>
        <w:shd w:val="clear" w:fill="F4F0E9"/>
        <w:spacing w:before="0" w:after="0" w:line="240" w:lineRule="auto"/>
        <w:ind w:left="220" w:right="220"/>
      </w:pPr>
      <w:r>
        <w:rPr>
          <w:rFonts w:ascii="Consolas" w:hAnsi="Consolas"/>
          <w:color w:val="3A332C"/>
          <w:sz w:val="17"/>
        </w:rPr>
        <w:t xml:space="preserve">│       │   ├── shared/                 # middleware, utils, errors, prisma client, redis</w:t>
      </w:r>
    </w:p>
    <w:p>
      <w:pPr>
        <w:shd w:val="clear" w:fill="F4F0E9"/>
        <w:spacing w:before="0" w:after="0" w:line="240" w:lineRule="auto"/>
        <w:ind w:left="220" w:right="220"/>
      </w:pPr>
      <w:r>
        <w:rPr>
          <w:rFonts w:ascii="Consolas" w:hAnsi="Consolas"/>
          <w:color w:val="3A332C"/>
          <w:sz w:val="17"/>
        </w:rPr>
        <w:t xml:space="preserve">│       │   ├── jobs/                   # outbox dispatcher, reconciliation, expiry sweepers</w:t>
      </w:r>
    </w:p>
    <w:p>
      <w:pPr>
        <w:shd w:val="clear" w:fill="F4F0E9"/>
        <w:spacing w:before="0" w:after="0" w:line="240" w:lineRule="auto"/>
        <w:ind w:left="220" w:right="220"/>
      </w:pPr>
      <w:r>
        <w:rPr>
          <w:rFonts w:ascii="Consolas" w:hAnsi="Consolas"/>
          <w:color w:val="3A332C"/>
          <w:sz w:val="17"/>
        </w:rPr>
        <w:t xml:space="preserve">│       │   ├── config/                 # env parsing + validation (zod), constants</w:t>
      </w:r>
    </w:p>
    <w:p>
      <w:pPr>
        <w:shd w:val="clear" w:fill="F4F0E9"/>
        <w:spacing w:before="0" w:after="0" w:line="240" w:lineRule="auto"/>
        <w:ind w:left="220" w:right="220"/>
      </w:pPr>
      <w:r>
        <w:rPr>
          <w:rFonts w:ascii="Consolas" w:hAnsi="Consolas"/>
          <w:color w:val="3A332C"/>
          <w:sz w:val="17"/>
        </w:rPr>
        <w:t xml:space="preserve">│       │   └── server.ts  app.ts</w:t>
      </w:r>
    </w:p>
    <w:p>
      <w:pPr>
        <w:shd w:val="clear" w:fill="F4F0E9"/>
        <w:spacing w:before="0" w:after="0" w:line="240" w:lineRule="auto"/>
        <w:ind w:left="220" w:right="220"/>
      </w:pPr>
      <w:r>
        <w:rPr>
          <w:rFonts w:ascii="Consolas" w:hAnsi="Consolas"/>
          <w:color w:val="3A332C"/>
          <w:sz w:val="17"/>
        </w:rPr>
        <w:t xml:space="preserve">│       ├── prisma/                     # schema.prisma, migrations/, seed/</w:t>
      </w:r>
    </w:p>
    <w:p>
      <w:pPr>
        <w:shd w:val="clear" w:fill="F4F0E9"/>
        <w:spacing w:before="0" w:after="0" w:line="240" w:lineRule="auto"/>
        <w:ind w:left="220" w:right="220"/>
      </w:pPr>
      <w:r>
        <w:rPr>
          <w:rFonts w:ascii="Consolas" w:hAnsi="Consolas"/>
          <w:color w:val="3A332C"/>
          <w:sz w:val="17"/>
        </w:rPr>
        <w:t xml:space="preserve">│       └── tests/</w:t>
      </w:r>
    </w:p>
    <w:p>
      <w:pPr>
        <w:shd w:val="clear" w:fill="F4F0E9"/>
        <w:spacing w:before="0" w:after="0" w:line="240" w:lineRule="auto"/>
        <w:ind w:left="220" w:right="220"/>
      </w:pPr>
      <w:r>
        <w:rPr>
          <w:rFonts w:ascii="Consolas" w:hAnsi="Consolas"/>
          <w:color w:val="3A332C"/>
          <w:sz w:val="17"/>
        </w:rPr>
        <w:t xml:space="preserve">├── packages/</w:t>
      </w:r>
    </w:p>
    <w:p>
      <w:pPr>
        <w:shd w:val="clear" w:fill="F4F0E9"/>
        <w:spacing w:before="0" w:after="0" w:line="240" w:lineRule="auto"/>
        <w:ind w:left="220" w:right="220"/>
      </w:pPr>
      <w:r>
        <w:rPr>
          <w:rFonts w:ascii="Consolas" w:hAnsi="Consolas"/>
          <w:color w:val="3A332C"/>
          <w:sz w:val="17"/>
        </w:rPr>
        <w:t xml:space="preserve">│   ├── contracts/                      # API DTOs, error codes, enums — Doc 04 as types</w:t>
      </w:r>
    </w:p>
    <w:p>
      <w:pPr>
        <w:shd w:val="clear" w:fill="F4F0E9"/>
        <w:spacing w:before="0" w:after="0" w:line="240" w:lineRule="auto"/>
        <w:ind w:left="220" w:right="220"/>
      </w:pPr>
      <w:r>
        <w:rPr>
          <w:rFonts w:ascii="Consolas" w:hAnsi="Consolas"/>
          <w:color w:val="3A332C"/>
          <w:sz w:val="17"/>
        </w:rPr>
        <w:t xml:space="preserve">│   ├── design-tokens/                  # Doc 05 Part 12 tokens (ts + css outputs)</w:t>
      </w:r>
    </w:p>
    <w:p>
      <w:pPr>
        <w:shd w:val="clear" w:fill="F4F0E9"/>
        <w:spacing w:before="0" w:after="0" w:line="240" w:lineRule="auto"/>
        <w:ind w:left="220" w:right="220"/>
      </w:pPr>
      <w:r>
        <w:rPr>
          <w:rFonts w:ascii="Consolas" w:hAnsi="Consolas"/>
          <w:color w:val="3A332C"/>
          <w:sz w:val="17"/>
        </w:rPr>
        <w:t xml:space="preserve">│   ├── validation/                     # zod schemas shared FE↔BE (V-xx rules)</w:t>
      </w:r>
    </w:p>
    <w:p>
      <w:pPr>
        <w:shd w:val="clear" w:fill="F4F0E9"/>
        <w:spacing w:before="0" w:after="0" w:line="240" w:lineRule="auto"/>
        <w:ind w:left="220" w:right="220"/>
      </w:pPr>
      <w:r>
        <w:rPr>
          <w:rFonts w:ascii="Consolas" w:hAnsi="Consolas"/>
          <w:color w:val="3A332C"/>
          <w:sz w:val="17"/>
        </w:rPr>
        <w:t xml:space="preserve">│   ├── config-eslint/  config-ts/      # shared tooling presets</w:t>
      </w:r>
    </w:p>
    <w:p>
      <w:pPr>
        <w:shd w:val="clear" w:fill="F4F0E9"/>
        <w:spacing w:before="0" w:after="0" w:line="240" w:lineRule="auto"/>
        <w:ind w:left="220" w:right="220"/>
      </w:pPr>
      <w:r>
        <w:rPr>
          <w:rFonts w:ascii="Consolas" w:hAnsi="Consolas"/>
          <w:color w:val="3A332C"/>
          <w:sz w:val="17"/>
        </w:rPr>
        <w:t xml:space="preserve">│   └── utils/                          # pure helpers (money, dates, Arabic pluralization)</w:t>
      </w:r>
    </w:p>
    <w:p>
      <w:pPr>
        <w:shd w:val="clear" w:fill="F4F0E9"/>
        <w:spacing w:before="0" w:after="0" w:line="240" w:lineRule="auto"/>
        <w:ind w:left="220" w:right="220"/>
      </w:pPr>
      <w:r>
        <w:rPr>
          <w:rFonts w:ascii="Consolas" w:hAnsi="Consolas"/>
          <w:color w:val="3A332C"/>
          <w:sz w:val="17"/>
        </w:rPr>
        <w:t xml:space="preserve">├── infra/                              # docker/, nginx/, cloudflare/, github workflows</w:t>
      </w:r>
    </w:p>
    <w:p>
      <w:pPr>
        <w:shd w:val="clear" w:fill="F4F0E9"/>
        <w:spacing w:before="0" w:after="0" w:line="240" w:lineRule="auto"/>
        <w:ind w:left="220" w:right="220"/>
      </w:pPr>
      <w:r>
        <w:rPr>
          <w:rFonts w:ascii="Consolas" w:hAnsi="Consolas"/>
          <w:color w:val="3A332C"/>
          <w:sz w:val="17"/>
        </w:rPr>
        <w:t xml:space="preserve">├── docs/                               # ADRs, runbooks, Documents 01–07 (source of truth)</w:t>
      </w:r>
    </w:p>
    <w:p>
      <w:pPr>
        <w:shd w:val="clear" w:fill="F4F0E9"/>
        <w:spacing w:before="0" w:after="0" w:line="240" w:lineRule="auto"/>
        <w:ind w:left="220" w:right="220"/>
      </w:pPr>
      <w:r>
        <w:rPr>
          <w:rFonts w:ascii="Consolas" w:hAnsi="Consolas"/>
          <w:color w:val="3A332C"/>
          <w:sz w:val="17"/>
        </w:rPr>
        <w:t xml:space="preserve">└── pnpm-workspace.yaml  package.json  turbo.json  .editorconfig</w:t>
      </w:r>
    </w:p>
    <w:p>
      <w:pPr>
        <w:spacing w:before="0" w:after="140"/>
      </w:pPr>
    </w:p>
    <w:p>
      <w:pPr>
        <w:pStyle w:val="Heading2"/>
      </w:pPr>
      <w:r>
        <w:t>1.2 Naming Conventions (FS-01…FS-05)</w:t>
      </w:r>
    </w:p>
    <w:p>
      <w:pPr>
        <w:numPr>
          <w:ilvl w:val="0"/>
          <w:numId w:val="1"/>
        </w:numPr>
      </w:pPr>
      <w:r>
        <w:rPr>
          <w:b/>
          <w:color w:val="221D18"/>
        </w:rPr>
        <w:t>FS-01 — </w:t>
      </w:r>
      <w:r>
        <w:t>Directories and non-component files are kebab-case (booking-summary.tsx, use-seat-hold.ts); React component files are PascalCase matching the exported component (TripCard.tsx exports TripCard); test files mirror the target with .test.ts(x); hooks are use-*.ts and export a use* function.</w:t>
      </w:r>
    </w:p>
    <w:p>
      <w:pPr>
        <w:numPr>
          <w:ilvl w:val="0"/>
          <w:numId w:val="1"/>
        </w:numPr>
      </w:pPr>
      <w:r>
        <w:rPr>
          <w:b/>
          <w:color w:val="221D18"/>
        </w:rPr>
        <w:t>FS-02 — </w:t>
      </w:r>
      <w:r>
        <w:t>Route folders use React Router conventions: parentheses for layout-only groups, $ for dynamic segments — routes/(booking)/seats/$tripId.tsx maps to /seats/:tripId. Route folders export a page component named after the screen ID (S-05 → CheckoutPage).</w:t>
      </w:r>
    </w:p>
    <w:p>
      <w:pPr>
        <w:numPr>
          <w:ilvl w:val="0"/>
          <w:numId w:val="1"/>
        </w:numPr>
      </w:pPr>
      <w:r>
        <w:rPr>
          <w:b/>
          <w:color w:val="221D18"/>
        </w:rPr>
        <w:t>FS-03 — </w:t>
      </w:r>
      <w:r>
        <w:t>Database and API names follow Doc 03/Doc 04 verbatim: table T-xx names in Prisma models, error codes from Doc 04 §1.11 in packages/contracts. No renaming across layers — a seats_held event is seats_held in the DB, the API, the socket channel, and the UI state.</w:t>
      </w:r>
    </w:p>
    <w:p>
      <w:pPr>
        <w:numPr>
          <w:ilvl w:val="0"/>
          <w:numId w:val="1"/>
        </w:numPr>
      </w:pPr>
      <w:r>
        <w:rPr>
          <w:b/>
          <w:color w:val="221D18"/>
        </w:rPr>
        <w:t>FS-04 — </w:t>
      </w:r>
      <w:r>
        <w:t>Environment files are .env, .env.local (git-ignored), .env.example (committed, every variable documented). Secrets never enter the repo (SEC-15); config/ parses and validates env with zod at boot — the server refuses to start on missing or malformed variables.</w:t>
      </w:r>
    </w:p>
    <w:p>
      <w:pPr>
        <w:numPr>
          <w:ilvl w:val="0"/>
          <w:numId w:val="1"/>
        </w:numPr>
      </w:pPr>
      <w:r>
        <w:rPr>
          <w:b/>
          <w:color w:val="221D18"/>
        </w:rPr>
        <w:t>FS-05 — </w:t>
      </w:r>
      <w:r>
        <w:t>Branches, tags, and packages use the Part 17 conventions; package names are @tbp/web, @tbp/api, @tbp/contracts, @tbp/design-tokens, @tbp/validation, @tbp/utils.</w:t>
      </w:r>
    </w:p>
    <w:p>
      <w:pPr>
        <w:pStyle w:val="Heading2"/>
      </w:pPr>
      <w:r>
        <w:t>1.3 Module Organization &amp; Boundaries (FS-06…FS-09)</w:t>
      </w:r>
    </w:p>
    <w:p>
      <w:pPr>
        <w:numPr>
          <w:ilvl w:val="0"/>
          <w:numId w:val="1"/>
        </w:numPr>
      </w:pPr>
      <w:r>
        <w:rPr>
          <w:b/>
          <w:color w:val="221D18"/>
        </w:rPr>
        <w:t>FS-06 — </w:t>
      </w:r>
      <w:r>
        <w:t>Feature-based architecture: code is organized by business feature, not by technical type. A feature folder contains its own components/, hooks/, api.ts (typed service calls), schemas.ts (zod), types.ts (local types), index.ts (public surface). Cross-feature imports are allowed only through the target feature's index.ts — deep imports are lint-blocked (import/no-restricted-paths).</w:t>
      </w:r>
    </w:p>
    <w:p>
      <w:pPr>
        <w:numPr>
          <w:ilvl w:val="0"/>
          <w:numId w:val="1"/>
        </w:numPr>
      </w:pPr>
      <w:r>
        <w:rPr>
          <w:b/>
          <w:color w:val="221D18"/>
        </w:rPr>
        <w:t>FS-07 — </w:t>
      </w:r>
      <w:r>
        <w:t>Backend modules mirror the bounded contexts of Doc 01: identity, transportation, booking, payments, notifications, cms, analytics, system. Modules never read another module's tables directly (DB-01); they communicate through service interfaces in-process and through system_events (T-75 outbox) for fan-out. CI blocks cross-module Prisma imports.</w:t>
      </w:r>
    </w:p>
    <w:p>
      <w:pPr>
        <w:numPr>
          <w:ilvl w:val="0"/>
          <w:numId w:val="1"/>
        </w:numPr>
      </w:pPr>
      <w:r>
        <w:rPr>
          <w:b/>
          <w:color w:val="221D18"/>
        </w:rPr>
        <w:t>FS-08 — </w:t>
      </w:r>
      <w:r>
        <w:t>Shared code graduates, never starts shared: code copied a third time moves to packages/ (or the app-level lib/). Premature extraction is a review finding. packages/ code must be pure and framework-agnostic except contracts/ and design-tokens/.</w:t>
      </w:r>
    </w:p>
    <w:p>
      <w:pPr>
        <w:numPr>
          <w:ilvl w:val="0"/>
          <w:numId w:val="1"/>
        </w:numPr>
      </w:pPr>
      <w:r>
        <w:rPr>
          <w:b/>
          <w:color w:val="221D18"/>
        </w:rPr>
        <w:t>FS-09 — </w:t>
      </w:r>
      <w:r>
        <w:t>The ui/ folder holds shadcn/ui primitives only; any customization beyond className composition lives in a wrapper inside components/ (CMP-01). Generated ui/ files are never edited in place — they are regenerated or forked deliberately.</w:t>
      </w:r>
    </w:p>
    <w:p>
      <w:pPr>
        <w:pStyle w:val="Heading1"/>
      </w:pPr>
      <w:r>
        <w:t>Part 2. React Architecture</w:t>
      </w:r>
      <w:bookmarkStart w:name="_Sec3" w:id="3"/>
      <w:bookmarkEnd w:id="3"/>
    </w:p>
    <w:p>
      <w:pPr>
        <w:pStyle w:val="Heading2"/>
      </w:pPr>
      <w:r>
        <w:t>2.1 Component Rules (FE-01…FE-05)</w:t>
      </w:r>
    </w:p>
    <w:p>
      <w:pPr>
        <w:numPr>
          <w:ilvl w:val="0"/>
          <w:numId w:val="1"/>
        </w:numPr>
      </w:pPr>
      <w:r>
        <w:rPr>
          <w:b/>
          <w:color w:val="221D18"/>
        </w:rPr>
        <w:t>FE-01 — </w:t>
      </w:r>
      <w:r>
        <w:t>Function components only; no class components anywhere (error boundaries use the single vetted ErrorBoundary wrapper from react-error-boundary, FE-11). Components are arrow functions typed with their props interface; no defaultProps.</w:t>
      </w:r>
    </w:p>
    <w:p>
      <w:pPr>
        <w:numPr>
          <w:ilvl w:val="0"/>
          <w:numId w:val="1"/>
        </w:numPr>
      </w:pPr>
      <w:r>
        <w:rPr>
          <w:b/>
          <w:color w:val="221D18"/>
        </w:rPr>
        <w:t>FE-02 — </w:t>
      </w:r>
      <w:r>
        <w:t>One component per file, named export matching the filename. Files over ~250 lines or components over ~120 lines are a refactor signal (SHOULD) — extract subcomponents or hooks before the reviewer has to ask.</w:t>
      </w:r>
    </w:p>
    <w:p>
      <w:pPr>
        <w:numPr>
          <w:ilvl w:val="0"/>
          <w:numId w:val="1"/>
        </w:numPr>
      </w:pPr>
      <w:r>
        <w:rPr>
          <w:b/>
          <w:color w:val="221D18"/>
        </w:rPr>
        <w:t>FE-03 — </w:t>
      </w:r>
      <w:r>
        <w:t>Props are always an interface named {Component}Props (TS-04); children is typed ReactNode; no prop spreading of unknown objects onto DOM elements ({...rest} is allowed only after explicit destructuring and with a typed rest).</w:t>
      </w:r>
    </w:p>
    <w:p>
      <w:pPr>
        <w:numPr>
          <w:ilvl w:val="0"/>
          <w:numId w:val="1"/>
        </w:numPr>
      </w:pPr>
      <w:r>
        <w:rPr>
          <w:b/>
          <w:color w:val="221D18"/>
        </w:rPr>
        <w:t>FE-04 — </w:t>
      </w:r>
      <w:r>
        <w:t>Components must render identically in ar-EG (RTL) and en (LTR): no hard-coded strings (all copy via i18n), no hard-coded left/right CSS (TW-03 logical properties), and every interactive element carries its accessible name (A11Y-02).</w:t>
      </w:r>
    </w:p>
    <w:p>
      <w:pPr>
        <w:numPr>
          <w:ilvl w:val="0"/>
          <w:numId w:val="1"/>
        </w:numPr>
      </w:pPr>
      <w:r>
        <w:rPr>
          <w:b/>
          <w:color w:val="221D18"/>
        </w:rPr>
        <w:t>FE-05 — </w:t>
      </w:r>
      <w:r>
        <w:t>Every component that fetches data has exactly four render states — loading, error, empty, success — matching Doc 05's state specs (C-20…C-23). A component without an empty or error state does not pass review (CR-09).</w:t>
      </w:r>
    </w:p>
    <w:p>
      <w:pPr>
        <w:pStyle w:val="Heading2"/>
      </w:pPr>
      <w:r>
        <w:t>2.2 Smart vs Dumb — Container/Presentational Split (FE-06…FE-08)</w:t>
      </w:r>
    </w:p>
    <w:p>
      <w:pPr>
        <w:numPr>
          <w:ilvl w:val="0"/>
          <w:numId w:val="1"/>
        </w:numPr>
      </w:pPr>
      <w:r>
        <w:rPr>
          <w:b/>
          <w:color w:val="221D18"/>
        </w:rPr>
        <w:t>FE-06 — </w:t>
      </w:r>
      <w:r>
        <w:t>Presentational (dumb) components take props and render UI; they never call hooks from TanStack Query, never touch the router, never import from features/*/api.ts. They live in components/ and ui/. Examples: TripCard, SeatMap, BookingSummary.</w:t>
      </w:r>
    </w:p>
    <w:p>
      <w:pPr>
        <w:numPr>
          <w:ilvl w:val="0"/>
          <w:numId w:val="1"/>
        </w:numPr>
      </w:pPr>
      <w:r>
        <w:rPr>
          <w:b/>
          <w:color w:val="221D18"/>
        </w:rPr>
        <w:t>FE-07 — </w:t>
      </w:r>
      <w:r>
        <w:t>Container (smart) components own data: they call query/mutation hooks, read route params, translate store state, and pass plain props down. They live in features/ and routes/. Containers contain no markup beyond layout wrappers — markup belongs to presentational components.</w:t>
      </w:r>
    </w:p>
    <w:p>
      <w:pPr>
        <w:numPr>
          <w:ilvl w:val="0"/>
          <w:numId w:val="1"/>
        </w:numPr>
      </w:pPr>
      <w:r>
        <w:rPr>
          <w:b/>
          <w:color w:val="221D18"/>
        </w:rPr>
        <w:t>FE-08 — </w:t>
      </w:r>
      <w:r>
        <w:t>A feature exposes one container per screen section (e.g. features/seats/SeatSelectionContainer.tsx) wired by the route component. Route components are thin: param parsing, container composition, error boundary — nothing else.</w:t>
      </w:r>
    </w:p>
    <w:p>
      <w:pPr>
        <w:pStyle w:val="Heading2"/>
      </w:pPr>
      <w:r>
        <w:t>2.3 Hooks Organization (FE-09…FE-10)</w:t>
      </w:r>
    </w:p>
    <w:p>
      <w:pPr>
        <w:numPr>
          <w:ilvl w:val="0"/>
          <w:numId w:val="1"/>
        </w:numPr>
      </w:pPr>
      <w:r>
        <w:rPr>
          <w:b/>
          <w:color w:val="221D18"/>
        </w:rPr>
        <w:t>FE-09 — </w:t>
      </w:r>
      <w:r>
        <w:t>Custom hooks follow the Rules of Hooks absolutely (enforced by eslint-plugin-react-hooks, error level). Data hooks live with their feature (useTripSearch, useSeatHold in features/*/hooks/); cross-feature utilities live in src/hooks/ (useDebounce, useMediaQuery, useCountdown, useDirection).</w:t>
      </w:r>
    </w:p>
    <w:p>
      <w:pPr>
        <w:numPr>
          <w:ilvl w:val="0"/>
          <w:numId w:val="1"/>
        </w:numPr>
      </w:pPr>
      <w:r>
        <w:rPr>
          <w:b/>
          <w:color w:val="221D18"/>
        </w:rPr>
        <w:t>FE-10 — </w:t>
      </w:r>
      <w:r>
        <w:t>Reusable hooks are generic over their concern and never over a domain: useCountdown(seconds) is shared, useSeatHoldCountdown() composes it inside features/seats. Every shared hook ships with unit tests (TST-02) and a documented contract (inputs, outputs, cleanup).</w:t>
      </w:r>
    </w:p>
    <w:p>
      <w:pPr>
        <w:pStyle w:val="Heading2"/>
      </w:pPr>
      <w:r>
        <w:t>2.4 Page Structure &amp; Routing (FE-11…FE-14)</w:t>
      </w:r>
    </w:p>
    <w:p>
      <w:pPr>
        <w:numPr>
          <w:ilvl w:val="0"/>
          <w:numId w:val="1"/>
        </w:numPr>
      </w:pPr>
      <w:r>
        <w:rPr>
          <w:b/>
          <w:color w:val="221D18"/>
        </w:rPr>
        <w:t>FE-11 — </w:t>
      </w:r>
      <w:r>
        <w:t>Every route group is wrapped in an ErrorBoundary with a Doc-05-compliant error screen (C-23) and a reset action; boundary errors are reported to observability with the route path (ERR-12). React 19's use() + Suspense is the only async-boundary pattern — no hand-rolled loading flags in components.</w:t>
      </w:r>
    </w:p>
    <w:p>
      <w:pPr>
        <w:numPr>
          <w:ilvl w:val="0"/>
          <w:numId w:val="1"/>
        </w:numPr>
      </w:pPr>
      <w:r>
        <w:rPr>
          <w:b/>
          <w:color w:val="221D18"/>
        </w:rPr>
        <w:t>FE-12 — </w:t>
      </w:r>
      <w:r>
        <w:t>Routing structure mirrors Doc 05's information architecture exactly: public S-01…S-03, booking flow S-04…S-08 (guarded by active-hold guard), account S-09…S-13 (auth guard), driver D-01…D-05 (driver-role guard + device binding), admin A-01…A-20 (admin-role guard). Guards are route-level wrappers, never in-component if-checks.</w:t>
      </w:r>
    </w:p>
    <w:p>
      <w:pPr>
        <w:numPr>
          <w:ilvl w:val="0"/>
          <w:numId w:val="1"/>
        </w:numPr>
      </w:pPr>
      <w:r>
        <w:rPr>
          <w:b/>
          <w:color w:val="221D18"/>
        </w:rPr>
        <w:t>FE-13 — </w:t>
      </w:r>
      <w:r>
        <w:t>Route-level code splitting is mandatory: every route component is lazy() with a Suspense fallback using the screen's Doc-05 skeleton (PERF-04). Feature-level heavy subtrees (seat map canvas, admin charts, CMS editor) are additionally split inside the route.</w:t>
      </w:r>
    </w:p>
    <w:p>
      <w:pPr>
        <w:numPr>
          <w:ilvl w:val="0"/>
          <w:numId w:val="1"/>
        </w:numPr>
      </w:pPr>
      <w:r>
        <w:rPr>
          <w:b/>
          <w:color w:val="221D18"/>
        </w:rPr>
        <w:t>FE-14 — </w:t>
      </w:r>
      <w:r>
        <w:t>Navigation is always through typed route helpers (lib/routes.ts exporting route builders like routes.checkout(bookingId)); string literals of URLs are lint-forbidden outside that file. Query params are parsed with zod schemas at the route boundary (TS-08).</w:t>
      </w:r>
    </w:p>
    <w:p>
      <w:pPr>
        <w:pStyle w:val="Heading1"/>
      </w:pPr>
      <w:r>
        <w:t>Part 3. TypeScript Rules</w:t>
      </w:r>
      <w:bookmarkStart w:name="_Sec4" w:id="4"/>
      <w:bookmarkEnd w:id="4"/>
    </w:p>
    <w:p>
      <w:r>
        <w:t>TypeScript is the project's first line of defense — the compiler configuration below is identical across every app and package (inherited from packages/config-ts) and may not be weakened per-directory.</w:t>
      </w:r>
    </w:p>
    <w:p>
      <w:pPr>
        <w:pStyle w:val="Heading2"/>
      </w:pPr>
      <w:r>
        <w:t>3.1 Compiler Configuration (TS-01…TS-03)</w:t>
      </w:r>
    </w:p>
    <w:p>
      <w:pPr>
        <w:numPr>
          <w:ilvl w:val="0"/>
          <w:numId w:val="1"/>
        </w:numPr>
      </w:pPr>
      <w:r>
        <w:rPr>
          <w:b/>
          <w:color w:val="221D18"/>
        </w:rPr>
        <w:t>TS-01 — </w:t>
      </w:r>
      <w:r>
        <w:t>Strict mode, fully and forever: strict: true plus noUncheckedIndexedAccess, exactOptionalPropertyTypes, noImplicitOverride, noPropertyAccessFromIndexSignature, forceConsistentCasingInFileNames. Overrides in sub-projects are forbidden; CI diffs every tsconfig against the preset.</w:t>
      </w:r>
    </w:p>
    <w:p>
      <w:pPr>
        <w:numPr>
          <w:ilvl w:val="0"/>
          <w:numId w:val="1"/>
        </w:numPr>
      </w:pPr>
      <w:r>
        <w:rPr>
          <w:b/>
          <w:color w:val="221D18"/>
        </w:rPr>
        <w:t>TS-02 — </w:t>
      </w:r>
      <w:r>
        <w:t>any is banned: @typescript-eslint/no-explicit-any at error level, no-explicit-any in generated code marked with a scoped disable + TODO issue, and no-unsafe-* rules (assignment/member-access/call/return) at error level. When the type is genuinely unknown, use unknown and narrow with zod (TS-08).</w:t>
      </w:r>
    </w:p>
    <w:p>
      <w:pPr>
        <w:numPr>
          <w:ilvl w:val="0"/>
          <w:numId w:val="1"/>
        </w:numPr>
      </w:pPr>
      <w:r>
        <w:rPr>
          <w:b/>
          <w:color w:val="221D18"/>
        </w:rPr>
        <w:t>TS-03 — </w:t>
      </w:r>
      <w:r>
        <w:t>Module discipline: verbatimModuleSyntax, explicit import type for type-only imports, no default exports except route components and config files, no enums-only barrels (SM-03 index files re-export explicitly).</w:t>
      </w:r>
    </w:p>
    <w:p>
      <w:pPr>
        <w:pStyle w:val="Heading2"/>
      </w:pPr>
      <w:r>
        <w:t>3.2 Types, Interfaces, Enums (TS-04…TS-07)</w:t>
      </w:r>
    </w:p>
    <w:p>
      <w:pPr>
        <w:numPr>
          <w:ilvl w:val="0"/>
          <w:numId w:val="1"/>
        </w:numPr>
      </w:pPr>
      <w:r>
        <w:rPr>
          <w:b/>
          <w:color w:val="221D18"/>
        </w:rPr>
        <w:t>TS-04 — </w:t>
      </w:r>
      <w:r>
        <w:t>interface for object shapes that are extended or implemented (props, DTOs, service contracts); type for unions, intersections, mapped/conditional types, and function signatures. Never mix the two for the same shape. Both are PascalCase; no I-prefix, no T-prefix.</w:t>
      </w:r>
    </w:p>
    <w:p>
      <w:pPr>
        <w:numPr>
          <w:ilvl w:val="0"/>
          <w:numId w:val="1"/>
        </w:numPr>
      </w:pPr>
      <w:r>
        <w:rPr>
          <w:b/>
          <w:color w:val="221D18"/>
        </w:rPr>
        <w:t>TS-05 — </w:t>
      </w:r>
      <w:r>
        <w:t>Domain enumerations come from packages/contracts as const objects with derived union types — mirroring Doc 03's 24 enums exactly (booking_status, trip_status, payment_method…): e.g. BookingStatus = { Pending: 'pending', … } as const; type BookingStatus = typeof BookingStatus[keyof typeof BookingStatus]. The string enum construct is forbidden (it breaks const assertion ergonomics and tree-shaking).</w:t>
      </w:r>
    </w:p>
    <w:p>
      <w:pPr>
        <w:numPr>
          <w:ilvl w:val="0"/>
          <w:numId w:val="1"/>
        </w:numPr>
      </w:pPr>
      <w:r>
        <w:rPr>
          <w:b/>
          <w:color w:val="221D18"/>
        </w:rPr>
        <w:t>TS-06 — </w:t>
      </w:r>
      <w:r>
        <w:t>DTOs exist only in packages/contracts and are generated/verified against Doc 04: request DTOs (CreateBookingRequest), response DTOs (BookingResponse), and the envelope types (ApiSuccess&lt;T&gt;, ApiError) — both apps import them; neither app re-declares them. Contract drift fails CI via the contract-test suite (TST-06).</w:t>
      </w:r>
    </w:p>
    <w:p>
      <w:pPr>
        <w:numPr>
          <w:ilvl w:val="0"/>
          <w:numId w:val="1"/>
        </w:numPr>
      </w:pPr>
      <w:r>
        <w:rPr>
          <w:b/>
          <w:color w:val="221D18"/>
        </w:rPr>
        <w:t>TS-07 — </w:t>
      </w:r>
      <w:r>
        <w:t>Utility types are used deliberately: Pick/Omit for derived DTO views, Required&lt;&gt; at system boundaries, ReturnType/Parameters for hook contracts, branded types for money and identifiers (type Money = number &amp; { readonly __brand: 'money_minor_units' }) so a piastres amount can never be passed where pounds are expected (BP-02).</w:t>
      </w:r>
    </w:p>
    <w:p>
      <w:pPr>
        <w:pStyle w:val="Heading2"/>
      </w:pPr>
      <w:r>
        <w:t>3.3 Validation &amp; Boundaries (TS-08…TS-10)</w:t>
      </w:r>
    </w:p>
    <w:p>
      <w:pPr>
        <w:numPr>
          <w:ilvl w:val="0"/>
          <w:numId w:val="1"/>
        </w:numPr>
      </w:pPr>
      <w:r>
        <w:rPr>
          <w:b/>
          <w:color w:val="221D18"/>
        </w:rPr>
        <w:t>TS-08 — </w:t>
      </w:r>
      <w:r>
        <w:t>Everything entering the system — HTTP payloads, query params, env vars, webhook bodies, localStorage, WebSocket messages — is parsed through a zod schema from packages/validation at the boundary; the parsed output type is z.infer&lt;typeof schema&gt;. Type assertions (as X) on external data are a merge blocker.</w:t>
      </w:r>
    </w:p>
    <w:p>
      <w:pPr>
        <w:numPr>
          <w:ilvl w:val="0"/>
          <w:numId w:val="1"/>
        </w:numPr>
      </w:pPr>
      <w:r>
        <w:rPr>
          <w:b/>
          <w:color w:val="221D18"/>
        </w:rPr>
        <w:t>TS-09 — </w:t>
      </w:r>
      <w:r>
        <w:t>Type assertions and non-null assertions (!) require a justification comment referencing why the compiler is wrong; as any and double assertions (as unknown as X) are banned outright except inside the single documented Paymob SDK adapter seam (ERR-05).</w:t>
      </w:r>
    </w:p>
    <w:p>
      <w:pPr>
        <w:numPr>
          <w:ilvl w:val="0"/>
          <w:numId w:val="1"/>
        </w:numPr>
      </w:pPr>
      <w:r>
        <w:rPr>
          <w:b/>
          <w:color w:val="221D18"/>
        </w:rPr>
        <w:t>TS-10 — </w:t>
      </w:r>
      <w:r>
        <w:t>Functions crossing module boundaries have explicit return types; internal helpers may rely on inference. Generics are named meaningfully (TBooking, TPayload — not T, U when more than one).</w:t>
      </w:r>
    </w:p>
    <w:p>
      <w:pPr>
        <w:pStyle w:val="Heading1"/>
      </w:pPr>
      <w:r>
        <w:t>Part 4. State Management</w:t>
      </w:r>
      <w:bookmarkStart w:name="_Sec5" w:id="5"/>
      <w:bookmarkEnd w:id="5"/>
    </w:p>
    <w:p>
      <w:r>
        <w:t>The platform recognizes exactly three kinds of state, each with exactly one home. This discipline is what keeps the seat map, hold timers, and wallet balances consistent under concurrency — and it is the most-reviewed section in code review (CR-07).</w:t>
      </w:r>
    </w:p>
    <w:p>
      <w:pPr>
        <w:pStyle w:val="Heading2"/>
      </w:pPr>
      <w:r>
        <w:t>4.1 The Three Homes (SM-01…SM-03)</w:t>
      </w:r>
    </w:p>
    <w:p>
      <w:pPr>
        <w:numPr>
          <w:ilvl w:val="0"/>
          <w:numId w:val="1"/>
        </w:numPr>
      </w:pPr>
      <w:r>
        <w:rPr>
          <w:b/>
          <w:color w:val="221D18"/>
        </w:rPr>
        <w:t>SM-01 — </w:t>
      </w:r>
      <w:r>
        <w:t>Server state lives in TanStack Query — trips, seat maps, bookings, wallet, manifests, everything with an API source. Components never copy server data into local state; derived views use select on the query. No useEffect that exists only to sync server data into useState — that pattern is a merge blocker.</w:t>
      </w:r>
    </w:p>
    <w:p>
      <w:pPr>
        <w:numPr>
          <w:ilvl w:val="0"/>
          <w:numId w:val="1"/>
        </w:numPr>
      </w:pPr>
      <w:r>
        <w:rPr>
          <w:b/>
          <w:color w:val="221D18"/>
        </w:rPr>
        <w:t>SM-02 — </w:t>
      </w:r>
      <w:r>
        <w:t>Client UI state lives in React Context + useReducer — locale/direction, feature flags, the booking-flow wizard step, drawer/modal orchestration. Contexts are split by concern and by update frequency (a context whose value changes per keystroke never wraps the tree). No global mutable stores; no prop drilling past two levels — extract a context or compose children instead.</w:t>
      </w:r>
    </w:p>
    <w:p>
      <w:pPr>
        <w:numPr>
          <w:ilvl w:val="0"/>
          <w:numId w:val="1"/>
        </w:numPr>
      </w:pPr>
      <w:r>
        <w:rPr>
          <w:b/>
          <w:color w:val="221D18"/>
        </w:rPr>
        <w:t>SM-03 — </w:t>
      </w:r>
      <w:r>
        <w:t>Form state lives in React Hook Form (Part 6); URL state (filters, pagination cursors, selected trip) lives in the URL via router search params so every list view is shareable and back-button safe. If it belongs in a bookmark, it belongs in the URL.</w:t>
      </w:r>
    </w:p>
    <w:p>
      <w:pPr>
        <w:pStyle w:val="Heading2"/>
      </w:pPr>
      <w:r>
        <w:t>4.2 TanStack Query Conventions (SM-04…SM-08)</w:t>
      </w:r>
    </w:p>
    <w:p>
      <w:pPr>
        <w:numPr>
          <w:ilvl w:val="0"/>
          <w:numId w:val="1"/>
        </w:numPr>
      </w:pPr>
      <w:r>
        <w:rPr>
          <w:b/>
          <w:color w:val="221D18"/>
        </w:rPr>
        <w:t>SM-04 — </w:t>
      </w:r>
      <w:r>
        <w:t>Query keys are centralized and hierarchical in features/*/keys.ts: ['trips', 'list', filters], ['trips', 'detail', tripId], ['seats', 'map', tripId]. Keys are factory functions returning const tuples; hand-written string keys are lint-blocked. Invalidation targets factories, never prefixes by hand.</w:t>
      </w:r>
    </w:p>
    <w:p>
      <w:pPr>
        <w:numPr>
          <w:ilvl w:val="0"/>
          <w:numId w:val="1"/>
        </w:numPr>
      </w:pPr>
      <w:r>
        <w:rPr>
          <w:b/>
          <w:color w:val="221D18"/>
        </w:rPr>
        <w:t>SM-05 — </w:t>
      </w:r>
      <w:r>
        <w:t>Caching strategy per data class (aligned with Doc 04 §1.8 freshness classes): search results staleTime 30s, seat map staleTime 0 + realtime deltas (SM-07), my-trips staleTime 60s, wallet staleTime 0 with refetchOnWindowFocus, reference data (stations, lines) staleTime 5min + structural sharing. gcTime is 10min default; sensitive account data uses gcTime 0 on logout.</w:t>
      </w:r>
    </w:p>
    <w:p>
      <w:pPr>
        <w:numPr>
          <w:ilvl w:val="0"/>
          <w:numId w:val="1"/>
        </w:numPr>
      </w:pPr>
      <w:r>
        <w:rPr>
          <w:b/>
          <w:color w:val="221D18"/>
        </w:rPr>
        <w:t>SM-06 — </w:t>
      </w:r>
      <w:r>
        <w:t>Mutations carry their full lifecycle in the hook: onMutate for optimistic updates where safe (SM-08), onError for rollback + toast (N-xx copy via i18n), onSettled for targeted invalidation. Components never call mutate with per-call callbacks for business logic — the hook owns the policy.</w:t>
      </w:r>
    </w:p>
    <w:p>
      <w:pPr>
        <w:numPr>
          <w:ilvl w:val="0"/>
          <w:numId w:val="1"/>
        </w:numPr>
      </w:pPr>
      <w:r>
        <w:rPr>
          <w:b/>
          <w:color w:val="221D18"/>
        </w:rPr>
        <w:t>SM-07 — </w:t>
      </w:r>
      <w:r>
        <w:t>The seat map subscription merges realtime deltas into the query cache via setQueryData against the same event contract the backend emits (seats_held / seats_released / seats_booked, T-75); on any sequence gap or reconnect, the map refetches from the authority (PostgreSQL, Doc 03 §8.4) — optimistic trust of the socket is never the final word.</w:t>
      </w:r>
    </w:p>
    <w:p>
      <w:pPr>
        <w:numPr>
          <w:ilvl w:val="0"/>
          <w:numId w:val="1"/>
        </w:numPr>
      </w:pPr>
      <w:r>
        <w:rPr>
          <w:b/>
          <w:color w:val="221D18"/>
        </w:rPr>
        <w:t>SM-08 — </w:t>
      </w:r>
      <w:r>
        <w:t>Optimistic updates are allowed only for idempotent, low-risk actions (favorites, notification read-state, profile fields). Money paths — holds, bookings, payments, refunds, wallet — are never optimistic: they show pending state and confirm from the server response (BR-02, DB-12/DB-16).</w:t>
      </w:r>
    </w:p>
    <w:p>
      <w:pPr>
        <w:pStyle w:val="Heading2"/>
      </w:pPr>
      <w:r>
        <w:t>4.3 Query Client Setup (SM-09…SM-10)</w:t>
      </w:r>
    </w:p>
    <w:p>
      <w:pPr>
        <w:numPr>
          <w:ilvl w:val="0"/>
          <w:numId w:val="1"/>
        </w:numPr>
      </w:pPr>
      <w:r>
        <w:rPr>
          <w:b/>
          <w:color w:val="221D18"/>
        </w:rPr>
        <w:t>SM-09 — </w:t>
      </w:r>
      <w:r>
        <w:t>One QueryClient per app, created in app/providers with defaultOptions encoding SM-05, retry policy from API-10 (network errors retried twice with jittered backoff; 4xx never retried), and a global onError that funnels unexpected failures to the observability sink (ERR-12).</w:t>
      </w:r>
    </w:p>
    <w:p>
      <w:pPr>
        <w:numPr>
          <w:ilvl w:val="0"/>
          <w:numId w:val="1"/>
        </w:numPr>
      </w:pPr>
      <w:r>
        <w:rPr>
          <w:b/>
          <w:color w:val="221D18"/>
        </w:rPr>
        <w:t>SM-10 — </w:t>
      </w:r>
      <w:r>
        <w:t>Server rendering/prefetch: route loaders prefetch the queries their screen needs (trips detail before seat map) so the skeleton duration is bounded; prefetching beyond the current screen's needs is a review finding.</w:t>
      </w:r>
    </w:p>
    <w:p>
      <w:pPr>
        <w:pStyle w:val="Heading1"/>
      </w:pPr>
      <w:r>
        <w:t>Part 5. API Layer</w:t>
      </w:r>
      <w:bookmarkStart w:name="_Sec6" w:id="6"/>
      <w:bookmarkEnd w:id="6"/>
    </w:p>
    <w:p>
      <w:r>
        <w:t>The frontend talks to the backend through one Axios instance, one envelope contract (Doc 04 §1.4), and one typed service surface per feature. Nothing else may speak HTTP — no fetch() calls, no ad-hoc axios imports (lint-enforced, CR-05).</w:t>
      </w:r>
    </w:p>
    <w:p>
      <w:pPr>
        <w:pStyle w:val="Heading2"/>
      </w:pPr>
      <w:r>
        <w:t>5.1 Axios Structure (API-01…API-03)</w:t>
      </w:r>
    </w:p>
    <w:p>
      <w:pPr>
        <w:numPr>
          <w:ilvl w:val="0"/>
          <w:numId w:val="1"/>
        </w:numPr>
      </w:pPr>
      <w:r>
        <w:rPr>
          <w:b/>
          <w:color w:val="221D18"/>
        </w:rPr>
        <w:t>API-01 — </w:t>
      </w:r>
      <w:r>
        <w:t>Exactly one Axios instance (lib/api/client.ts), created with baseURL from config, withCredentials for cookie-bound refresh flows, and a default 15s timeout (API-11). Instance-per-feature is forbidden; per-request overrides of timeout are explicit options on the service method.</w:t>
      </w:r>
    </w:p>
    <w:p>
      <w:pPr>
        <w:numPr>
          <w:ilvl w:val="0"/>
          <w:numId w:val="1"/>
        </w:numPr>
      </w:pPr>
      <w:r>
        <w:rPr>
          <w:b/>
          <w:color w:val="221D18"/>
        </w:rPr>
        <w:t>API-02 — </w:t>
      </w:r>
      <w:r>
        <w:t>Request interceptor chain (registered in order): traceId injection (ERR-11) → idempotency-key injection for mutating money endpoints (API-08) → Accept-Language from the locale store → auth header from the token store. Response interceptor chain: envelope unwrap (API-06) → 401 refresh-and-replay (API-09) → error normalization to typed ApiError (API-07).</w:t>
      </w:r>
    </w:p>
    <w:p>
      <w:pPr>
        <w:numPr>
          <w:ilvl w:val="0"/>
          <w:numId w:val="1"/>
        </w:numPr>
      </w:pPr>
      <w:r>
        <w:rPr>
          <w:b/>
          <w:color w:val="221D18"/>
        </w:rPr>
        <w:t>API-03 — </w:t>
      </w:r>
      <w:r>
        <w:t>The client is transport-only: no business logic, no branching on error codes beyond auth refresh. All domain decisions live in feature services or hooks.</w:t>
      </w:r>
    </w:p>
    <w:p>
      <w:pPr>
        <w:pStyle w:val="Heading2"/>
      </w:pPr>
      <w:r>
        <w:t>5.2 API Services (API-04…API-05)</w:t>
      </w:r>
    </w:p>
    <w:p>
      <w:pPr>
        <w:numPr>
          <w:ilvl w:val="0"/>
          <w:numId w:val="1"/>
        </w:numPr>
      </w:pPr>
      <w:r>
        <w:rPr>
          <w:b/>
          <w:color w:val="221D18"/>
        </w:rPr>
        <w:t>API-04 — </w:t>
      </w:r>
      <w:r>
        <w:t>Each feature exposes api.ts with one async function per endpoint, named after the Doc 04 operation (searchTrips, holdSeats, createBooking, confirmPaymobIntent). Functions are thin: build request → call client → parse response with the contracts zod schema → return the typed payload. They accept typed args, never raw axios configs.</w:t>
      </w:r>
    </w:p>
    <w:p>
      <w:pPr>
        <w:numPr>
          <w:ilvl w:val="0"/>
          <w:numId w:val="1"/>
        </w:numPr>
      </w:pPr>
      <w:r>
        <w:rPr>
          <w:b/>
          <w:color w:val="221D18"/>
        </w:rPr>
        <w:t>API-05 — </w:t>
      </w:r>
      <w:r>
        <w:t>Service functions are the only allowed call sites of the client and are mocked as whole units in tests (TST-04); hooks bind services to TanStack Query — components never call services directly (FE-07).</w:t>
      </w:r>
    </w:p>
    <w:p>
      <w:pPr>
        <w:pStyle w:val="Heading2"/>
      </w:pPr>
      <w:r>
        <w:t>5.3 Envelope, Errors &amp; Response Mapping (API-06…API-08)</w:t>
      </w:r>
    </w:p>
    <w:p>
      <w:pPr>
        <w:numPr>
          <w:ilvl w:val="0"/>
          <w:numId w:val="1"/>
        </w:numPr>
      </w:pPr>
      <w:r>
        <w:rPr>
          <w:b/>
          <w:color w:val="221D18"/>
        </w:rPr>
        <w:t>API-06 — </w:t>
      </w:r>
      <w:r>
        <w:t>Success responses arrive in the Doc 04 envelope and are unwrapped once, in the response interceptor; feature code sees only the typed data payload + pagination cursor. Any envelope deviation throws EnvelopeViolationError and is reported — the contract is enforced on the client as strictly as on the server (TST-06).</w:t>
      </w:r>
    </w:p>
    <w:p>
      <w:pPr>
        <w:numPr>
          <w:ilvl w:val="0"/>
          <w:numId w:val="1"/>
        </w:numPr>
      </w:pPr>
      <w:r>
        <w:rPr>
          <w:b/>
          <w:color w:val="221D18"/>
        </w:rPr>
        <w:t>API-07 — </w:t>
      </w:r>
      <w:r>
        <w:t>Error responses normalize to a discriminated union: ValidationError (field map for FRM-06), BusinessError (Doc 04 code, e.g. SEAT_ALREADY_HELD, BOOKING_STATE_INVALID, PAYMENT_QUARANTINED), AuthError, NetworkError, UnknownError. UI copy keys off error.code through i18n — never off message text, which is log-only.</w:t>
      </w:r>
    </w:p>
    <w:p>
      <w:pPr>
        <w:numPr>
          <w:ilvl w:val="0"/>
          <w:numId w:val="1"/>
        </w:numPr>
      </w:pPr>
      <w:r>
        <w:rPr>
          <w:b/>
          <w:color w:val="221D18"/>
        </w:rPr>
        <w:t>API-08 — </w:t>
      </w:r>
      <w:r>
        <w:t>Idempotency: every POST/PUT on booking/payment paths sends Idempotency-Key (client-generated UUID v7 per user-intent — one key per checkout attempt, reused across retries, regenerated on explicit user retry). Keys live 24h server-side (Doc 04 §1.5); the client never invents a second mechanism.</w:t>
      </w:r>
    </w:p>
    <w:p>
      <w:pPr>
        <w:pStyle w:val="Heading2"/>
      </w:pPr>
      <w:r>
        <w:t>5.4 Authentication &amp; Refresh Strategy (API-09)</w:t>
      </w:r>
    </w:p>
    <w:p>
      <w:pPr>
        <w:numPr>
          <w:ilvl w:val="0"/>
          <w:numId w:val="1"/>
        </w:numPr>
      </w:pPr>
      <w:r>
        <w:rPr>
          <w:b/>
          <w:color w:val="221D18"/>
        </w:rPr>
        <w:t>API-09 — </w:t>
      </w:r>
      <w:r>
        <w:t>Access tokens live in memory only (never localStorage — SEC-06); refresh tokens are HttpOnly Secure SameSite=Strict cookies. A single-flight refresh: concurrent 401s queue on one in-flight refresh promise; replay exactly once; on refresh failure the auth store clears and the user routes to login with a return-url. Rotated-token reuse (server S-03 signal) forces immediate logout + security notice.</w:t>
      </w:r>
    </w:p>
    <w:p>
      <w:pPr>
        <w:pStyle w:val="Heading2"/>
      </w:pPr>
      <w:r>
        <w:t>5.5 Retry &amp; Timeouts (API-10…API-12)</w:t>
      </w:r>
    </w:p>
    <w:p>
      <w:pPr>
        <w:numPr>
          <w:ilvl w:val="0"/>
          <w:numId w:val="1"/>
        </w:numPr>
      </w:pPr>
      <w:r>
        <w:rPr>
          <w:b/>
          <w:color w:val="221D18"/>
        </w:rPr>
        <w:t>API-10 — </w:t>
      </w:r>
      <w:r>
        <w:t>Retry only idempotent GETs and only on network/5xx: max 2 retries, jittered exponential backoff (300ms base). Mutations never auto-retry at the transport layer — their retry path is the idempotency key (API-08) driven by explicit user action or the TanStack mutation policy.</w:t>
      </w:r>
    </w:p>
    <w:p>
      <w:pPr>
        <w:numPr>
          <w:ilvl w:val="0"/>
          <w:numId w:val="1"/>
        </w:numPr>
      </w:pPr>
      <w:r>
        <w:rPr>
          <w:b/>
          <w:color w:val="221D18"/>
        </w:rPr>
        <w:t>API-11 — </w:t>
      </w:r>
      <w:r>
        <w:t>Timeout classes: default 15s; search/seat-map 8s (fail fast, user retries); payment status polling 30s with its own loop (Doc 04 Part 6); uploads (payment proofs) 60s with progress. Timeouts map to a dedicated TimeoutError with retry affordance copy.</w:t>
      </w:r>
    </w:p>
    <w:p>
      <w:pPr>
        <w:numPr>
          <w:ilvl w:val="0"/>
          <w:numId w:val="1"/>
        </w:numPr>
      </w:pPr>
      <w:r>
        <w:rPr>
          <w:b/>
          <w:color w:val="221D18"/>
        </w:rPr>
        <w:t>API-12 — </w:t>
      </w:r>
      <w:r>
        <w:t>Abort discipline: every query passes its AbortSignal to the service; route changes cancel in-flight screen queries; the seat-hold countdown never orphans a request.</w:t>
      </w:r>
    </w:p>
    <w:p>
      <w:pPr>
        <w:pStyle w:val="Heading1"/>
      </w:pPr>
      <w:r>
        <w:t>Part 6. Forms</w:t>
      </w:r>
      <w:bookmarkStart w:name="_Sec7" w:id="7"/>
      <w:bookmarkEnd w:id="7"/>
    </w:p>
    <w:p>
      <w:r>
        <w:t>All forms — from OTP entry to the pricing-matrix editor — follow one stack: React Hook Form for state, zod for validation, the design system's input primitives (C-02…C-06) for rendering, and Doc 04's V-xx validation rules as the single source of truth.</w:t>
      </w:r>
    </w:p>
    <w:p>
      <w:pPr>
        <w:pStyle w:val="Heading2"/>
      </w:pPr>
      <w:r>
        <w:t>6.1 React Hook Form Discipline (FRM-01…FRM-03)</w:t>
      </w:r>
    </w:p>
    <w:p>
      <w:pPr>
        <w:numPr>
          <w:ilvl w:val="0"/>
          <w:numId w:val="1"/>
        </w:numPr>
      </w:pPr>
      <w:r>
        <w:rPr>
          <w:b/>
          <w:color w:val="221D18"/>
        </w:rPr>
        <w:t>FRM-01 — </w:t>
      </w:r>
      <w:r>
        <w:t>useForm is always typed from the zod schema (zodResolver(schema)) — schema and form never disagree (TS-08). mode: 'onBlur' for first validation, reValidateMode: 'onChange' after first error; the booking checkout form additionally validates the full payload on submit against the server contract schema.</w:t>
      </w:r>
    </w:p>
    <w:p>
      <w:pPr>
        <w:numPr>
          <w:ilvl w:val="0"/>
          <w:numId w:val="1"/>
        </w:numPr>
      </w:pPr>
      <w:r>
        <w:rPr>
          <w:b/>
          <w:color w:val="221D18"/>
        </w:rPr>
        <w:t>FRM-02 — </w:t>
      </w:r>
      <w:r>
        <w:t>Uncontrolled by default (register / Controller only where the input library requires it — Date Picker, Passenger Counter, Seat count). No useState mirroring of field values; no setValue loops. defaultValues come from loaders/draft storage; values are never reset ad-hoc after submit — use the RHF reset with server values.</w:t>
      </w:r>
    </w:p>
    <w:p>
      <w:pPr>
        <w:numPr>
          <w:ilvl w:val="0"/>
          <w:numId w:val="1"/>
        </w:numPr>
      </w:pPr>
      <w:r>
        <w:rPr>
          <w:b/>
          <w:color w:val="221D18"/>
        </w:rPr>
        <w:t>FRM-03 — </w:t>
      </w:r>
      <w:r>
        <w:t>Multi-step flows (checkout passengers, vendor line wizard) use one form per step with a shared draft persisted per step; the final submission assembles and validates the complete payload. Browser refresh must restore the draft (booking flow: hold-anchored draft keyed by holdId).</w:t>
      </w:r>
    </w:p>
    <w:p>
      <w:pPr>
        <w:pStyle w:val="Heading2"/>
      </w:pPr>
      <w:r>
        <w:t>6.2 Zod Schemas &amp; Validation (FRM-04…FRM-06)</w:t>
      </w:r>
    </w:p>
    <w:p>
      <w:pPr>
        <w:numPr>
          <w:ilvl w:val="0"/>
          <w:numId w:val="1"/>
        </w:numPr>
      </w:pPr>
      <w:r>
        <w:rPr>
          <w:b/>
          <w:color w:val="221D18"/>
        </w:rPr>
        <w:t>FRM-04 — </w:t>
      </w:r>
      <w:r>
        <w:t>Schemas live in packages/validation next to the V-xx rule they implement, named after it (v01_phone_eg.ts, v12_passenger_manifest.ts) — FE and BE import the same schema, so a validation change is one commit, both sides. Doc 04 V-xx IDs are cited in each schema's doc comment.</w:t>
      </w:r>
    </w:p>
    <w:p>
      <w:pPr>
        <w:numPr>
          <w:ilvl w:val="0"/>
          <w:numId w:val="1"/>
        </w:numPr>
      </w:pPr>
      <w:r>
        <w:rPr>
          <w:b/>
          <w:color w:val="221D18"/>
        </w:rPr>
        <w:t>FRM-05 — </w:t>
      </w:r>
      <w:r>
        <w:t>Egyptian specifics are encoded once: EG phone normalization (+20, carrier prefixes), Arabic name character classes, national ID format where required, monotonic pricing-matrix refinements (V-xx), coupon predicate shapes. .refine()/.superRefine() for cross-field rules (drop-off after pickup, infant counts, matrix monotonicity).</w:t>
      </w:r>
    </w:p>
    <w:p>
      <w:pPr>
        <w:numPr>
          <w:ilvl w:val="0"/>
          <w:numId w:val="1"/>
        </w:numPr>
      </w:pPr>
      <w:r>
        <w:rPr>
          <w:b/>
          <w:color w:val="221D18"/>
        </w:rPr>
        <w:t>FRM-06 — </w:t>
      </w:r>
      <w:r>
        <w:t>Server validation errors map back onto fields by path (API-07 ValidationError) and surface through RHF setError; schema-version skew (client schema stricter than server) is treated as a bug class with a regression test, never as a user error.</w:t>
      </w:r>
    </w:p>
    <w:p>
      <w:pPr>
        <w:pStyle w:val="Heading2"/>
      </w:pPr>
      <w:r>
        <w:t>6.3 Error Messages &amp; Reusable Inputs (FRM-07…FRM-09)</w:t>
      </w:r>
    </w:p>
    <w:p>
      <w:pPr>
        <w:numPr>
          <w:ilvl w:val="0"/>
          <w:numId w:val="1"/>
        </w:numPr>
      </w:pPr>
      <w:r>
        <w:rPr>
          <w:b/>
          <w:color w:val="221D18"/>
        </w:rPr>
        <w:t>FRM-07 — </w:t>
      </w:r>
      <w:r>
        <w:t>Error messages are i18n keys with the pattern form.{field}.{rule} in both ar-EG and en, written for the user (say what to fix), never exposing technical detail. Zod issues carry params (min, max) so localized messages interpolate correctly — including Arabic plural forms (packages/utils pluralization).</w:t>
      </w:r>
    </w:p>
    <w:p>
      <w:pPr>
        <w:numPr>
          <w:ilvl w:val="0"/>
          <w:numId w:val="1"/>
        </w:numPr>
      </w:pPr>
      <w:r>
        <w:rPr>
          <w:b/>
          <w:color w:val="221D18"/>
        </w:rPr>
        <w:t>FRM-08 — </w:t>
      </w:r>
      <w:r>
        <w:t>Reusable inputs are wrappers around C-02…C-06 primitives wired to RHF via one FormField adapter (label, control, error, hint, required marker, a11y wiring per A11Y-04). New form controls extend the adapter, never bypass it; ad-hoc input markup in features is a merge blocker.</w:t>
      </w:r>
    </w:p>
    <w:p>
      <w:pPr>
        <w:numPr>
          <w:ilvl w:val="0"/>
          <w:numId w:val="1"/>
        </w:numPr>
      </w:pPr>
      <w:r>
        <w:rPr>
          <w:b/>
          <w:color w:val="221D18"/>
        </w:rPr>
        <w:t>FRM-09 — </w:t>
      </w:r>
      <w:r>
        <w:t>Submission UX: submit buttons disable while isSubmitting, show progress for payment-adjacent steps, and never double-submit (guarded client-side + idempotency server-side, API-08). Failed submissions preserve all user input — always.</w:t>
      </w:r>
    </w:p>
    <w:p>
      <w:pPr>
        <w:pStyle w:val="Heading1"/>
      </w:pPr>
      <w:r>
        <w:t>Part 7. Tailwind Rules</w:t>
      </w:r>
      <w:bookmarkStart w:name="_Sec8" w:id="8"/>
      <w:bookmarkEnd w:id="8"/>
    </w:p>
    <w:p>
      <w:r>
        <w:t>Tailwind is configured once against Doc 05's tokens and treated as a compile-time design system, not a bag of classes. The config extends — never overrides — packages/design-tokens output; arbitrary values are the exception path and require review justification.</w:t>
      </w:r>
    </w:p>
    <w:p>
      <w:pPr>
        <w:pStyle w:val="Heading2"/>
      </w:pPr>
      <w:r>
        <w:t>7.1 Tokens, Spacing &amp; Grid (TW-01…TW-03)</w:t>
      </w:r>
    </w:p>
    <w:p>
      <w:pPr>
        <w:numPr>
          <w:ilvl w:val="0"/>
          <w:numId w:val="1"/>
        </w:numPr>
      </w:pPr>
      <w:r>
        <w:rPr>
          <w:b/>
          <w:color w:val="221D18"/>
        </w:rPr>
        <w:t>TW-01 — </w:t>
      </w:r>
      <w:r>
        <w:t>All colors, radii, shadows, and typography come from Doc 05 Part 12 tokens via the generated Tailwind theme (bg-primary, text-ink, border-line…). Hex/rgb literals in class names are lint-blocked (no bg-[#B4540A]); a missing token is a design-system request, not a workaround.</w:t>
      </w:r>
    </w:p>
    <w:p>
      <w:pPr>
        <w:numPr>
          <w:ilvl w:val="0"/>
          <w:numId w:val="1"/>
        </w:numPr>
      </w:pPr>
      <w:r>
        <w:rPr>
          <w:b/>
          <w:color w:val="221D18"/>
        </w:rPr>
        <w:t>TW-02 — </w:t>
      </w:r>
      <w:r>
        <w:t>The 8px spacing grid is law (Doc 05 Part 4): only theme spacing values (multiples of 4px with the 8px rhythm for layout), no arbitrary padding/margins. Component-internal spacing uses gap on flex/grid parents rather than margins on children — margins are reserved for section rhythm.</w:t>
      </w:r>
    </w:p>
    <w:p>
      <w:pPr>
        <w:numPr>
          <w:ilvl w:val="0"/>
          <w:numId w:val="1"/>
        </w:numPr>
      </w:pPr>
      <w:r>
        <w:rPr>
          <w:b/>
          <w:color w:val="221D18"/>
        </w:rPr>
        <w:t>TW-03 — </w:t>
      </w:r>
      <w:r>
        <w:t>RTL-first CSS: logical properties only (ms-*, me-*, ps-*, pe-*, start-*, end-*, text-start); physical ml-*/mr-*/pl-*/pr-*/left-*/right-* are lint-forbidden outside documented third-party overrides. Layout flips are verified in the ar-EG viewport of every screen PR (CR-09).</w:t>
      </w:r>
    </w:p>
    <w:p>
      <w:pPr>
        <w:pStyle w:val="Heading2"/>
      </w:pPr>
      <w:r>
        <w:t>7.2 Responsive &amp; Dark-Mode Preparation (TW-04…TW-05)</w:t>
      </w:r>
    </w:p>
    <w:p>
      <w:pPr>
        <w:numPr>
          <w:ilvl w:val="0"/>
          <w:numId w:val="1"/>
        </w:numPr>
      </w:pPr>
      <w:r>
        <w:rPr>
          <w:b/>
          <w:color w:val="221D18"/>
        </w:rPr>
        <w:t>TW-04 — </w:t>
      </w:r>
      <w:r>
        <w:t>Breakpoints follow Doc 05 Part 9 exactly: base = 360px mobile, sm 640, md 768 (tablet), lg 1024, xl 1280 desktop. Mobile-first composition only — base classes for mobile, prefixed classes upward; max-width media queries are forbidden. Containers use the design system's max-widths (container tokens), not ad-hoc values.</w:t>
      </w:r>
    </w:p>
    <w:p>
      <w:pPr>
        <w:numPr>
          <w:ilvl w:val="0"/>
          <w:numId w:val="1"/>
        </w:numPr>
      </w:pPr>
      <w:r>
        <w:rPr>
          <w:b/>
          <w:color w:val="221D18"/>
        </w:rPr>
        <w:t>TW-05 — </w:t>
      </w:r>
      <w:r>
        <w:t>Dark-mode preparation (Doc 05 tokens ship both schemes): all color usage is semantic (bg-surface, text-ink) so the dark: variant activates per token, never per component. No component may reference a light-only value; the dark palette lands post-launch without touching component code.</w:t>
      </w:r>
    </w:p>
    <w:p>
      <w:pPr>
        <w:pStyle w:val="Heading2"/>
      </w:pPr>
      <w:r>
        <w:t>7.3 Animations &amp; Utility Order (TW-06…TW-08)</w:t>
      </w:r>
    </w:p>
    <w:p>
      <w:pPr>
        <w:numPr>
          <w:ilvl w:val="0"/>
          <w:numId w:val="1"/>
        </w:numPr>
      </w:pPr>
      <w:r>
        <w:rPr>
          <w:b/>
          <w:color w:val="221D18"/>
        </w:rPr>
        <w:t>TW-06 — </w:t>
      </w:r>
      <w:r>
        <w:t>Motion uses only Doc 05 Part 10's durations/easings (150/200/300ms, the standard easing set) via theme animation utilities or the motion library wrapper; hand-tuned transition-duration values are lint-blocked. Every animation honors prefers-reduced-motion (A11Y-07) via the motion-safe:/motion-reduce: variants.</w:t>
      </w:r>
    </w:p>
    <w:p>
      <w:pPr>
        <w:numPr>
          <w:ilvl w:val="0"/>
          <w:numId w:val="1"/>
        </w:numPr>
      </w:pPr>
      <w:r>
        <w:rPr>
          <w:b/>
          <w:color w:val="221D18"/>
        </w:rPr>
        <w:t>TW-07 — </w:t>
      </w:r>
      <w:r>
        <w:t>Class order is enforced by prettier-plugin-tailwindcss (its canonical order); hand-ordering classes is churn the reviewer will not read. Compose conditionals through cn() (clsx + tailwind-merge) — never string concatenation of class names, which breaks tailwind-merge conflict resolution.</w:t>
      </w:r>
    </w:p>
    <w:p>
      <w:pPr>
        <w:numPr>
          <w:ilvl w:val="0"/>
          <w:numId w:val="1"/>
        </w:numPr>
      </w:pPr>
      <w:r>
        <w:rPr>
          <w:b/>
          <w:color w:val="221D18"/>
        </w:rPr>
        <w:t>TW-08 — </w:t>
      </w:r>
      <w:r>
        <w:t>Variant composition (hover/focus/active/disabled/aria-*) follows the component specs of Doc 05 Part 5 exactly — the tokens already encode the interaction colors; new interactive states require a design-system addition first (CMP-01).</w:t>
      </w:r>
    </w:p>
    <w:p>
      <w:pPr>
        <w:pStyle w:val="Heading1"/>
      </w:pPr>
      <w:r>
        <w:t>Part 8. Component Library</w:t>
      </w:r>
      <w:bookmarkStart w:name="_Sec9" w:id="9"/>
      <w:bookmarkEnd w:id="9"/>
    </w:p>
    <w:p>
      <w:r>
        <w:t>The library implements Doc 05 Part 5's 23 components as owned, typed, documented, and tested primitives. This part fixes their engineering contracts — APIs, state coverage, and composition rules — so every screen composes the same pieces the same way.</w:t>
      </w:r>
    </w:p>
    <w:p>
      <w:pPr>
        <w:pStyle w:val="Heading2"/>
      </w:pPr>
      <w:r>
        <w:t>8.1 Library-Wide Rules (CMP-01…CMP-04)</w:t>
      </w:r>
    </w:p>
    <w:p>
      <w:pPr>
        <w:numPr>
          <w:ilvl w:val="0"/>
          <w:numId w:val="1"/>
        </w:numPr>
      </w:pPr>
      <w:r>
        <w:rPr>
          <w:b/>
          <w:color w:val="221D18"/>
        </w:rPr>
        <w:t>CMP-01 — </w:t>
      </w:r>
      <w:r>
        <w:t>Every component starts from its Doc 05 spec (states, variants, a11y notes); the implementation checklist is: typed props (TS-04), all four render states where data-bearing (FE-05), keyboard + ARIA per Part 15, RTL-verified, motion per TW-06, and a Storybook story per variant/state. A component without stories does not ship.</w:t>
      </w:r>
    </w:p>
    <w:p>
      <w:pPr>
        <w:numPr>
          <w:ilvl w:val="0"/>
          <w:numId w:val="1"/>
        </w:numPr>
      </w:pPr>
      <w:r>
        <w:rPr>
          <w:b/>
          <w:color w:val="221D18"/>
        </w:rPr>
        <w:t>CMP-02 — </w:t>
      </w:r>
      <w:r>
        <w:t>shadcn/ui primitives (ui/) are wrapped, not extended: app components add domain props and Doc-05 styling; the primitive's behavior contract (Radix) is preserved. Forking a primitive requires an ADR.</w:t>
      </w:r>
    </w:p>
    <w:p>
      <w:pPr>
        <w:numPr>
          <w:ilvl w:val="0"/>
          <w:numId w:val="1"/>
        </w:numPr>
      </w:pPr>
      <w:r>
        <w:rPr>
          <w:b/>
          <w:color w:val="221D18"/>
        </w:rPr>
        <w:t>CMP-03 — </w:t>
      </w:r>
      <w:r>
        <w:t>Composition over configuration: components accept children/slots (BookingSummary line items, Table cell renderers) instead of mega-prop objects; render-props where the parent owns data shaping, never boolean prop explosions (shouldShowX flags beyond two are a refactor signal).</w:t>
      </w:r>
    </w:p>
    <w:p>
      <w:pPr>
        <w:numPr>
          <w:ilvl w:val="0"/>
          <w:numId w:val="1"/>
        </w:numPr>
      </w:pPr>
      <w:r>
        <w:rPr>
          <w:b/>
          <w:color w:val="221D18"/>
        </w:rPr>
        <w:t>CMP-04 — </w:t>
      </w:r>
      <w:r>
        <w:t>Data components are presentational only (FE-06): TripCard receives a Trip DTO, not a query; the container formats money/dates via packages/utils (EGP formatting, localized Arabic/English dates) so components never import i18n formatters directly.</w:t>
      </w:r>
    </w:p>
    <w:p>
      <w:pPr>
        <w:pStyle w:val="Heading2"/>
      </w:pPr>
      <w:r>
        <w:t>8.2 Component Contracts</w:t>
      </w:r>
    </w:p>
    <w:tbl>
      <w:tblPr>
        <w:tblW w:w="5000" w:type="pct"/>
        <w:tblBorders>
          <w:top w:val="single" w:color="B4540A" w:sz="10"/>
          <w:left w:val="nil"/>
          <w:bottom w:val="single" w:color="B4540A" w:sz="10"/>
          <w:right w:val="nil"/>
          <w:insideH w:val="single" w:color="DCD5CC" w:sz="4"/>
          <w:insideV w:val="nil"/>
        </w:tblBorders>
      </w:tblPr>
      <w:tblGrid>
        <w:gridCol w:w="1500"/>
        <w:gridCol w:w="3000"/>
        <w:gridCol w:w="2926"/>
        <w:gridCol w:w="1600"/>
      </w:tblGrid>
      <w:tr>
        <w:trPr>
          <w:tblHeader/>
        </w:trPr>
        <w:tc>
          <w:tcPr>
            <w:tcW w:w="1500" w:type="dxa"/>
            <w:shd w:val="clear" w:fill="F3EDE4"/>
          </w:tcPr>
          <w:p>
            <w:pPr>
              <w:spacing w:before="50" w:after="50"/>
            </w:pPr>
            <w:r>
              <w:rPr>
                <w:b/>
                <w:color w:val="221D18"/>
                <w:sz w:val="18"/>
              </w:rPr>
              <w:t xml:space="preserve">Component (Doc 05)</w:t>
            </w:r>
          </w:p>
        </w:tc>
        <w:tc>
          <w:tcPr>
            <w:tcW w:w="3000" w:type="dxa"/>
            <w:shd w:val="clear" w:fill="F3EDE4"/>
          </w:tcPr>
          <w:p>
            <w:pPr>
              <w:spacing w:before="50" w:after="50"/>
            </w:pPr>
            <w:r>
              <w:rPr>
                <w:b/>
                <w:color w:val="221D18"/>
                <w:sz w:val="18"/>
              </w:rPr>
              <w:t xml:space="preserve">API contract (key props)</w:t>
            </w:r>
          </w:p>
        </w:tc>
        <w:tc>
          <w:tcPr>
            <w:tcW w:w="2926" w:type="dxa"/>
            <w:shd w:val="clear" w:fill="F3EDE4"/>
          </w:tcPr>
          <w:p>
            <w:pPr>
              <w:spacing w:before="50" w:after="50"/>
            </w:pPr>
            <w:r>
              <w:rPr>
                <w:b/>
                <w:color w:val="221D18"/>
                <w:sz w:val="18"/>
              </w:rPr>
              <w:t xml:space="preserve">States that must exist</w:t>
            </w:r>
          </w:p>
        </w:tc>
        <w:tc>
          <w:tcPr>
            <w:tcW w:w="1600" w:type="dxa"/>
            <w:shd w:val="clear" w:fill="F3EDE4"/>
          </w:tcPr>
          <w:p>
            <w:pPr>
              <w:spacing w:before="50" w:after="50"/>
            </w:pPr>
            <w:r>
              <w:rPr>
                <w:b/>
                <w:color w:val="221D18"/>
                <w:sz w:val="18"/>
              </w:rPr>
              <w:t xml:space="preserve">a11y anchor</w:t>
            </w:r>
          </w:p>
        </w:tc>
      </w:tr>
      <w:tr>
        <w:tc>
          <w:tcPr>
            <w:tcW w:w="1500" w:type="dxa"/>
          </w:tcPr>
          <w:p>
            <w:pPr>
              <w:spacing w:before="50" w:after="50"/>
            </w:pPr>
            <w:r>
              <w:rPr>
                <w:color w:val="564F47"/>
                <w:sz w:val="18"/>
              </w:rPr>
              <w:t xml:space="preserve">C-01 Button</w:t>
            </w:r>
          </w:p>
        </w:tc>
        <w:tc>
          <w:tcPr>
            <w:tcW w:w="3000" w:type="dxa"/>
          </w:tcPr>
          <w:p>
            <w:pPr>
              <w:spacing w:before="50" w:after="50"/>
            </w:pPr>
            <w:r>
              <w:rPr>
                <w:color w:val="564F47"/>
                <w:sz w:val="18"/>
              </w:rPr>
              <w:t xml:space="preserve">variant (primary/secondary/ghost/danger), size, loading, disabled, asChild</w:t>
            </w:r>
          </w:p>
        </w:tc>
        <w:tc>
          <w:tcPr>
            <w:tcW w:w="2926" w:type="dxa"/>
          </w:tcPr>
          <w:p>
            <w:pPr>
              <w:spacing w:before="50" w:after="50"/>
            </w:pPr>
            <w:r>
              <w:rPr>
                <w:color w:val="564F47"/>
                <w:sz w:val="18"/>
              </w:rPr>
              <w:t xml:space="preserve">default, hover, active, focus-visible, loading (spinner + label preserved), disabled</w:t>
            </w:r>
          </w:p>
        </w:tc>
        <w:tc>
          <w:tcPr>
            <w:tcW w:w="1600" w:type="dxa"/>
          </w:tcPr>
          <w:p>
            <w:pPr>
              <w:spacing w:before="50" w:after="50"/>
            </w:pPr>
            <w:r>
              <w:rPr>
                <w:color w:val="564F47"/>
                <w:sz w:val="18"/>
              </w:rPr>
              <w:t xml:space="preserve">focus ring, aria-busy</w:t>
            </w:r>
          </w:p>
        </w:tc>
      </w:tr>
      <w:tr>
        <w:tc>
          <w:tcPr>
            <w:tcW w:w="1500" w:type="dxa"/>
          </w:tcPr>
          <w:p>
            <w:pPr>
              <w:spacing w:before="50" w:after="50"/>
            </w:pPr>
            <w:r>
              <w:rPr>
                <w:color w:val="564F47"/>
                <w:sz w:val="18"/>
              </w:rPr>
              <w:t xml:space="preserve">C-02 Input</w:t>
            </w:r>
          </w:p>
        </w:tc>
        <w:tc>
          <w:tcPr>
            <w:tcW w:w="3000" w:type="dxa"/>
          </w:tcPr>
          <w:p>
            <w:pPr>
              <w:spacing w:before="50" w:after="50"/>
            </w:pPr>
            <w:r>
              <w:rPr>
                <w:color w:val="564F47"/>
                <w:sz w:val="18"/>
              </w:rPr>
              <w:t xml:space="preserve">label, hint, error, leading/trailing slots, dir override for phone/code fields</w:t>
            </w:r>
          </w:p>
        </w:tc>
        <w:tc>
          <w:tcPr>
            <w:tcW w:w="2926" w:type="dxa"/>
          </w:tcPr>
          <w:p>
            <w:pPr>
              <w:spacing w:before="50" w:after="50"/>
            </w:pPr>
            <w:r>
              <w:rPr>
                <w:color w:val="564F47"/>
                <w:sz w:val="18"/>
              </w:rPr>
              <w:t xml:space="preserve">default, focus, filled, error, disabled</w:t>
            </w:r>
          </w:p>
        </w:tc>
        <w:tc>
          <w:tcPr>
            <w:tcW w:w="1600" w:type="dxa"/>
          </w:tcPr>
          <w:p>
            <w:pPr>
              <w:spacing w:before="50" w:after="50"/>
            </w:pPr>
            <w:r>
              <w:rPr>
                <w:color w:val="564F47"/>
                <w:sz w:val="18"/>
              </w:rPr>
              <w:t xml:space="preserve">label htmlFor, aria-invalid, aria-describedby</w:t>
            </w:r>
          </w:p>
        </w:tc>
      </w:tr>
      <w:tr>
        <w:tc>
          <w:tcPr>
            <w:tcW w:w="1500" w:type="dxa"/>
          </w:tcPr>
          <w:p>
            <w:pPr>
              <w:spacing w:before="50" w:after="50"/>
            </w:pPr>
            <w:r>
              <w:rPr>
                <w:color w:val="564F47"/>
                <w:sz w:val="18"/>
              </w:rPr>
              <w:t xml:space="preserve">C-03 Dropdown / Select</w:t>
            </w:r>
          </w:p>
        </w:tc>
        <w:tc>
          <w:tcPr>
            <w:tcW w:w="3000" w:type="dxa"/>
          </w:tcPr>
          <w:p>
            <w:pPr>
              <w:spacing w:before="50" w:after="50"/>
            </w:pPr>
            <w:r>
              <w:rPr>
                <w:color w:val="564F47"/>
                <w:sz w:val="18"/>
              </w:rPr>
              <w:t xml:space="preserve">options, value, onChange, searchable, emptyLabel</w:t>
            </w:r>
          </w:p>
        </w:tc>
        <w:tc>
          <w:tcPr>
            <w:tcW w:w="2926" w:type="dxa"/>
          </w:tcPr>
          <w:p>
            <w:pPr>
              <w:spacing w:before="50" w:after="50"/>
            </w:pPr>
            <w:r>
              <w:rPr>
                <w:color w:val="564F47"/>
                <w:sz w:val="18"/>
              </w:rPr>
              <w:t xml:space="preserve">closed, open, focused option, selected, empty, loading</w:t>
            </w:r>
          </w:p>
        </w:tc>
        <w:tc>
          <w:tcPr>
            <w:tcW w:w="1600" w:type="dxa"/>
          </w:tcPr>
          <w:p>
            <w:pPr>
              <w:spacing w:before="50" w:after="50"/>
            </w:pPr>
            <w:r>
              <w:rPr>
                <w:color w:val="564F47"/>
                <w:sz w:val="18"/>
              </w:rPr>
              <w:t xml:space="preserve">listbox semantics, typeahead</w:t>
            </w:r>
          </w:p>
        </w:tc>
      </w:tr>
      <w:tr>
        <w:tc>
          <w:tcPr>
            <w:tcW w:w="1500" w:type="dxa"/>
          </w:tcPr>
          <w:p>
            <w:pPr>
              <w:spacing w:before="50" w:after="50"/>
            </w:pPr>
            <w:r>
              <w:rPr>
                <w:color w:val="564F47"/>
                <w:sz w:val="18"/>
              </w:rPr>
              <w:t xml:space="preserve">C-04 Date Picker</w:t>
            </w:r>
          </w:p>
        </w:tc>
        <w:tc>
          <w:tcPr>
            <w:tcW w:w="3000" w:type="dxa"/>
          </w:tcPr>
          <w:p>
            <w:pPr>
              <w:spacing w:before="50" w:after="50"/>
            </w:pPr>
            <w:r>
              <w:rPr>
                <w:color w:val="564F47"/>
                <w:sz w:val="18"/>
              </w:rPr>
              <w:t xml:space="preserve">value, min/max, disabledDates (calendar exceptions), locale</w:t>
            </w:r>
          </w:p>
        </w:tc>
        <w:tc>
          <w:tcPr>
            <w:tcW w:w="2926" w:type="dxa"/>
          </w:tcPr>
          <w:p>
            <w:pPr>
              <w:spacing w:before="50" w:after="50"/>
            </w:pPr>
            <w:r>
              <w:rPr>
                <w:color w:val="564F47"/>
                <w:sz w:val="18"/>
              </w:rPr>
              <w:t xml:space="preserve">idle, open, range highlight, disabled dates, error</w:t>
            </w:r>
          </w:p>
        </w:tc>
        <w:tc>
          <w:tcPr>
            <w:tcW w:w="1600" w:type="dxa"/>
          </w:tcPr>
          <w:p>
            <w:pPr>
              <w:spacing w:before="50" w:after="50"/>
            </w:pPr>
            <w:r>
              <w:rPr>
                <w:color w:val="564F47"/>
                <w:sz w:val="18"/>
              </w:rPr>
              <w:t xml:space="preserve">grid keyboard nav, roving tabindex</w:t>
            </w:r>
          </w:p>
        </w:tc>
      </w:tr>
      <w:tr>
        <w:tc>
          <w:tcPr>
            <w:tcW w:w="1500" w:type="dxa"/>
          </w:tcPr>
          <w:p>
            <w:pPr>
              <w:spacing w:before="50" w:after="50"/>
            </w:pPr>
            <w:r>
              <w:rPr>
                <w:color w:val="564F47"/>
                <w:sz w:val="18"/>
              </w:rPr>
              <w:t xml:space="preserve">C-05 Passenger Counter</w:t>
            </w:r>
          </w:p>
        </w:tc>
        <w:tc>
          <w:tcPr>
            <w:tcW w:w="3000" w:type="dxa"/>
          </w:tcPr>
          <w:p>
            <w:pPr>
              <w:spacing w:before="50" w:after="50"/>
            </w:pPr>
            <w:r>
              <w:rPr>
                <w:color w:val="564F47"/>
                <w:sz w:val="18"/>
              </w:rPr>
              <w:t xml:space="preserve">value, min/max per type, labels per passenger type</w:t>
            </w:r>
          </w:p>
        </w:tc>
        <w:tc>
          <w:tcPr>
            <w:tcW w:w="2926" w:type="dxa"/>
          </w:tcPr>
          <w:p>
            <w:pPr>
              <w:spacing w:before="50" w:after="50"/>
            </w:pPr>
            <w:r>
              <w:rPr>
                <w:color w:val="564F47"/>
                <w:sz w:val="18"/>
              </w:rPr>
              <w:t xml:space="preserve">stepper states, min/max disabled steps</w:t>
            </w:r>
          </w:p>
        </w:tc>
        <w:tc>
          <w:tcPr>
            <w:tcW w:w="1600" w:type="dxa"/>
          </w:tcPr>
          <w:p>
            <w:pPr>
              <w:spacing w:before="50" w:after="50"/>
            </w:pPr>
            <w:r>
              <w:rPr>
                <w:color w:val="564F47"/>
                <w:sz w:val="18"/>
              </w:rPr>
              <w:t xml:space="preserve">aria-live announcements of counts</w:t>
            </w:r>
          </w:p>
        </w:tc>
      </w:tr>
      <w:tr>
        <w:tc>
          <w:tcPr>
            <w:tcW w:w="1500" w:type="dxa"/>
          </w:tcPr>
          <w:p>
            <w:pPr>
              <w:spacing w:before="50" w:after="50"/>
            </w:pPr>
            <w:r>
              <w:rPr>
                <w:color w:val="564F47"/>
                <w:sz w:val="18"/>
              </w:rPr>
              <w:t xml:space="preserve">C-06 Trip Card</w:t>
            </w:r>
          </w:p>
        </w:tc>
        <w:tc>
          <w:tcPr>
            <w:tcW w:w="3000" w:type="dxa"/>
          </w:tcPr>
          <w:p>
            <w:pPr>
              <w:spacing w:before="50" w:after="50"/>
            </w:pPr>
            <w:r>
              <w:rPr>
                <w:color w:val="564F47"/>
                <w:sz w:val="18"/>
              </w:rPr>
              <w:t xml:space="preserve">trip DTO, price display, availability badge, CTA slot</w:t>
            </w:r>
          </w:p>
        </w:tc>
        <w:tc>
          <w:tcPr>
            <w:tcW w:w="2926" w:type="dxa"/>
          </w:tcPr>
          <w:p>
            <w:pPr>
              <w:spacing w:before="50" w:after="50"/>
            </w:pPr>
            <w:r>
              <w:rPr>
                <w:color w:val="564F47"/>
                <w:sz w:val="18"/>
              </w:rPr>
              <w:t xml:space="preserve">available, few-seats, sold-out, departed, skeleton</w:t>
            </w:r>
          </w:p>
        </w:tc>
        <w:tc>
          <w:tcPr>
            <w:tcW w:w="1600" w:type="dxa"/>
          </w:tcPr>
          <w:p>
            <w:pPr>
              <w:spacing w:before="50" w:after="50"/>
            </w:pPr>
            <w:r>
              <w:rPr>
                <w:color w:val="564F47"/>
                <w:sz w:val="18"/>
              </w:rPr>
              <w:t xml:space="preserve">whole-card single link, no nested interactives</w:t>
            </w:r>
          </w:p>
        </w:tc>
      </w:tr>
      <w:tr>
        <w:tc>
          <w:tcPr>
            <w:tcW w:w="1500" w:type="dxa"/>
          </w:tcPr>
          <w:p>
            <w:pPr>
              <w:spacing w:before="50" w:after="50"/>
            </w:pPr>
            <w:r>
              <w:rPr>
                <w:color w:val="564F47"/>
                <w:sz w:val="18"/>
              </w:rPr>
              <w:t xml:space="preserve">C-07 Seat Layout</w:t>
            </w:r>
          </w:p>
        </w:tc>
        <w:tc>
          <w:tcPr>
            <w:tcW w:w="3000" w:type="dxa"/>
          </w:tcPr>
          <w:p>
            <w:pPr>
              <w:spacing w:before="50" w:after="50"/>
            </w:pPr>
            <w:r>
              <w:rPr>
                <w:color w:val="564F47"/>
                <w:sz w:val="18"/>
              </w:rPr>
              <w:t xml:space="preserve">seatMap DTO, selection, holds countdown, max selectable</w:t>
            </w:r>
          </w:p>
        </w:tc>
        <w:tc>
          <w:tcPr>
            <w:tcW w:w="2926" w:type="dxa"/>
          </w:tcPr>
          <w:p>
            <w:pPr>
              <w:spacing w:before="50" w:after="50"/>
            </w:pPr>
            <w:r>
              <w:rPr>
                <w:color w:val="564F47"/>
                <w:sz w:val="18"/>
              </w:rPr>
              <w:t xml:space="preserve">available, held-by-me, held-by-other, booked, selected, realtime delta pulse</w:t>
            </w:r>
          </w:p>
        </w:tc>
        <w:tc>
          <w:tcPr>
            <w:tcW w:w="1600" w:type="dxa"/>
          </w:tcPr>
          <w:p>
            <w:pPr>
              <w:spacing w:before="50" w:after="50"/>
            </w:pPr>
            <w:r>
              <w:rPr>
                <w:color w:val="564F47"/>
                <w:sz w:val="18"/>
              </w:rPr>
              <w:t xml:space="preserve">keyboard seat grid, SR seat announcements (AC-3.x)</w:t>
            </w:r>
          </w:p>
        </w:tc>
      </w:tr>
      <w:tr>
        <w:tc>
          <w:tcPr>
            <w:tcW w:w="1500" w:type="dxa"/>
          </w:tcPr>
          <w:p>
            <w:pPr>
              <w:spacing w:before="50" w:after="50"/>
            </w:pPr>
            <w:r>
              <w:rPr>
                <w:color w:val="564F47"/>
                <w:sz w:val="18"/>
              </w:rPr>
              <w:t xml:space="preserve">C-08 Booking Summary</w:t>
            </w:r>
          </w:p>
        </w:tc>
        <w:tc>
          <w:tcPr>
            <w:tcW w:w="3000" w:type="dxa"/>
          </w:tcPr>
          <w:p>
            <w:pPr>
              <w:spacing w:before="50" w:after="50"/>
            </w:pPr>
            <w:r>
              <w:rPr>
                <w:color w:val="564F47"/>
                <w:sz w:val="18"/>
              </w:rPr>
              <w:t xml:space="preserve">line items, coupon state, wallet toggle, totals (Money branded)</w:t>
            </w:r>
          </w:p>
        </w:tc>
        <w:tc>
          <w:tcPr>
            <w:tcW w:w="2926" w:type="dxa"/>
          </w:tcPr>
          <w:p>
            <w:pPr>
              <w:spacing w:before="50" w:after="50"/>
            </w:pPr>
            <w:r>
              <w:rPr>
                <w:color w:val="564F47"/>
                <w:sz w:val="18"/>
              </w:rPr>
              <w:t xml:space="preserve">loading prices, coupon applied/invalid, wallet partial, total due</w:t>
            </w:r>
          </w:p>
        </w:tc>
        <w:tc>
          <w:tcPr>
            <w:tcW w:w="1600" w:type="dxa"/>
          </w:tcPr>
          <w:p>
            <w:pPr>
              <w:spacing w:before="50" w:after="50"/>
            </w:pPr>
            <w:r>
              <w:rPr>
                <w:color w:val="564F47"/>
                <w:sz w:val="18"/>
              </w:rPr>
              <w:t xml:space="preserve">aria-live totals, tabular numbers</w:t>
            </w:r>
          </w:p>
        </w:tc>
      </w:tr>
      <w:tr>
        <w:tc>
          <w:tcPr>
            <w:tcW w:w="1500" w:type="dxa"/>
          </w:tcPr>
          <w:p>
            <w:pPr>
              <w:spacing w:before="50" w:after="50"/>
            </w:pPr>
            <w:r>
              <w:rPr>
                <w:color w:val="564F47"/>
                <w:sz w:val="18"/>
              </w:rPr>
              <w:t xml:space="preserve">C-09 Navbar</w:t>
            </w:r>
          </w:p>
        </w:tc>
        <w:tc>
          <w:tcPr>
            <w:tcW w:w="3000" w:type="dxa"/>
          </w:tcPr>
          <w:p>
            <w:pPr>
              <w:spacing w:before="50" w:after="50"/>
            </w:pPr>
            <w:r>
              <w:rPr>
                <w:color w:val="564F47"/>
                <w:sz w:val="18"/>
              </w:rPr>
              <w:t xml:space="preserve">session slot, locale switcher, cart/hold indicator</w:t>
            </w:r>
          </w:p>
        </w:tc>
        <w:tc>
          <w:tcPr>
            <w:tcW w:w="2926" w:type="dxa"/>
          </w:tcPr>
          <w:p>
            <w:pPr>
              <w:spacing w:before="50" w:after="50"/>
            </w:pPr>
            <w:r>
              <w:rPr>
                <w:color w:val="564F47"/>
                <w:sz w:val="18"/>
              </w:rPr>
              <w:t xml:space="preserve">guest, authenticated, scrolled, mobile drawer</w:t>
            </w:r>
          </w:p>
        </w:tc>
        <w:tc>
          <w:tcPr>
            <w:tcW w:w="1600" w:type="dxa"/>
          </w:tcPr>
          <w:p>
            <w:pPr>
              <w:spacing w:before="50" w:after="50"/>
            </w:pPr>
            <w:r>
              <w:rPr>
                <w:color w:val="564F47"/>
                <w:sz w:val="18"/>
              </w:rPr>
              <w:t xml:space="preserve">landmarks, skip link target</w:t>
            </w:r>
          </w:p>
        </w:tc>
      </w:tr>
      <w:tr>
        <w:tc>
          <w:tcPr>
            <w:tcW w:w="1500" w:type="dxa"/>
          </w:tcPr>
          <w:p>
            <w:pPr>
              <w:spacing w:before="50" w:after="50"/>
            </w:pPr>
            <w:r>
              <w:rPr>
                <w:color w:val="564F47"/>
                <w:sz w:val="18"/>
              </w:rPr>
              <w:t xml:space="preserve">C-10 Footer</w:t>
            </w:r>
          </w:p>
        </w:tc>
        <w:tc>
          <w:tcPr>
            <w:tcW w:w="3000" w:type="dxa"/>
          </w:tcPr>
          <w:p>
            <w:pPr>
              <w:spacing w:before="50" w:after="50"/>
            </w:pPr>
            <w:r>
              <w:rPr>
                <w:color w:val="564F47"/>
                <w:sz w:val="18"/>
              </w:rPr>
              <w:t xml:space="preserve">CMS-driven link groups, payment badges</w:t>
            </w:r>
          </w:p>
        </w:tc>
        <w:tc>
          <w:tcPr>
            <w:tcW w:w="2926" w:type="dxa"/>
          </w:tcPr>
          <w:p>
            <w:pPr>
              <w:spacing w:before="50" w:after="50"/>
            </w:pPr>
            <w:r>
              <w:rPr>
                <w:color w:val="564F47"/>
                <w:sz w:val="18"/>
              </w:rPr>
              <w:t xml:space="preserve">desktop columns, mobile accordion</w:t>
            </w:r>
          </w:p>
        </w:tc>
        <w:tc>
          <w:tcPr>
            <w:tcW w:w="1600" w:type="dxa"/>
          </w:tcPr>
          <w:p>
            <w:pPr>
              <w:spacing w:before="50" w:after="50"/>
            </w:pPr>
            <w:r>
              <w:rPr>
                <w:color w:val="564F47"/>
                <w:sz w:val="18"/>
              </w:rPr>
              <w:t xml:space="preserve">contentinfo landmark</w:t>
            </w:r>
          </w:p>
        </w:tc>
      </w:tr>
      <w:tr>
        <w:tc>
          <w:tcPr>
            <w:tcW w:w="1500" w:type="dxa"/>
          </w:tcPr>
          <w:p>
            <w:pPr>
              <w:spacing w:before="50" w:after="50"/>
            </w:pPr>
            <w:r>
              <w:rPr>
                <w:color w:val="564F47"/>
                <w:sz w:val="18"/>
              </w:rPr>
              <w:t xml:space="preserve">C-11 Card</w:t>
            </w:r>
          </w:p>
        </w:tc>
        <w:tc>
          <w:tcPr>
            <w:tcW w:w="3000" w:type="dxa"/>
          </w:tcPr>
          <w:p>
            <w:pPr>
              <w:spacing w:before="50" w:after="50"/>
            </w:pPr>
            <w:r>
              <w:rPr>
                <w:color w:val="564F47"/>
                <w:sz w:val="18"/>
              </w:rPr>
              <w:t xml:space="preserve">padding variants, interactive flag, href/asChild</w:t>
            </w:r>
          </w:p>
        </w:tc>
        <w:tc>
          <w:tcPr>
            <w:tcW w:w="2926" w:type="dxa"/>
          </w:tcPr>
          <w:p>
            <w:pPr>
              <w:spacing w:before="50" w:after="50"/>
            </w:pPr>
            <w:r>
              <w:rPr>
                <w:color w:val="564F47"/>
                <w:sz w:val="18"/>
              </w:rPr>
              <w:t xml:space="preserve">default, hover (interactive only), focus-within</w:t>
            </w:r>
          </w:p>
        </w:tc>
        <w:tc>
          <w:tcPr>
            <w:tcW w:w="1600" w:type="dxa"/>
          </w:tcPr>
          <w:p>
            <w:pPr>
              <w:spacing w:before="50" w:after="50"/>
            </w:pPr>
            <w:r>
              <w:rPr>
                <w:color w:val="564F47"/>
                <w:sz w:val="18"/>
              </w:rPr>
              <w:t xml:space="preserve">no a11y tax for static cards</w:t>
            </w:r>
          </w:p>
        </w:tc>
      </w:tr>
      <w:tr>
        <w:tc>
          <w:tcPr>
            <w:tcW w:w="1500" w:type="dxa"/>
          </w:tcPr>
          <w:p>
            <w:pPr>
              <w:spacing w:before="50" w:after="50"/>
            </w:pPr>
            <w:r>
              <w:rPr>
                <w:color w:val="564F47"/>
                <w:sz w:val="18"/>
              </w:rPr>
              <w:t xml:space="preserve">C-12 Badge</w:t>
            </w:r>
          </w:p>
        </w:tc>
        <w:tc>
          <w:tcPr>
            <w:tcW w:w="3000" w:type="dxa"/>
          </w:tcPr>
          <w:p>
            <w:pPr>
              <w:spacing w:before="50" w:after="50"/>
            </w:pPr>
            <w:r>
              <w:rPr>
                <w:color w:val="564F47"/>
                <w:sz w:val="18"/>
              </w:rPr>
              <w:t xml:space="preserve">tone (success/warning/error/info/neutral), size</w:t>
            </w:r>
          </w:p>
        </w:tc>
        <w:tc>
          <w:tcPr>
            <w:tcW w:w="2926" w:type="dxa"/>
          </w:tcPr>
          <w:p>
            <w:pPr>
              <w:spacing w:before="50" w:after="50"/>
            </w:pPr>
            <w:r>
              <w:rPr>
                <w:color w:val="564F47"/>
                <w:sz w:val="18"/>
              </w:rPr>
              <w:t xml:space="preserve">static; maps Doc 03 statuses 1:1 (trip/booking/payment)</w:t>
            </w:r>
          </w:p>
        </w:tc>
        <w:tc>
          <w:tcPr>
            <w:tcW w:w="1600" w:type="dxa"/>
          </w:tcPr>
          <w:p>
            <w:pPr>
              <w:spacing w:before="50" w:after="50"/>
            </w:pPr>
            <w:r>
              <w:rPr>
                <w:color w:val="564F47"/>
                <w:sz w:val="18"/>
              </w:rPr>
              <w:t xml:space="preserve">not color-only — icon or text</w:t>
            </w:r>
          </w:p>
        </w:tc>
      </w:tr>
      <w:tr>
        <w:tc>
          <w:tcPr>
            <w:tcW w:w="1500" w:type="dxa"/>
          </w:tcPr>
          <w:p>
            <w:pPr>
              <w:spacing w:before="50" w:after="50"/>
            </w:pPr>
            <w:r>
              <w:rPr>
                <w:color w:val="564F47"/>
                <w:sz w:val="18"/>
              </w:rPr>
              <w:t xml:space="preserve">C-13 Table</w:t>
            </w:r>
          </w:p>
        </w:tc>
        <w:tc>
          <w:tcPr>
            <w:tcW w:w="3000" w:type="dxa"/>
          </w:tcPr>
          <w:p>
            <w:pPr>
              <w:spacing w:before="50" w:after="50"/>
            </w:pPr>
            <w:r>
              <w:rPr>
                <w:color w:val="564F47"/>
                <w:sz w:val="18"/>
              </w:rPr>
              <w:t xml:space="preserve">typed columns, row DTOs, sort state, empty row, density</w:t>
            </w:r>
          </w:p>
        </w:tc>
        <w:tc>
          <w:tcPr>
            <w:tcW w:w="2926" w:type="dxa"/>
          </w:tcPr>
          <w:p>
            <w:pPr>
              <w:spacing w:before="50" w:after="50"/>
            </w:pPr>
            <w:r>
              <w:rPr>
                <w:color w:val="564F47"/>
                <w:sz w:val="18"/>
              </w:rPr>
              <w:t xml:space="preserve">loading skeleton rows, empty (C-22), error row, paginated</w:t>
            </w:r>
          </w:p>
        </w:tc>
        <w:tc>
          <w:tcPr>
            <w:tcW w:w="1600" w:type="dxa"/>
          </w:tcPr>
          <w:p>
            <w:pPr>
              <w:spacing w:before="50" w:after="50"/>
            </w:pPr>
            <w:r>
              <w:rPr>
                <w:color w:val="564F47"/>
                <w:sz w:val="18"/>
              </w:rPr>
              <w:t xml:space="preserve">th scope, sortable aria-sort</w:t>
            </w:r>
          </w:p>
        </w:tc>
      </w:tr>
      <w:tr>
        <w:tc>
          <w:tcPr>
            <w:tcW w:w="1500" w:type="dxa"/>
          </w:tcPr>
          <w:p>
            <w:pPr>
              <w:spacing w:before="50" w:after="50"/>
            </w:pPr>
            <w:r>
              <w:rPr>
                <w:color w:val="564F47"/>
                <w:sz w:val="18"/>
              </w:rPr>
              <w:t xml:space="preserve">C-14 Pagination</w:t>
            </w:r>
          </w:p>
        </w:tc>
        <w:tc>
          <w:tcPr>
            <w:tcW w:w="3000" w:type="dxa"/>
          </w:tcPr>
          <w:p>
            <w:pPr>
              <w:spacing w:before="50" w:after="50"/>
            </w:pPr>
            <w:r>
              <w:rPr>
                <w:color w:val="564F47"/>
                <w:sz w:val="18"/>
              </w:rPr>
              <w:t xml:space="preserve">cursor-based (Doc 04 §1.7): next/prev cursors, total optional</w:t>
            </w:r>
          </w:p>
        </w:tc>
        <w:tc>
          <w:tcPr>
            <w:tcW w:w="2926" w:type="dxa"/>
          </w:tcPr>
          <w:p>
            <w:pPr>
              <w:spacing w:before="50" w:after="50"/>
            </w:pPr>
            <w:r>
              <w:rPr>
                <w:color w:val="564F47"/>
                <w:sz w:val="18"/>
              </w:rPr>
              <w:t xml:space="preserve">first/middle/last page, loading next</w:t>
            </w:r>
          </w:p>
        </w:tc>
        <w:tc>
          <w:tcPr>
            <w:tcW w:w="1600" w:type="dxa"/>
          </w:tcPr>
          <w:p>
            <w:pPr>
              <w:spacing w:before="50" w:after="50"/>
            </w:pPr>
            <w:r>
              <w:rPr>
                <w:color w:val="564F47"/>
                <w:sz w:val="18"/>
              </w:rPr>
              <w:t xml:space="preserve">nav landmark, aria-current</w:t>
            </w:r>
          </w:p>
        </w:tc>
      </w:tr>
      <w:tr>
        <w:tc>
          <w:tcPr>
            <w:tcW w:w="1500" w:type="dxa"/>
          </w:tcPr>
          <w:p>
            <w:pPr>
              <w:spacing w:before="50" w:after="50"/>
            </w:pPr>
            <w:r>
              <w:rPr>
                <w:color w:val="564F47"/>
                <w:sz w:val="18"/>
              </w:rPr>
              <w:t xml:space="preserve">C-15 Search / Filters</w:t>
            </w:r>
          </w:p>
        </w:tc>
        <w:tc>
          <w:tcPr>
            <w:tcW w:w="3000" w:type="dxa"/>
          </w:tcPr>
          <w:p>
            <w:pPr>
              <w:spacing w:before="50" w:after="50"/>
            </w:pPr>
            <w:r>
              <w:rPr>
                <w:color w:val="564F47"/>
                <w:sz w:val="18"/>
              </w:rPr>
              <w:t xml:space="preserve">controlled values, apply/reset, active filter chips</w:t>
            </w:r>
          </w:p>
        </w:tc>
        <w:tc>
          <w:tcPr>
            <w:tcW w:w="2926" w:type="dxa"/>
          </w:tcPr>
          <w:p>
            <w:pPr>
              <w:spacing w:before="50" w:after="50"/>
            </w:pPr>
            <w:r>
              <w:rPr>
                <w:color w:val="564F47"/>
                <w:sz w:val="18"/>
              </w:rPr>
              <w:t xml:space="preserve">idle, active filters, no-results (with C-22), mobile sheet</w:t>
            </w:r>
          </w:p>
        </w:tc>
        <w:tc>
          <w:tcPr>
            <w:tcW w:w="1600" w:type="dxa"/>
          </w:tcPr>
          <w:p>
            <w:pPr>
              <w:spacing w:before="50" w:after="50"/>
            </w:pPr>
            <w:r>
              <w:rPr>
                <w:color w:val="564F47"/>
                <w:sz w:val="18"/>
              </w:rPr>
              <w:t xml:space="preserve">form role=search, chip removal buttons</w:t>
            </w:r>
          </w:p>
        </w:tc>
      </w:tr>
      <w:tr>
        <w:tc>
          <w:tcPr>
            <w:tcW w:w="1500" w:type="dxa"/>
          </w:tcPr>
          <w:p>
            <w:pPr>
              <w:spacing w:before="50" w:after="50"/>
            </w:pPr>
            <w:r>
              <w:rPr>
                <w:color w:val="564F47"/>
                <w:sz w:val="18"/>
              </w:rPr>
              <w:t xml:space="preserve">C-16 Modal</w:t>
            </w:r>
          </w:p>
        </w:tc>
        <w:tc>
          <w:tcPr>
            <w:tcW w:w="3000" w:type="dxa"/>
          </w:tcPr>
          <w:p>
            <w:pPr>
              <w:spacing w:before="50" w:after="50"/>
            </w:pPr>
            <w:r>
              <w:rPr>
                <w:color w:val="564F47"/>
                <w:sz w:val="18"/>
              </w:rPr>
              <w:t xml:space="preserve">open, onClose, title, size, initialFocus</w:t>
            </w:r>
          </w:p>
        </w:tc>
        <w:tc>
          <w:tcPr>
            <w:tcW w:w="2926" w:type="dxa"/>
          </w:tcPr>
          <w:p>
            <w:pPr>
              <w:spacing w:before="50" w:after="50"/>
            </w:pPr>
            <w:r>
              <w:rPr>
                <w:color w:val="564F47"/>
                <w:sz w:val="18"/>
              </w:rPr>
              <w:t xml:space="preserve">enter/exit per motion spec, scroll-locked body</w:t>
            </w:r>
          </w:p>
        </w:tc>
        <w:tc>
          <w:tcPr>
            <w:tcW w:w="1600" w:type="dxa"/>
          </w:tcPr>
          <w:p>
            <w:pPr>
              <w:spacing w:before="50" w:after="50"/>
            </w:pPr>
            <w:r>
              <w:rPr>
                <w:color w:val="564F47"/>
                <w:sz w:val="18"/>
              </w:rPr>
              <w:t xml:space="preserve">focus trap, Escape, aria-modal</w:t>
            </w:r>
          </w:p>
        </w:tc>
      </w:tr>
      <w:tr>
        <w:tc>
          <w:tcPr>
            <w:tcW w:w="1500" w:type="dxa"/>
          </w:tcPr>
          <w:p>
            <w:pPr>
              <w:spacing w:before="50" w:after="50"/>
            </w:pPr>
            <w:r>
              <w:rPr>
                <w:color w:val="564F47"/>
                <w:sz w:val="18"/>
              </w:rPr>
              <w:t xml:space="preserve">C-17 Drawer</w:t>
            </w:r>
          </w:p>
        </w:tc>
        <w:tc>
          <w:tcPr>
            <w:tcW w:w="3000" w:type="dxa"/>
          </w:tcPr>
          <w:p>
            <w:pPr>
              <w:spacing w:before="50" w:after="50"/>
            </w:pPr>
            <w:r>
              <w:rPr>
                <w:color w:val="564F47"/>
                <w:sz w:val="18"/>
              </w:rPr>
              <w:t xml:space="preserve">side (start/end — RTL aware), snap points (mobile)</w:t>
            </w:r>
          </w:p>
        </w:tc>
        <w:tc>
          <w:tcPr>
            <w:tcW w:w="2926" w:type="dxa"/>
          </w:tcPr>
          <w:p>
            <w:pPr>
              <w:spacing w:before="50" w:after="50"/>
            </w:pPr>
            <w:r>
              <w:rPr>
                <w:color w:val="564F47"/>
                <w:sz w:val="18"/>
              </w:rPr>
              <w:t xml:space="preserve">open, drag-to-dismiss on mobile</w:t>
            </w:r>
          </w:p>
        </w:tc>
        <w:tc>
          <w:tcPr>
            <w:tcW w:w="1600" w:type="dxa"/>
          </w:tcPr>
          <w:p>
            <w:pPr>
              <w:spacing w:before="50" w:after="50"/>
            </w:pPr>
            <w:r>
              <w:rPr>
                <w:color w:val="564F47"/>
                <w:sz w:val="18"/>
              </w:rPr>
              <w:t xml:space="preserve">same as modal + swipe affordance</w:t>
            </w:r>
          </w:p>
        </w:tc>
      </w:tr>
      <w:tr>
        <w:tc>
          <w:tcPr>
            <w:tcW w:w="1500" w:type="dxa"/>
          </w:tcPr>
          <w:p>
            <w:pPr>
              <w:spacing w:before="50" w:after="50"/>
            </w:pPr>
            <w:r>
              <w:rPr>
                <w:color w:val="564F47"/>
                <w:sz w:val="18"/>
              </w:rPr>
              <w:t xml:space="preserve">C-18 Toast</w:t>
            </w:r>
          </w:p>
        </w:tc>
        <w:tc>
          <w:tcPr>
            <w:tcW w:w="3000" w:type="dxa"/>
          </w:tcPr>
          <w:p>
            <w:pPr>
              <w:spacing w:before="50" w:after="50"/>
            </w:pPr>
            <w:r>
              <w:rPr>
                <w:color w:val="564F47"/>
                <w:sz w:val="18"/>
              </w:rPr>
              <w:t xml:space="preserve">tone, title, action slot, duration, queue (max 3)</w:t>
            </w:r>
          </w:p>
        </w:tc>
        <w:tc>
          <w:tcPr>
            <w:tcW w:w="2926" w:type="dxa"/>
          </w:tcPr>
          <w:p>
            <w:pPr>
              <w:spacing w:before="50" w:after="50"/>
            </w:pPr>
            <w:r>
              <w:rPr>
                <w:color w:val="564F47"/>
                <w:sz w:val="18"/>
              </w:rPr>
              <w:t xml:space="preserve">enter, persist-on-hover, exit, stacked</w:t>
            </w:r>
          </w:p>
        </w:tc>
        <w:tc>
          <w:tcPr>
            <w:tcW w:w="1600" w:type="dxa"/>
          </w:tcPr>
          <w:p>
            <w:pPr>
              <w:spacing w:before="50" w:after="50"/>
            </w:pPr>
            <w:r>
              <w:rPr>
                <w:color w:val="564F47"/>
                <w:sz w:val="18"/>
              </w:rPr>
              <w:t xml:space="preserve">aria-live polite (assertive for errors)</w:t>
            </w:r>
          </w:p>
        </w:tc>
      </w:tr>
      <w:tr>
        <w:tc>
          <w:tcPr>
            <w:tcW w:w="1500" w:type="dxa"/>
          </w:tcPr>
          <w:p>
            <w:pPr>
              <w:spacing w:before="50" w:after="50"/>
            </w:pPr>
            <w:r>
              <w:rPr>
                <w:color w:val="564F47"/>
                <w:sz w:val="18"/>
              </w:rPr>
              <w:t xml:space="preserve">C-19 Loading</w:t>
            </w:r>
          </w:p>
        </w:tc>
        <w:tc>
          <w:tcPr>
            <w:tcW w:w="3000" w:type="dxa"/>
          </w:tcPr>
          <w:p>
            <w:pPr>
              <w:spacing w:before="50" w:after="50"/>
            </w:pPr>
            <w:r>
              <w:rPr>
                <w:color w:val="564F47"/>
                <w:sz w:val="18"/>
              </w:rPr>
              <w:t xml:space="preserve">inline spinner, fullscreen route loader, label</w:t>
            </w:r>
          </w:p>
        </w:tc>
        <w:tc>
          <w:tcPr>
            <w:tcW w:w="2926" w:type="dxa"/>
          </w:tcPr>
          <w:p>
            <w:pPr>
              <w:spacing w:before="50" w:after="50"/>
            </w:pPr>
            <w:r>
              <w:rPr>
                <w:color w:val="564F47"/>
                <w:sz w:val="18"/>
              </w:rPr>
              <w:t xml:space="preserve">indeterminate only; never spinner-forever (timeout → C-23)</w:t>
            </w:r>
          </w:p>
        </w:tc>
        <w:tc>
          <w:tcPr>
            <w:tcW w:w="1600" w:type="dxa"/>
          </w:tcPr>
          <w:p>
            <w:pPr>
              <w:spacing w:before="50" w:after="50"/>
            </w:pPr>
            <w:r>
              <w:rPr>
                <w:color w:val="564F47"/>
                <w:sz w:val="18"/>
              </w:rPr>
              <w:t xml:space="preserve">role=status + label</w:t>
            </w:r>
          </w:p>
        </w:tc>
      </w:tr>
      <w:tr>
        <w:tc>
          <w:tcPr>
            <w:tcW w:w="1500" w:type="dxa"/>
          </w:tcPr>
          <w:p>
            <w:pPr>
              <w:spacing w:before="50" w:after="50"/>
            </w:pPr>
            <w:r>
              <w:rPr>
                <w:color w:val="564F47"/>
                <w:sz w:val="18"/>
              </w:rPr>
              <w:t xml:space="preserve">C-20 Skeleton</w:t>
            </w:r>
          </w:p>
        </w:tc>
        <w:tc>
          <w:tcPr>
            <w:tcW w:w="3000" w:type="dxa"/>
          </w:tcPr>
          <w:p>
            <w:pPr>
              <w:spacing w:before="50" w:after="50"/>
            </w:pPr>
            <w:r>
              <w:rPr>
                <w:color w:val="564F47"/>
                <w:sz w:val="18"/>
              </w:rPr>
              <w:t xml:space="preserve">shape presets matching C-06/07/13 layouts</w:t>
            </w:r>
          </w:p>
        </w:tc>
        <w:tc>
          <w:tcPr>
            <w:tcW w:w="2926" w:type="dxa"/>
          </w:tcPr>
          <w:p>
            <w:pPr>
              <w:spacing w:before="50" w:after="50"/>
            </w:pPr>
            <w:r>
              <w:rPr>
                <w:color w:val="564F47"/>
                <w:sz w:val="18"/>
              </w:rPr>
              <w:t xml:space="preserve">per-screen skeleton per Doc 05 (no layout shift on swap)</w:t>
            </w:r>
          </w:p>
        </w:tc>
        <w:tc>
          <w:tcPr>
            <w:tcW w:w="1600" w:type="dxa"/>
          </w:tcPr>
          <w:p>
            <w:pPr>
              <w:spacing w:before="50" w:after="50"/>
            </w:pPr>
            <w:r>
              <w:rPr>
                <w:color w:val="564F47"/>
                <w:sz w:val="18"/>
              </w:rPr>
              <w:t xml:space="preserve">aria-hidden, paired with status text</w:t>
            </w:r>
          </w:p>
        </w:tc>
      </w:tr>
      <w:tr>
        <w:tc>
          <w:tcPr>
            <w:tcW w:w="1500" w:type="dxa"/>
          </w:tcPr>
          <w:p>
            <w:pPr>
              <w:spacing w:before="50" w:after="50"/>
            </w:pPr>
            <w:r>
              <w:rPr>
                <w:color w:val="564F47"/>
                <w:sz w:val="18"/>
              </w:rPr>
              <w:t xml:space="preserve">C-21 Empty State</w:t>
            </w:r>
          </w:p>
        </w:tc>
        <w:tc>
          <w:tcPr>
            <w:tcW w:w="3000" w:type="dxa"/>
          </w:tcPr>
          <w:p>
            <w:pPr>
              <w:spacing w:before="50" w:after="50"/>
            </w:pPr>
            <w:r>
              <w:rPr>
                <w:color w:val="564F47"/>
                <w:sz w:val="18"/>
              </w:rPr>
              <w:t xml:space="preserve">illustration slot, title, body, action</w:t>
            </w:r>
          </w:p>
        </w:tc>
        <w:tc>
          <w:tcPr>
            <w:tcW w:w="2926" w:type="dxa"/>
          </w:tcPr>
          <w:p>
            <w:pPr>
              <w:spacing w:before="50" w:after="50"/>
            </w:pPr>
            <w:r>
              <w:rPr>
                <w:color w:val="564F47"/>
                <w:sz w:val="18"/>
              </w:rPr>
              <w:t xml:space="preserve">per-context copy (no trips, no notifications, no results)</w:t>
            </w:r>
          </w:p>
        </w:tc>
        <w:tc>
          <w:tcPr>
            <w:tcW w:w="1600" w:type="dxa"/>
          </w:tcPr>
          <w:p>
            <w:pPr>
              <w:spacing w:before="50" w:after="50"/>
            </w:pPr>
            <w:r>
              <w:rPr>
                <w:color w:val="564F47"/>
                <w:sz w:val="18"/>
              </w:rPr>
              <w:t xml:space="preserve">not announced as error</w:t>
            </w:r>
          </w:p>
        </w:tc>
      </w:tr>
      <w:tr>
        <w:tc>
          <w:tcPr>
            <w:tcW w:w="1500" w:type="dxa"/>
          </w:tcPr>
          <w:p>
            <w:pPr>
              <w:spacing w:before="50" w:after="50"/>
            </w:pPr>
            <w:r>
              <w:rPr>
                <w:color w:val="564F47"/>
                <w:sz w:val="18"/>
              </w:rPr>
              <w:t xml:space="preserve">C-22 Error State</w:t>
            </w:r>
          </w:p>
        </w:tc>
        <w:tc>
          <w:tcPr>
            <w:tcW w:w="3000" w:type="dxa"/>
          </w:tcPr>
          <w:p>
            <w:pPr>
              <w:spacing w:before="50" w:after="50"/>
            </w:pPr>
            <w:r>
              <w:rPr>
                <w:color w:val="564F47"/>
                <w:sz w:val="18"/>
              </w:rPr>
              <w:t xml:space="preserve">error code mapping (API-07), retry action, support link</w:t>
            </w:r>
          </w:p>
        </w:tc>
        <w:tc>
          <w:tcPr>
            <w:tcW w:w="2926" w:type="dxa"/>
          </w:tcPr>
          <w:p>
            <w:pPr>
              <w:spacing w:before="50" w:after="50"/>
            </w:pPr>
            <w:r>
              <w:rPr>
                <w:color w:val="564F47"/>
                <w:sz w:val="18"/>
              </w:rPr>
              <w:t xml:space="preserve">network, 4xx, 5xx, payment-specific copy</w:t>
            </w:r>
          </w:p>
        </w:tc>
        <w:tc>
          <w:tcPr>
            <w:tcW w:w="1600" w:type="dxa"/>
          </w:tcPr>
          <w:p>
            <w:pPr>
              <w:spacing w:before="50" w:after="50"/>
            </w:pPr>
            <w:r>
              <w:rPr>
                <w:color w:val="564F47"/>
                <w:sz w:val="18"/>
              </w:rPr>
              <w:t xml:space="preserve">role=alert for route-level failures</w:t>
            </w:r>
          </w:p>
        </w:tc>
      </w:tr>
    </w:tbl>
    <w:p>
      <w:pPr>
        <w:spacing w:before="0" w:after="160"/>
      </w:pPr>
    </w:p>
    <w:p>
      <w:r>
        <w:t>Seat-hold edge contract (C-07 + C-08 combined): when a selected seat is lost to another user (SEAT_ALREADY_HELD on confirm or a realtime delta), the UI deselects it, pulses the seat to held-by-other, surfaces a toast keyed to the error code, and keeps the rest of the selection intact — the user never re-picks unaffected seats (BR-02/DB-03 made humane).</w:t>
      </w:r>
    </w:p>
    <w:p>
      <w:pPr>
        <w:pStyle w:val="Heading1"/>
      </w:pPr>
      <w:r>
        <w:t>Part 9. Backend Architecture</w:t>
      </w:r>
      <w:bookmarkStart w:name="_Sec10" w:id="10"/>
      <w:bookmarkEnd w:id="10"/>
    </w:p>
    <w:p>
      <w:r>
        <w:t>The API is a modular monolith (Doc 01): one deployable, strict internal boundaries, layers with one-way dependencies. The request pipeline is fixed: router → middleware → controller → service → repository → Prisma. Skipping a layer is a merge blocker.</w:t>
      </w:r>
    </w:p>
    <w:p>
      <w:pPr>
        <w:pStyle w:val="Heading2"/>
      </w:pPr>
      <w:r>
        <w:t>9.1 Module Anatomy (BE-01…BE-03)</w:t>
      </w:r>
    </w:p>
    <w:p>
      <w:pPr>
        <w:numPr>
          <w:ilvl w:val="0"/>
          <w:numId w:val="1"/>
        </w:numPr>
      </w:pPr>
      <w:r>
        <w:rPr>
          <w:b/>
          <w:color w:val="221D18"/>
        </w:rPr>
        <w:t>BE-01 — </w:t>
      </w:r>
      <w:r>
        <w:t>Every module folder contains the same files: routes.ts (Express router, path + middleware composition only), controller.ts, service.ts, repository.ts, validators.ts (zod from packages/validation), dto.ts (local projections of contracts DTOs), events.ts (outbox payloads), index.ts (public surface). A module missing a layer it needs is fine — a module inventing new layer names is not.</w:t>
      </w:r>
    </w:p>
    <w:p>
      <w:pPr>
        <w:numPr>
          <w:ilvl w:val="0"/>
          <w:numId w:val="1"/>
        </w:numPr>
      </w:pPr>
      <w:r>
        <w:rPr>
          <w:b/>
          <w:color w:val="221D18"/>
        </w:rPr>
        <w:t>BE-02 — </w:t>
      </w:r>
      <w:r>
        <w:t>Dependencies point inward: routes may touch controllers; controllers may touch services; services may touch repositories and other modules' services (via their index.ts only); repositories touch Prisma and nothing else. The dependency direction is enforced by the import-graph linter (FS-06/FS-07).</w:t>
      </w:r>
    </w:p>
    <w:p>
      <w:pPr>
        <w:numPr>
          <w:ilvl w:val="0"/>
          <w:numId w:val="1"/>
        </w:numPr>
      </w:pPr>
      <w:r>
        <w:rPr>
          <w:b/>
          <w:color w:val="221D18"/>
        </w:rPr>
        <w:t>BE-03 — </w:t>
      </w:r>
      <w:r>
        <w:t>Dependency injection is constructor-based and manual (no DI framework): services receive their dependencies (repositories, other services, Redis client, event bus) as constructor parameters; composition happens once in each module's index.ts and in app.ts. This keeps tests to plain object literals (TST-02) and the module graph inspectable.</w:t>
      </w:r>
    </w:p>
    <w:p>
      <w:pPr>
        <w:pStyle w:val="Heading2"/>
      </w:pPr>
      <w:r>
        <w:t>9.2 Layer Contracts (BE-04…BE-08)</w:t>
      </w:r>
    </w:p>
    <w:p>
      <w:pPr>
        <w:numPr>
          <w:ilvl w:val="0"/>
          <w:numId w:val="1"/>
        </w:numPr>
      </w:pPr>
      <w:r>
        <w:rPr>
          <w:b/>
          <w:color w:val="221D18"/>
        </w:rPr>
        <w:t>BE-04 — </w:t>
      </w:r>
      <w:r>
        <w:t>Controllers: parse + delegate + respond. They read req (params/query/body already zod-validated by middleware), call one service method, shape the Doc 04 envelope, set status codes per Doc 04's endpoint table. No business logic, no Prisma, no try/catch (the async wrapper + error middleware own failures, ERR-01).</w:t>
      </w:r>
    </w:p>
    <w:p>
      <w:pPr>
        <w:numPr>
          <w:ilvl w:val="0"/>
          <w:numId w:val="1"/>
        </w:numPr>
      </w:pPr>
      <w:r>
        <w:rPr>
          <w:b/>
          <w:color w:val="221D18"/>
        </w:rPr>
        <w:t>BE-05 — </w:t>
      </w:r>
      <w:r>
        <w:t>Services: all business rules live here — state-machine transitions (booking 12-state, trip 7-state), pricing calculations from the triangular matrix, coupon predicate evaluation, refund policy. Services are transaction scripts: they open the Prisma transaction (PRS-04), mutate through repositories, write the outbox event inside the same transaction (BE-09), and return domain results — never HTTP shapes.</w:t>
      </w:r>
    </w:p>
    <w:p>
      <w:pPr>
        <w:numPr>
          <w:ilvl w:val="0"/>
          <w:numId w:val="1"/>
        </w:numPr>
      </w:pPr>
      <w:r>
        <w:rPr>
          <w:b/>
          <w:color w:val="221D18"/>
        </w:rPr>
        <w:t>BE-06 — </w:t>
      </w:r>
      <w:r>
        <w:t>Repositories: one per aggregate root (TripRepository, BookingRepository, PaymentRepository…), exposing intention-revealing methods (findAvailableSeats, createBookingWithPassengers, appendLedgerEntry). Raw SQL is allowed only for named serving queries (Doc 03 Part 7) and lives in the repository with the query named and covered by an integration test.</w:t>
      </w:r>
    </w:p>
    <w:p>
      <w:pPr>
        <w:numPr>
          <w:ilvl w:val="0"/>
          <w:numId w:val="1"/>
        </w:numPr>
      </w:pPr>
      <w:r>
        <w:rPr>
          <w:b/>
          <w:color w:val="221D18"/>
        </w:rPr>
        <w:t>BE-07 — </w:t>
      </w:r>
      <w:r>
        <w:t>Middleware: one concern per middleware, registered in this order — request-id/trace → security headers → CORS → rate limit (SEC-13) → auth (JWT verify) → tenant scope (SEC-11) → permission check → zod validation → handler → not-found → error handler. Middleware never swallows errors; it decorates and forwards (ERR-02).</w:t>
      </w:r>
    </w:p>
    <w:p>
      <w:pPr>
        <w:numPr>
          <w:ilvl w:val="0"/>
          <w:numId w:val="1"/>
        </w:numPr>
      </w:pPr>
      <w:r>
        <w:rPr>
          <w:b/>
          <w:color w:val="221D18"/>
        </w:rPr>
        <w:t>BE-08 — </w:t>
      </w:r>
      <w:r>
        <w:t>Validators: request validation is the zod schema from packages/validation executed in middleware before the controller (FRM-04 symmetry); failures produce the Doc 04 validation error shape with field paths. Controllers can assume parsed, typed input — re-validation inside controllers is duplication the reviewer will reject.</w:t>
      </w:r>
    </w:p>
    <w:p>
      <w:pPr>
        <w:pStyle w:val="Heading2"/>
      </w:pPr>
      <w:r>
        <w:t>9.3 Events, Jobs &amp; State Machines (BE-09…BE-11)</w:t>
      </w:r>
    </w:p>
    <w:p>
      <w:pPr>
        <w:numPr>
          <w:ilvl w:val="0"/>
          <w:numId w:val="1"/>
        </w:numPr>
      </w:pPr>
      <w:r>
        <w:rPr>
          <w:b/>
          <w:color w:val="221D18"/>
        </w:rPr>
        <w:t>BE-09 — </w:t>
      </w:r>
      <w:r>
        <w:t>Every domain mutation that other modules care about writes an outbox row (T-75) inside the same database transaction as the mutation — there is exactly zero direct cross-module writing and zero fire-and-forget event publishing. The dispatcher (jobs/) publishes with retry/backoff/dead-letter (RDS-08); consumers are idempotent by event_id.</w:t>
      </w:r>
    </w:p>
    <w:p>
      <w:pPr>
        <w:numPr>
          <w:ilvl w:val="0"/>
          <w:numId w:val="1"/>
        </w:numPr>
      </w:pPr>
      <w:r>
        <w:rPr>
          <w:b/>
          <w:color w:val="221D18"/>
        </w:rPr>
        <w:t>BE-10 — </w:t>
      </w:r>
      <w:r>
        <w:t>Background work lives in jobs/ as named, scheduled, observable jobs: seat-hold expiry sweeper (BR-02, jittered batches), payment reconciliation + quarantine, notification dispatch, analytics ETL, Redis projection rebuild. Every job has: an idempotency story, a lag metric, a runbook entry, and an integration test (TST-05).</w:t>
      </w:r>
    </w:p>
    <w:p>
      <w:pPr>
        <w:numPr>
          <w:ilvl w:val="0"/>
          <w:numId w:val="1"/>
        </w:numPr>
      </w:pPr>
      <w:r>
        <w:rPr>
          <w:b/>
          <w:color w:val="221D18"/>
        </w:rPr>
        <w:t>BE-11 — </w:t>
      </w:r>
      <w:r>
        <w:t>State machines are code, not comments: transitions are enumerated functions per aggregate (booking.transitions.ts) that assert the from-state, apply the to-state, write the timeline row, and emit the event — illegal transitions throw BusinessError(BOOKING_STATE_INVALID). If/else status sprawl in services is a merge blocker.</w:t>
      </w:r>
    </w:p>
    <w:p>
      <w:pPr>
        <w:pStyle w:val="Heading1"/>
      </w:pPr>
      <w:r>
        <w:t>Part 10. Prisma Rules</w:t>
      </w:r>
      <w:bookmarkStart w:name="_Sec11" w:id="11"/>
      <w:bookmarkEnd w:id="11"/>
    </w:p>
    <w:p>
      <w:r>
        <w:t>Prisma models Document 03 faithfully: 76 tables, 24 enums, the named indexes, and the DB-xx invariants. The schema is generated-from-contract discipline — a schema change that diverges from Doc 03 requires updating Doc 03 first (ADR), not the reverse.</w:t>
      </w:r>
    </w:p>
    <w:p>
      <w:pPr>
        <w:pStyle w:val="Heading2"/>
      </w:pPr>
      <w:r>
        <w:t>10.1 Schema &amp; Naming (PRS-01…PRS-03)</w:t>
      </w:r>
    </w:p>
    <w:p>
      <w:pPr>
        <w:numPr>
          <w:ilvl w:val="0"/>
          <w:numId w:val="1"/>
        </w:numPr>
      </w:pPr>
      <w:r>
        <w:rPr>
          <w:b/>
          <w:color w:val="221D18"/>
        </w:rPr>
        <w:t>PRS-01 — </w:t>
      </w:r>
      <w:r>
        <w:t>Model names are the Doc 03 table names singularized PascalCase with @@map to the exact table name (model Booking @@map("bookings")); fields map to snake_case columns via @map only where Prisma conventions diverge. Enum names/values match Doc 03 Part 6 exactly — the DB enums are the contract enums.</w:t>
      </w:r>
    </w:p>
    <w:p>
      <w:pPr>
        <w:numPr>
          <w:ilvl w:val="0"/>
          <w:numId w:val="1"/>
        </w:numPr>
      </w:pPr>
      <w:r>
        <w:rPr>
          <w:b/>
          <w:color w:val="221D18"/>
        </w:rPr>
        <w:t>PRS-02 — </w:t>
      </w:r>
      <w:r>
        <w:t>Relations are fully explicit: both sides of every relation defined, onDelete behavior deliberate per Doc 03 (Restrict on financial lineage, Cascade only inside true composition like booking→passengers). Money columns are integer minor units (piastres) with the branded Money type at the service boundary (TS-07/BP-02); timestamps are timestamptz; all tables carry created_at/updated_at via @default/@updatedAt.</w:t>
      </w:r>
    </w:p>
    <w:p>
      <w:pPr>
        <w:numPr>
          <w:ilvl w:val="0"/>
          <w:numId w:val="1"/>
        </w:numPr>
      </w:pPr>
      <w:r>
        <w:rPr>
          <w:b/>
          <w:color w:val="221D18"/>
        </w:rPr>
        <w:t>PRS-03 — </w:t>
      </w:r>
      <w:r>
        <w:t>Indexes in the schema match Doc 03 Part 7's named serving indexes one-for-one (@@index with map: "idx_…"); the DB-03 partial unique index on (trip_id, seat_id) WHERE status = 'booked' is created in a hand-written migration because Prisma cannot express partial indexes — it is protected by a migration test that fails if the constraint disappears.</w:t>
      </w:r>
    </w:p>
    <w:p>
      <w:pPr>
        <w:pStyle w:val="Heading2"/>
      </w:pPr>
      <w:r>
        <w:t>10.2 Migrations (PRS-04…PRS-05)</w:t>
      </w:r>
    </w:p>
    <w:p>
      <w:pPr>
        <w:numPr>
          <w:ilvl w:val="0"/>
          <w:numId w:val="1"/>
        </w:numPr>
      </w:pPr>
      <w:r>
        <w:rPr>
          <w:b/>
          <w:color w:val="221D18"/>
        </w:rPr>
        <w:t>PRS-04 — </w:t>
      </w:r>
      <w:r>
        <w:t>Migrations follow the expand-migrate-contract discipline (Doc 06 DEP-2): additive changes deploy anytime; destructive changes ship as expand (new column), migrate (backfill job), contract (drop old) across separate releases. Every migration is dry-run against the staging twin and has a tested down path; migration files are immutable after merge.</w:t>
      </w:r>
    </w:p>
    <w:p>
      <w:pPr>
        <w:numPr>
          <w:ilvl w:val="0"/>
          <w:numId w:val="1"/>
        </w:numPr>
      </w:pPr>
      <w:r>
        <w:rPr>
          <w:b/>
          <w:color w:val="221D18"/>
        </w:rPr>
        <w:t>PRS-05 — </w:t>
      </w:r>
      <w:r>
        <w:t>Data migrations are jobs, not schema migrations: backfills run as idempotent, resumable jobs (BE-10) with progress logging, separate from prisma migrate deploy.</w:t>
      </w:r>
    </w:p>
    <w:p>
      <w:pPr>
        <w:pStyle w:val="Heading2"/>
      </w:pPr>
      <w:r>
        <w:t>10.3 Transactions &amp; Query Discipline (PRS-06…PRS-09)</w:t>
      </w:r>
    </w:p>
    <w:p>
      <w:pPr>
        <w:numPr>
          <w:ilvl w:val="0"/>
          <w:numId w:val="1"/>
        </w:numPr>
      </w:pPr>
      <w:r>
        <w:rPr>
          <w:b/>
          <w:color w:val="221D18"/>
        </w:rPr>
        <w:t>PRS-06 — </w:t>
      </w:r>
      <w:r>
        <w:t>Multi-write operations run in $transaction with an explicit isolation level where money or seats are involved: seat confirmation and wallet ledger writes use serializable semantics where DB-03/DB-16 demand it, with retry-on-serialization-failure (max 3, jittered) handled in the repository. Interactive transactions carry a 5s timeout — long transactions are jobs, not requests.</w:t>
      </w:r>
    </w:p>
    <w:p>
      <w:pPr>
        <w:numPr>
          <w:ilvl w:val="0"/>
          <w:numId w:val="1"/>
        </w:numPr>
      </w:pPr>
      <w:r>
        <w:rPr>
          <w:b/>
          <w:color w:val="221D18"/>
        </w:rPr>
        <w:t>PRS-07 — </w:t>
      </w:r>
      <w:r>
        <w:t>Reads are shaped: select/include only the fields the response DTO needs (no naked findMany returning whole rows to controllers); N+1 is tested, not hoped against — integration tests assert query counts on hot endpoints (TST-05). Cursor pagination (Doc 04 §1.7) is implemented at the repository with the cursor as an opaque, signed token.</w:t>
      </w:r>
    </w:p>
    <w:p>
      <w:pPr>
        <w:numPr>
          <w:ilvl w:val="0"/>
          <w:numId w:val="1"/>
        </w:numPr>
      </w:pPr>
      <w:r>
        <w:rPr>
          <w:b/>
          <w:color w:val="221D18"/>
        </w:rPr>
        <w:t>PRS-08 — </w:t>
      </w:r>
      <w:r>
        <w:t>Soft delete only where Doc 03 defines it (deleted_at on content/CMS/user-facing records); financial, booking, and audit records are never soft-deleted — they are append-only (DB-12/DB-13/DB-19). Queries on soft-deletable tables filter deleted_at at the repository layer so callers cannot forget.</w:t>
      </w:r>
    </w:p>
    <w:p>
      <w:pPr>
        <w:numPr>
          <w:ilvl w:val="0"/>
          <w:numId w:val="1"/>
        </w:numPr>
      </w:pPr>
      <w:r>
        <w:rPr>
          <w:b/>
          <w:color w:val="221D18"/>
        </w:rPr>
        <w:t>PRS-09 — </w:t>
      </w:r>
      <w:r>
        <w:t>The Prisma client is a singleton from shared/prisma.ts with query logging in development and slow-query logging (&gt; 100ms) everywhere; raw $queryRaw is confined to repositories with typed results (PRS-06) and parameter binding — string interpolation into raw SQL is a security finding (SEC-14).</w:t>
      </w:r>
    </w:p>
    <w:p>
      <w:pPr>
        <w:pStyle w:val="Heading1"/>
      </w:pPr>
      <w:r>
        <w:t>Part 11. Redis Rules</w:t>
      </w:r>
      <w:bookmarkStart w:name="_Sec12" w:id="12"/>
      <w:bookmarkEnd w:id="12"/>
    </w:p>
    <w:p>
      <w:r>
        <w:t>Redis accelerates; PostgreSQL decides. This asymmetry — Doc 03 §8.4 made operational — is the core of the seat engine's correctness: Redis may lose everything and the platform stays right, only slower. Every Redis rule below exists to preserve that property.</w:t>
      </w:r>
    </w:p>
    <w:p>
      <w:pPr>
        <w:pStyle w:val="Heading2"/>
      </w:pPr>
      <w:r>
        <w:t>11.1 Keyspace &amp; Caching (RDS-01…RDS-04)</w:t>
      </w:r>
    </w:p>
    <w:p>
      <w:pPr>
        <w:numPr>
          <w:ilvl w:val="0"/>
          <w:numId w:val="1"/>
        </w:numPr>
      </w:pPr>
      <w:r>
        <w:rPr>
          <w:b/>
          <w:color w:val="221D18"/>
        </w:rPr>
        <w:t>RDS-01 — </w:t>
      </w:r>
      <w:r>
        <w:t>Key naming is namespaced and versioned: {env}:tbp:{domain}:{entity}:{id}[:{field}] (prod:tbp:seats:hold:{tripId}:{seatId}, prod:tbp:cache:search:{hash}). Keys are enumerated in a registry file per domain with their TTL, owner module, and invalidation trigger — undocumented keys are deleted by a weekly audit job.</w:t>
      </w:r>
    </w:p>
    <w:p>
      <w:pPr>
        <w:numPr>
          <w:ilvl w:val="0"/>
          <w:numId w:val="1"/>
        </w:numPr>
      </w:pPr>
      <w:r>
        <w:rPr>
          <w:b/>
          <w:color w:val="221D18"/>
        </w:rPr>
        <w:t>RDS-02 — </w:t>
      </w:r>
      <w:r>
        <w:t>Cache-aside only: reads check Redis, fall through to PostgreSQL, then populate with the domain TTL (search 30s, reference data 5min — SM-05 symmetry). No write-behind, no cache-as-authority. Cached payloads are JSON with a schema version field; deserialization passes through the contracts zod schema.</w:t>
      </w:r>
    </w:p>
    <w:p>
      <w:pPr>
        <w:numPr>
          <w:ilvl w:val="0"/>
          <w:numId w:val="1"/>
        </w:numPr>
      </w:pPr>
      <w:r>
        <w:rPr>
          <w:b/>
          <w:color w:val="221D18"/>
        </w:rPr>
        <w:t>RDS-03 — </w:t>
      </w:r>
      <w:r>
        <w:t>Invalidation is explicit and event-driven: outbox consumers invalidate affected keys (trip update → cache:trip:{id} + affected search keys); stampede protection uses short randomized TTL jitter (±10%) on hot keys. Cache flushing in production is an ops action with a runbook, never a code path.</w:t>
      </w:r>
    </w:p>
    <w:p>
      <w:pPr>
        <w:numPr>
          <w:ilvl w:val="0"/>
          <w:numId w:val="1"/>
        </w:numPr>
      </w:pPr>
      <w:r>
        <w:rPr>
          <w:b/>
          <w:color w:val="221D18"/>
        </w:rPr>
        <w:t>RDS-04 — </w:t>
      </w:r>
      <w:r>
        <w:t>Rate-limit counters (SEC-13) use Redis INCR + EXPIRE fixed windows per tier with the Doc 04 §1.10 limits; counter keys are fail-open on Redis unavailability for read tiers, fail-closed for auth and payment tiers (availability traded for safety exactly where the threat model demands it).</w:t>
      </w:r>
    </w:p>
    <w:p>
      <w:pPr>
        <w:pStyle w:val="Heading2"/>
      </w:pPr>
      <w:r>
        <w:t>11.2 Seat Locks (RDS-05…RDS-07)</w:t>
      </w:r>
    </w:p>
    <w:p>
      <w:pPr>
        <w:numPr>
          <w:ilvl w:val="0"/>
          <w:numId w:val="1"/>
        </w:numPr>
      </w:pPr>
      <w:r>
        <w:rPr>
          <w:b/>
          <w:color w:val="221D18"/>
        </w:rPr>
        <w:t>RDS-05 — </w:t>
      </w:r>
      <w:r>
        <w:t>A seat hold is a Redis key seats:hold:{tripId}:{seatId} with value {userId, holdId, expiresAt} and TTL 600s (BR-02) — but the hold is created only after the DB row insert succeeds inside the transaction (DB authority first). Redis SET NX is the fast-path gate; on NX failure the code still confirms against PostgreSQL because Redis may lie after a restart.</w:t>
      </w:r>
    </w:p>
    <w:p>
      <w:pPr>
        <w:numPr>
          <w:ilvl w:val="0"/>
          <w:numId w:val="1"/>
        </w:numPr>
      </w:pPr>
      <w:r>
        <w:rPr>
          <w:b/>
          <w:color w:val="221D18"/>
        </w:rPr>
        <w:t>RDS-06 — </w:t>
      </w:r>
      <w:r>
        <w:t>Hold confirmation (hold → booking) deletes the Redis key inside the post-commit phase of the booking transaction; hold release/expiry is handled by the sweeper job (BE-10) reconciling DB rows past expires_at — Redis TTL expiry alone never frees a seat, because a flushed Redis must not resurrect held seats.</w:t>
      </w:r>
    </w:p>
    <w:p>
      <w:pPr>
        <w:numPr>
          <w:ilvl w:val="0"/>
          <w:numId w:val="1"/>
        </w:numPr>
      </w:pPr>
      <w:r>
        <w:rPr>
          <w:b/>
          <w:color w:val="221D18"/>
        </w:rPr>
        <w:t>RDS-07 — </w:t>
      </w:r>
      <w:r>
        <w:t>Every seat write path emits the outbox event that drives the realtime channel (SM-07); the projection update happens in the consumer, never in the request path, keeping request latency independent of socket fan-out (PERF-08).</w:t>
      </w:r>
    </w:p>
    <w:p>
      <w:pPr>
        <w:pStyle w:val="Heading2"/>
      </w:pPr>
      <w:r>
        <w:t>11.3 Recovery &amp; Synchronization (RDS-08…RDS-09)</w:t>
      </w:r>
    </w:p>
    <w:p>
      <w:pPr>
        <w:numPr>
          <w:ilvl w:val="0"/>
          <w:numId w:val="1"/>
        </w:numPr>
      </w:pPr>
      <w:r>
        <w:rPr>
          <w:b/>
          <w:color w:val="221D18"/>
        </w:rPr>
        <w:t>RDS-08 — </w:t>
      </w:r>
      <w:r>
        <w:t>Redis downgrades gracefully per feature: seat map → PostgreSQL direct (slower, correct, flagged degraded); search cache → direct queries; rate limit → per RDS-04 policy; queues (BullMQ) → jobs pause and alert, DB state stays consistent because all queue work is idempotent and outbox-anchored. The degraded mode is tested in CI by killing the Redis container mid-suite (TST-05) — AC-3.5's promise, kept continuously.</w:t>
      </w:r>
    </w:p>
    <w:p>
      <w:pPr>
        <w:numPr>
          <w:ilvl w:val="0"/>
          <w:numId w:val="1"/>
        </w:numPr>
      </w:pPr>
      <w:r>
        <w:rPr>
          <w:b/>
          <w:color w:val="221D18"/>
        </w:rPr>
        <w:t>RDS-09 — </w:t>
      </w:r>
      <w:r>
        <w:t>Rebuild procedure: the projection-rebuild job reconstructs every Redis projection from PostgreSQL on demand (post-incident, post-deploy if schema changed). It is rate-limited, resumable, and prints progress; running it is part of the Redis-incident runbook (Doc 06 LCH-03).</w:t>
      </w:r>
    </w:p>
    <w:p>
      <w:pPr>
        <w:pStyle w:val="Heading1"/>
      </w:pPr>
      <w:r>
        <w:t>Part 12. Authentication Rules</w:t>
      </w:r>
      <w:bookmarkStart w:name="_Sec13" w:id="13"/>
      <w:bookmarkEnd w:id="13"/>
    </w:p>
    <w:p>
      <w:r>
        <w:t>Identity follows Documents 03–04 exactly: JWT access + rotating refresh, OTP via SMS/WhatsApp, RBAC with tenant scoping, tiered rate limiting. This part fixes the implementation contracts so the security posture is a property of the code, not of vigilance.</w:t>
      </w:r>
    </w:p>
    <w:p>
      <w:pPr>
        <w:pStyle w:val="Heading2"/>
      </w:pPr>
      <w:r>
        <w:t>12.1 Tokens &amp; Sessions (SEC-01…SEC-06)</w:t>
      </w:r>
    </w:p>
    <w:p>
      <w:pPr>
        <w:numPr>
          <w:ilvl w:val="0"/>
          <w:numId w:val="1"/>
        </w:numPr>
      </w:pPr>
      <w:r>
        <w:rPr>
          <w:b/>
          <w:color w:val="221D18"/>
        </w:rPr>
        <w:t>SEC-01 — </w:t>
      </w:r>
      <w:r>
        <w:t>Access tokens: RS256 JWTs, 15-minute TTL, claims limited to sub, roles, vendorId (nullable), sessionId, iat/exp. No PII in tokens; no permissions arrays (permission checks query the DB, SEC-10). The public key is the only verification material on the API; private keys live in the secret store.</w:t>
      </w:r>
    </w:p>
    <w:p>
      <w:pPr>
        <w:numPr>
          <w:ilvl w:val="0"/>
          <w:numId w:val="1"/>
        </w:numPr>
      </w:pPr>
      <w:r>
        <w:rPr>
          <w:b/>
          <w:color w:val="221D18"/>
        </w:rPr>
        <w:t>SEC-02 — </w:t>
      </w:r>
      <w:r>
        <w:t>Refresh tokens: opaque 256-bit random, stored hashed (SHA-256) in refresh_tokens, 30-day TTL, HttpOnly + Secure + SameSite=Strict cookie, rotation on every use with reuse detection (SEC-03). Absolute session cap 90 days forces re-authentication.</w:t>
      </w:r>
    </w:p>
    <w:p>
      <w:pPr>
        <w:numPr>
          <w:ilvl w:val="0"/>
          <w:numId w:val="1"/>
        </w:numPr>
      </w:pPr>
      <w:r>
        <w:rPr>
          <w:b/>
          <w:color w:val="221D18"/>
        </w:rPr>
        <w:t>SEC-03 — </w:t>
      </w:r>
      <w:r>
        <w:t>Rotation reuse = compromise: presenting an already-rotated refresh token revokes the entire token family (all devices in that session line), writes the security audit row, and fires the N-xx security notification in the user's language. This path has its own integration test (Doc 06 AC-1.2).</w:t>
      </w:r>
    </w:p>
    <w:p>
      <w:pPr>
        <w:numPr>
          <w:ilvl w:val="0"/>
          <w:numId w:val="1"/>
        </w:numPr>
      </w:pPr>
      <w:r>
        <w:rPr>
          <w:b/>
          <w:color w:val="221D18"/>
        </w:rPr>
        <w:t>SEC-04 — </w:t>
      </w:r>
      <w:r>
        <w:t>OTP: 6 digits, 10-minute TTL, single-use, max 5 verification attempts then burned, resend throttled to 3/hour/number with exponential backoff; purpose-scoped (registration vs password-reset vs driver-login — otp_purpose enum). Codes are stored hashed, compared in constant time, and never logged.</w:t>
      </w:r>
    </w:p>
    <w:p>
      <w:pPr>
        <w:numPr>
          <w:ilvl w:val="0"/>
          <w:numId w:val="1"/>
        </w:numPr>
      </w:pPr>
      <w:r>
        <w:rPr>
          <w:b/>
          <w:color w:val="221D18"/>
        </w:rPr>
        <w:t>SEC-05 — </w:t>
      </w:r>
      <w:r>
        <w:t>Passwords: argon2id with the documented parameters (m=64MB, t=3, p=4), 12+ char minimum, breached-password screening on set/reset, no composition theater. Password reset invalidates all sessions (T-06) and follows the OTP path.</w:t>
      </w:r>
    </w:p>
    <w:p>
      <w:pPr>
        <w:numPr>
          <w:ilvl w:val="0"/>
          <w:numId w:val="1"/>
        </w:numPr>
      </w:pPr>
      <w:r>
        <w:rPr>
          <w:b/>
          <w:color w:val="221D18"/>
        </w:rPr>
        <w:t>SEC-06 — </w:t>
      </w:r>
      <w:r>
        <w:t>Client storage: access tokens in memory only (API-09); refresh in the Secure cookie; nothing auth-related in localStorage/sessionStorage/URL. Logout revokes server-side (refresh family) and wipes query cache (SM-05).</w:t>
      </w:r>
    </w:p>
    <w:p>
      <w:pPr>
        <w:pStyle w:val="Heading2"/>
      </w:pPr>
      <w:r>
        <w:t>12.2 RBAC &amp; Permissions (SEC-07…SEC-11)</w:t>
      </w:r>
    </w:p>
    <w:p>
      <w:pPr>
        <w:numPr>
          <w:ilvl w:val="0"/>
          <w:numId w:val="1"/>
        </w:numPr>
      </w:pPr>
      <w:r>
        <w:rPr>
          <w:b/>
          <w:color w:val="221D18"/>
        </w:rPr>
        <w:t>SEC-07 — </w:t>
      </w:r>
      <w:r>
        <w:t>Roles and permissions are the Doc 03 model (roles, permissions, role_permissions, user_roles with vendor scoping): platform roles (super_admin, ops, finance, support, cms_editor) and vendor roles (vendor_admin, vendor_ops, driver). Role changes take effect on next access-token issue (≤ 15min staleness, documented and accepted).</w:t>
      </w:r>
    </w:p>
    <w:p>
      <w:pPr>
        <w:numPr>
          <w:ilvl w:val="0"/>
          <w:numId w:val="1"/>
        </w:numPr>
      </w:pPr>
      <w:r>
        <w:rPr>
          <w:b/>
          <w:color w:val="221D18"/>
        </w:rPr>
        <w:t>SEC-08 — </w:t>
      </w:r>
      <w:r>
        <w:t>Every endpoint declares its required permission in routes.ts next to its path (auth('bookings:read')) — the authorization matrix of Doc 04 Part 9 made executable. An endpoint without a declared permission fails a startup assertion, not just review.</w:t>
      </w:r>
    </w:p>
    <w:p>
      <w:pPr>
        <w:numPr>
          <w:ilvl w:val="0"/>
          <w:numId w:val="1"/>
        </w:numPr>
      </w:pPr>
      <w:r>
        <w:rPr>
          <w:b/>
          <w:color w:val="221D18"/>
        </w:rPr>
        <w:t>SEC-09 — </w:t>
      </w:r>
      <w:r>
        <w:t>Permission checks are server-side, always: the UI hides what the user cannot do, but the API decides what the user may do. Client-side role checks are convenience, never security (CR-06).</w:t>
      </w:r>
    </w:p>
    <w:p>
      <w:pPr>
        <w:numPr>
          <w:ilvl w:val="0"/>
          <w:numId w:val="1"/>
        </w:numPr>
      </w:pPr>
      <w:r>
        <w:rPr>
          <w:b/>
          <w:color w:val="221D18"/>
        </w:rPr>
        <w:t>SEC-10 — </w:t>
      </w:r>
      <w:r>
        <w:t>Checks run against the DB through a cached permission snapshot per session (15s Redis TTL, invalidated on role change via outbox) — no JWT-embedded permissions, no stale-admin windows beyond the snapshot TTL.</w:t>
      </w:r>
    </w:p>
    <w:p>
      <w:pPr>
        <w:numPr>
          <w:ilvl w:val="0"/>
          <w:numId w:val="1"/>
        </w:numPr>
      </w:pPr>
      <w:r>
        <w:rPr>
          <w:b/>
          <w:color w:val="221D18"/>
        </w:rPr>
        <w:t>SEC-11 — </w:t>
      </w:r>
      <w:r>
        <w:t>Tenant scoping is middleware + repository enforcement: vendor context is resolved once per request and every repository method on vendor-owned data takes vendorId as a mandatory parameter; row-level security policies (Doc 06 AC-8.5) are the backstop. Cross-vendor reads are impossible by construction, not by convention — the adversarial tenancy suite (TST-07) proves it every merge.</w:t>
      </w:r>
    </w:p>
    <w:p>
      <w:pPr>
        <w:pStyle w:val="Heading2"/>
      </w:pPr>
      <w:r>
        <w:t>12.3 Rate Limiting &amp; Hardening (SEC-12…SEC-15)</w:t>
      </w:r>
    </w:p>
    <w:p>
      <w:pPr>
        <w:numPr>
          <w:ilvl w:val="0"/>
          <w:numId w:val="1"/>
        </w:numPr>
      </w:pPr>
      <w:r>
        <w:rPr>
          <w:b/>
          <w:color w:val="221D18"/>
        </w:rPr>
        <w:t>SEC-12 — </w:t>
      </w:r>
      <w:r>
        <w:t>Rate tiers per Doc 04 §1.10: auth (strictest), payment, search, general, admin — implemented as middleware with Redis counters (RDS-04), keyed per user where authenticated and per IP+device fingerprint otherwise. 429 responses follow the Doc 04 shape with Retry-After.</w:t>
      </w:r>
    </w:p>
    <w:p>
      <w:pPr>
        <w:numPr>
          <w:ilvl w:val="0"/>
          <w:numId w:val="1"/>
        </w:numPr>
      </w:pPr>
      <w:r>
        <w:rPr>
          <w:b/>
          <w:color w:val="221D18"/>
        </w:rPr>
        <w:t>SEC-13 — </w:t>
      </w:r>
      <w:r>
        <w:t>Abuse responses are silent: enumeration of users, OTP existence, or booking ownership returns indistinguishable responses (anti-enumeration, Doc 06 AC-1.4); timing differences on auth paths are flattened.</w:t>
      </w:r>
    </w:p>
    <w:p>
      <w:pPr>
        <w:numPr>
          <w:ilvl w:val="0"/>
          <w:numId w:val="1"/>
        </w:numPr>
      </w:pPr>
      <w:r>
        <w:rPr>
          <w:b/>
          <w:color w:val="221D18"/>
        </w:rPr>
        <w:t>SEC-14 — </w:t>
      </w:r>
      <w:r>
        <w:t>Input security: zod at every boundary (TS-08), parameterized queries only (PRS-09), output encoding by React default + DOMPurify allowlist for CMS rich text (Doc 06 R-S6), strict CSP headers, CSRF exempt only because SameSite=Strict + custom-header requirement on mutations (documented ADR).</w:t>
      </w:r>
    </w:p>
    <w:p>
      <w:pPr>
        <w:numPr>
          <w:ilvl w:val="0"/>
          <w:numId w:val="1"/>
        </w:numPr>
      </w:pPr>
      <w:r>
        <w:rPr>
          <w:b/>
          <w:color w:val="221D18"/>
        </w:rPr>
        <w:t>SEC-15 — </w:t>
      </w:r>
      <w:r>
        <w:t>Secrets: never in code, env files beyond .env.example, logs, or error messages (ERR-09); stored in the managed secret store with 90-day rotation (Doc 06 R-S2); settings marked is_secret in T-71 are write-only through the admin API and never returned read-side.</w:t>
      </w:r>
    </w:p>
    <w:p>
      <w:pPr>
        <w:pStyle w:val="Heading1"/>
      </w:pPr>
      <w:r>
        <w:t>Part 13. Error Handling</w:t>
      </w:r>
      <w:bookmarkStart w:name="_Sec14" w:id="14"/>
      <w:bookmarkEnd w:id="14"/>
    </w:p>
    <w:p>
      <w:r>
        <w:t>Errors are part of the API contract (Doc 04 §1.11), not accidents. The taxonomy below is complete: every failure in the platform is one of these five kinds, travels one of these paths, and is observable exactly once.</w:t>
      </w:r>
    </w:p>
    <w:p>
      <w:pPr>
        <w:pStyle w:val="Heading2"/>
      </w:pPr>
      <w:r>
        <w:t>13.1 Error Taxonomy (ERR-01…ERR-05)</w:t>
      </w:r>
    </w:p>
    <w:p>
      <w:pPr>
        <w:numPr>
          <w:ilvl w:val="0"/>
          <w:numId w:val="1"/>
        </w:numPr>
      </w:pPr>
      <w:r>
        <w:rPr>
          <w:b/>
          <w:color w:val="221D18"/>
        </w:rPr>
        <w:t>ERR-01 — </w:t>
      </w:r>
      <w:r>
        <w:t>Business errors are domain rejections: seat already held, illegal state transition, coupon ineligible, wallet insufficient, refund window closed. They are typed classes extending BusinessError carrying the Doc 04 code + safe params, thrown from services, mapped by the error middleware to their documented HTTP status (409/422/400) — never 500.</w:t>
      </w:r>
    </w:p>
    <w:p>
      <w:pPr>
        <w:numPr>
          <w:ilvl w:val="0"/>
          <w:numId w:val="1"/>
        </w:numPr>
      </w:pPr>
      <w:r>
        <w:rPr>
          <w:b/>
          <w:color w:val="221D18"/>
        </w:rPr>
        <w:t>ERR-02 — </w:t>
      </w:r>
      <w:r>
        <w:t>Validation errors come only from zod middleware failures (BE-08) and keep the Doc 04 field-path shape so FRM-06 can map them onto forms. Services may add domain validation only for rules needing DB state (e.g. matrix monotonicity across versions) and return the same shape with code VALIDATION_FAILED.</w:t>
      </w:r>
    </w:p>
    <w:p>
      <w:pPr>
        <w:numPr>
          <w:ilvl w:val="0"/>
          <w:numId w:val="1"/>
        </w:numPr>
      </w:pPr>
      <w:r>
        <w:rPr>
          <w:b/>
          <w:color w:val="221D18"/>
        </w:rPr>
        <w:t>ERR-03 — </w:t>
      </w:r>
      <w:r>
        <w:t>HTTP/transport errors: 401 (expired/invalid token — triggers API-09 refresh), 403 (permission), 404 (not found OR not visible — anti-enumeration, SEC-13), 409 (conflict), 429 (rate limited, Retry-After), 5xx (infrastructure). Controllers never construct these by hand outside the documented helpers.</w:t>
      </w:r>
    </w:p>
    <w:p>
      <w:pPr>
        <w:numPr>
          <w:ilvl w:val="0"/>
          <w:numId w:val="1"/>
        </w:numPr>
      </w:pPr>
      <w:r>
        <w:rPr>
          <w:b/>
          <w:color w:val="221D18"/>
        </w:rPr>
        <w:t>ERR-04 — </w:t>
      </w:r>
      <w:r>
        <w:t>Infrastructure errors (DB down, Redis down, Paymob timeout, SMS provider failure) are wrapped at the integration boundary into ProviderError with the provider name and retryable flag; they surface to users as generic safe copy (ERR-09) and to operators with full detail.</w:t>
      </w:r>
    </w:p>
    <w:p>
      <w:pPr>
        <w:numPr>
          <w:ilvl w:val="0"/>
          <w:numId w:val="1"/>
        </w:numPr>
      </w:pPr>
      <w:r>
        <w:rPr>
          <w:b/>
          <w:color w:val="221D18"/>
        </w:rPr>
        <w:t>ERR-05 — </w:t>
      </w:r>
      <w:r>
        <w:t>External SDK seams (Paymob, SMS, WhatsApp) live behind one adapter per provider implementing a typed port; adapters translate SDK errors into ERR-04 types and SDK payloads into contracts DTOs — the only place as-casts on external data are permitted (TS-09), each with a schema parse immediately after.</w:t>
      </w:r>
    </w:p>
    <w:p>
      <w:pPr>
        <w:pStyle w:val="Heading2"/>
      </w:pPr>
      <w:r>
        <w:t>13.2 The Error Pipeline (ERR-06…ERR-09)</w:t>
      </w:r>
    </w:p>
    <w:p>
      <w:pPr>
        <w:numPr>
          <w:ilvl w:val="0"/>
          <w:numId w:val="1"/>
        </w:numPr>
      </w:pPr>
      <w:r>
        <w:rPr>
          <w:b/>
          <w:color w:val="221D18"/>
        </w:rPr>
        <w:t>ERR-06 — </w:t>
      </w:r>
      <w:r>
        <w:t>One global error middleware, last in the chain (BE-07): maps typed errors to the Doc 04 envelope { error: { code, message, details?, traceId } }, sets the status from the mapping table, and logs exactly once. Unknown errors map to INTERNAL_ERROR with a generic message — internal detail never crosses the wire.</w:t>
      </w:r>
    </w:p>
    <w:p>
      <w:pPr>
        <w:numPr>
          <w:ilvl w:val="0"/>
          <w:numId w:val="1"/>
        </w:numPr>
      </w:pPr>
      <w:r>
        <w:rPr>
          <w:b/>
          <w:color w:val="221D18"/>
        </w:rPr>
        <w:t>ERR-07 — </w:t>
      </w:r>
      <w:r>
        <w:t>Errors are thrown, not returned: services throw typed errors; controllers stay clean (BE-04). Result-object error unions are allowed only inside repositories for expected data conditions (e.g. unique-violation → typed conflict) which the service rethrows as business errors.</w:t>
      </w:r>
    </w:p>
    <w:p>
      <w:pPr>
        <w:numPr>
          <w:ilvl w:val="0"/>
          <w:numId w:val="1"/>
        </w:numPr>
      </w:pPr>
      <w:r>
        <w:rPr>
          <w:b/>
          <w:color w:val="221D18"/>
        </w:rPr>
        <w:t>ERR-08 — </w:t>
      </w:r>
      <w:r>
        <w:t>Frontend error paths mirror the taxonomy (API-07): validation → fields, business → toast/inline copy by code, auth → refresh/logout, network → C-23 with retry, unknown → C-23 + report. The booking/payment flows add payment-specific copy per Doc 05 S-07 (failure recovery without losing the hold before expiry).</w:t>
      </w:r>
    </w:p>
    <w:p>
      <w:pPr>
        <w:numPr>
          <w:ilvl w:val="0"/>
          <w:numId w:val="1"/>
        </w:numPr>
      </w:pPr>
      <w:r>
        <w:rPr>
          <w:b/>
          <w:color w:val="221D18"/>
        </w:rPr>
        <w:t>ERR-09 — </w:t>
      </w:r>
      <w:r>
        <w:t>Error messages are split by audience: user-facing strings are i18n keys keyed on error.code (both languages, FR-07 rules); operator-facing detail goes to logs. Stack traces, SQL, provider payloads, and PII never appear in user messages, client logs, or toasts.</w:t>
      </w:r>
    </w:p>
    <w:p>
      <w:pPr>
        <w:pStyle w:val="Heading2"/>
      </w:pPr>
      <w:r>
        <w:t>13.3 Logging &amp; Observability (ERR-10…ERR-12)</w:t>
      </w:r>
    </w:p>
    <w:p>
      <w:pPr>
        <w:numPr>
          <w:ilvl w:val="0"/>
          <w:numId w:val="1"/>
        </w:numPr>
      </w:pPr>
      <w:r>
        <w:rPr>
          <w:b/>
          <w:color w:val="221D18"/>
        </w:rPr>
        <w:t>ERR-10 — </w:t>
      </w:r>
      <w:r>
        <w:t>Structured JSON logs only: level, msg, traceId, module, userId (hashed in production), durationMs, error.code — one line per event, sampled info-level in production, full in staging. No console.log anywhere in src/ (lint-enforced); the logger is shared/logger.ts with child loggers per module.</w:t>
      </w:r>
    </w:p>
    <w:p>
      <w:pPr>
        <w:numPr>
          <w:ilvl w:val="0"/>
          <w:numId w:val="1"/>
        </w:numPr>
      </w:pPr>
      <w:r>
        <w:rPr>
          <w:b/>
          <w:color w:val="221D18"/>
        </w:rPr>
        <w:t>ERR-11 — </w:t>
      </w:r>
      <w:r>
        <w:t>Every request carries a traceId (incoming X-Request-Id honored, else generated) propagated through logs, outbox events, provider calls, and the API client's error reports — a failed payment is traceable from the user's click to the Paymob response on one ID.</w:t>
      </w:r>
    </w:p>
    <w:p>
      <w:pPr>
        <w:numPr>
          <w:ilvl w:val="0"/>
          <w:numId w:val="1"/>
        </w:numPr>
      </w:pPr>
      <w:r>
        <w:rPr>
          <w:b/>
          <w:color w:val="221D18"/>
        </w:rPr>
        <w:t>ERR-12 — </w:t>
      </w:r>
      <w:r>
        <w:t>Alerting on symptoms, not noise: error-rate spikes per endpoint class, outbox lag &gt; 60s, quarantine queue growth, hold-expiry backlog, provider error rates. Alerts name the runbook section (Doc 06 LCH-03). Frontend boundary errors (FE-11) report to the same sink with route + release.</w:t>
      </w:r>
    </w:p>
    <w:p>
      <w:pPr>
        <w:pStyle w:val="Heading1"/>
      </w:pPr>
      <w:r>
        <w:t>Part 14. Performance Rules</w:t>
      </w:r>
      <w:bookmarkStart w:name="_Sec15" w:id="15"/>
      <w:bookmarkEnd w:id="15"/>
    </w:p>
    <w:p>
      <w:r>
        <w:t>Performance budgets are contracts from Documents 05–06 (CWV targets, p95 endpoint classes, 5× load gate). These rules exist so the budgets are met by construction; the CI gates in Part 16 enforce them continuously.</w:t>
      </w:r>
    </w:p>
    <w:p>
      <w:pPr>
        <w:pStyle w:val="Heading2"/>
      </w:pPr>
      <w:r>
        <w:t>14.1 Frontend Rendering (PERF-01…PERF-05)</w:t>
      </w:r>
    </w:p>
    <w:p>
      <w:pPr>
        <w:numPr>
          <w:ilvl w:val="0"/>
          <w:numId w:val="1"/>
        </w:numPr>
      </w:pPr>
      <w:r>
        <w:rPr>
          <w:b/>
          <w:color w:val="221D18"/>
        </w:rPr>
        <w:t>PERF-01 — </w:t>
      </w:r>
      <w:r>
        <w:t>Memoization is deliberate, not blanket: useMemo/useCallback only for (a) values feeding other memoized hooks, (b) props of verified-expensive children (seat map, charts), (c) referential stability required by TanStack select. React.memo wraps the seat map, trip lists' rows, and admin table rows — each with a code comment naming the measured cost. Unjustified memoization is removed in review.</w:t>
      </w:r>
    </w:p>
    <w:p>
      <w:pPr>
        <w:numPr>
          <w:ilvl w:val="0"/>
          <w:numId w:val="1"/>
        </w:numPr>
      </w:pPr>
      <w:r>
        <w:rPr>
          <w:b/>
          <w:color w:val="221D18"/>
        </w:rPr>
        <w:t>PERF-02 — </w:t>
      </w:r>
      <w:r>
        <w:t>Derived state is computed in render or select — never useEffect + setState cascades (SM-01). Lists are keyed by stable entity IDs; index keys are forbidden on dynamic lists (seat reordering bugs live there).</w:t>
      </w:r>
    </w:p>
    <w:p>
      <w:pPr>
        <w:numPr>
          <w:ilvl w:val="0"/>
          <w:numId w:val="1"/>
        </w:numPr>
      </w:pPr>
      <w:r>
        <w:rPr>
          <w:b/>
          <w:color w:val="221D18"/>
        </w:rPr>
        <w:t>PERF-03 — </w:t>
      </w:r>
      <w:r>
        <w:t>Code splitting: route-level lazy (FE-13) plus deferred heavy subtrees — the seat map's realtime layer loads after first paint, admin charts and the CMS editor are separate chunks. Bundle budget per route: 200KB gz initial JS; CI fails on regression &gt; 10%.</w:t>
      </w:r>
    </w:p>
    <w:p>
      <w:pPr>
        <w:numPr>
          <w:ilvl w:val="0"/>
          <w:numId w:val="1"/>
        </w:numPr>
      </w:pPr>
      <w:r>
        <w:rPr>
          <w:b/>
          <w:color w:val="221D18"/>
        </w:rPr>
        <w:t>PERF-04 — </w:t>
      </w:r>
      <w:r>
        <w:t>Suspense fallbacks are the Doc 05 skeletons (C-20), matched to final layout to keep CLS &lt; 0.05 (budget AC-9.2); spinner-forever is forbidden — every async view has a timeout path to C-23 (API-11).</w:t>
      </w:r>
    </w:p>
    <w:p>
      <w:pPr>
        <w:numPr>
          <w:ilvl w:val="0"/>
          <w:numId w:val="1"/>
        </w:numPr>
      </w:pPr>
      <w:r>
        <w:rPr>
          <w:b/>
          <w:color w:val="221D18"/>
        </w:rPr>
        <w:t>PERF-05 — </w:t>
      </w:r>
      <w:r>
        <w:t>Images: CDN-hosted, modern formats (AVIF/WebP with fallback), explicit width/height (CLS), lazy below the fold, the hero is preloaded with fetchpriority. No base64 inlines beyond tiny icons; payment-method logos and CMS media go through the image pipeline (Doc 06 HRD-03).</w:t>
      </w:r>
    </w:p>
    <w:p>
      <w:pPr>
        <w:pStyle w:val="Heading2"/>
      </w:pPr>
      <w:r>
        <w:t>14.2 Data &amp; Network (PERF-06…PERF-08)</w:t>
      </w:r>
    </w:p>
    <w:p>
      <w:pPr>
        <w:numPr>
          <w:ilvl w:val="0"/>
          <w:numId w:val="1"/>
        </w:numPr>
      </w:pPr>
      <w:r>
        <w:rPr>
          <w:b/>
          <w:color w:val="221D18"/>
        </w:rPr>
        <w:t>PERF-06 — </w:t>
      </w:r>
      <w:r>
        <w:t>Pagination is cursor-based everywhere (Doc 04 §1.7) — offsets are forbidden on user-facing lists; infinite queries use the TanStack infinite API with the cursor in the key factory (SM-04). Lists over ~100 visible rows virtualize (seat-selection grids, admin tables) with measured row heights.</w:t>
      </w:r>
    </w:p>
    <w:p>
      <w:pPr>
        <w:numPr>
          <w:ilvl w:val="0"/>
          <w:numId w:val="1"/>
        </w:numPr>
      </w:pPr>
      <w:r>
        <w:rPr>
          <w:b/>
          <w:color w:val="221D18"/>
        </w:rPr>
        <w:t>PERF-07 — </w:t>
      </w:r>
      <w:r>
        <w:t>Backend budgets per endpoint class (Doc 06): public search p95 &lt; 300ms, seat map p95 &lt; 250ms, booking mutations p95 &lt; 800ms, admin lists p95 &lt; 500ms — enforced by the load suite (TST-08) with named serving indexes hit (PRS-03); queries are measured, and new endpoints declare their budget in the PR.</w:t>
      </w:r>
    </w:p>
    <w:p>
      <w:pPr>
        <w:numPr>
          <w:ilvl w:val="0"/>
          <w:numId w:val="1"/>
        </w:numPr>
      </w:pPr>
      <w:r>
        <w:rPr>
          <w:b/>
          <w:color w:val="221D18"/>
        </w:rPr>
        <w:t>PERF-08 — </w:t>
      </w:r>
      <w:r>
        <w:t>Fan-out never blocks requests: notifications, analytics, projection updates, and webhook follow-ups all flow through the outbox/jobs (BE-09/BE-10); the request path does its DB transaction and returns. N+1 is a tested regression (PRS-07), connection pools are sized per environment in config, and Redis pipelines batch multi-key reads (seat maps).</w:t>
      </w:r>
    </w:p>
    <w:p>
      <w:pPr>
        <w:pStyle w:val="Heading1"/>
      </w:pPr>
      <w:r>
        <w:t>Part 15. Accessibility Rules</w:t>
      </w:r>
      <w:bookmarkStart w:name="_Sec16" w:id="16"/>
      <w:bookmarkEnd w:id="16"/>
    </w:p>
    <w:p>
      <w:r>
        <w:t>Accessibility is Doc 05 Part 11 made binding: WCAG 2.2 AA is the bar, the AC-xx criteria are the checklist, and the platform's Arabic-first RTL audience makes bidirectional correctness a core feature, not an afterthought. DoD-04 makes this part a merge gate.</w:t>
      </w:r>
    </w:p>
    <w:p>
      <w:pPr>
        <w:pStyle w:val="Heading2"/>
      </w:pPr>
      <w:r>
        <w:t>15.1 Interaction &amp; Semantics (A11Y-01…A11Y-05)</w:t>
      </w:r>
    </w:p>
    <w:p>
      <w:pPr>
        <w:numPr>
          <w:ilvl w:val="0"/>
          <w:numId w:val="1"/>
        </w:numPr>
      </w:pPr>
      <w:r>
        <w:rPr>
          <w:b/>
          <w:color w:val="221D18"/>
        </w:rPr>
        <w:t>A11Y-01 — </w:t>
      </w:r>
      <w:r>
        <w:t>Everything interactive is keyboard-operable: tab order follows reading order (RTL-aware), no keyboard traps except intentional (modals/drawers, which trap and restore focus per spec), skip link on every shell. The seat map implements full grid navigation (arrow keys, Home/End) per C-07/AC-3.x.</w:t>
      </w:r>
    </w:p>
    <w:p>
      <w:pPr>
        <w:numPr>
          <w:ilvl w:val="0"/>
          <w:numId w:val="1"/>
        </w:numPr>
      </w:pPr>
      <w:r>
        <w:rPr>
          <w:b/>
          <w:color w:val="221D18"/>
        </w:rPr>
        <w:t>A11Y-02 — </w:t>
      </w:r>
      <w:r>
        <w:t>Every control has an accessible name (visible label preferred, aria-label for icon buttons with the label localized); icon-only buttons without names are lint-blocked. Images have alt or are aria-hidden decorative.</w:t>
      </w:r>
    </w:p>
    <w:p>
      <w:pPr>
        <w:numPr>
          <w:ilvl w:val="0"/>
          <w:numId w:val="1"/>
        </w:numPr>
      </w:pPr>
      <w:r>
        <w:rPr>
          <w:b/>
          <w:color w:val="221D18"/>
        </w:rPr>
        <w:t>A11Y-03 — </w:t>
      </w:r>
      <w:r>
        <w:t>ARIA is used to fill gaps, not rebuild semantics: native elements first (button, a, input, table), ARIA only for composite widgets (listbox, grid, dialog) following the APG patterns Radix implements. No positive tabindex; aria-* attributes must be valid on the element (lint-enforced).</w:t>
      </w:r>
    </w:p>
    <w:p>
      <w:pPr>
        <w:numPr>
          <w:ilvl w:val="0"/>
          <w:numId w:val="1"/>
        </w:numPr>
      </w:pPr>
      <w:r>
        <w:rPr>
          <w:b/>
          <w:color w:val="221D18"/>
        </w:rPr>
        <w:t>A11Y-04 — </w:t>
      </w:r>
      <w:r>
        <w:t>Forms are fully announced: label htmlFor, aria-invalid on error, aria-describedby linking hint + error message, errors role=alert on appearance, required conveyed semantically. Screen-reader testing covers the checkout flow end-to-end (AC suite, TST-09).</w:t>
      </w:r>
    </w:p>
    <w:p>
      <w:pPr>
        <w:numPr>
          <w:ilvl w:val="0"/>
          <w:numId w:val="1"/>
        </w:numPr>
      </w:pPr>
      <w:r>
        <w:rPr>
          <w:b/>
          <w:color w:val="221D18"/>
        </w:rPr>
        <w:t>A11Y-05 — </w:t>
      </w:r>
      <w:r>
        <w:t>Dynamic changes are announced: seat availability deltas, totals updates, toast arrivals, hold countdown expiry use the documented aria-live regions (polite default, assertive for payment-affecting errors). The countdown itself is not live-announced per second — expiry is.</w:t>
      </w:r>
    </w:p>
    <w:p>
      <w:pPr>
        <w:pStyle w:val="Heading2"/>
      </w:pPr>
      <w:r>
        <w:t>15.2 Visual &amp; Bidirectional (A11Y-06…A11Y-08)</w:t>
      </w:r>
    </w:p>
    <w:p>
      <w:pPr>
        <w:numPr>
          <w:ilvl w:val="0"/>
          <w:numId w:val="1"/>
        </w:numPr>
      </w:pPr>
      <w:r>
        <w:rPr>
          <w:b/>
          <w:color w:val="221D18"/>
        </w:rPr>
        <w:t>A11Y-06 — </w:t>
      </w:r>
      <w:r>
        <w:t>Contrast is a token property: Doc 05's pairs already pass AA (4.5:1 text, 3:1 UI), so TW-01's no-arbitrary-colors rule is also the contrast rule; status is never color-only (C-12 badges carry icon/text). Focus indicators are visible on every interactive element (the design token ring, never outline: none without a replacement).</w:t>
      </w:r>
    </w:p>
    <w:p>
      <w:pPr>
        <w:numPr>
          <w:ilvl w:val="0"/>
          <w:numId w:val="1"/>
        </w:numPr>
      </w:pPr>
      <w:r>
        <w:rPr>
          <w:b/>
          <w:color w:val="221D18"/>
        </w:rPr>
        <w:t>A11Y-07 — </w:t>
      </w:r>
      <w:r>
        <w:t>prefers-reduced-motion disables non-essential animation (TW-06 motion-reduce variants); seat pulses, skeleton shimmer, and page transitions all respect it. Content is usable at 200% zoom and 320px width without horizontal scroll.</w:t>
      </w:r>
    </w:p>
    <w:p>
      <w:pPr>
        <w:numPr>
          <w:ilvl w:val="0"/>
          <w:numId w:val="1"/>
        </w:numPr>
      </w:pPr>
      <w:r>
        <w:rPr>
          <w:b/>
          <w:color w:val="221D18"/>
        </w:rPr>
        <w:t>A11Y-08 — </w:t>
      </w:r>
      <w:r>
        <w:t>RTL/LTR: dir is set at the document root per locale; every PR verifies both directions (FE-04/TW-03); mirrored icons (arrows, chevrons) flip via the RTL-aware icon set; phone/national-ID inputs are dir=ltr islands inside RTL layouts; screen-reader language is declared per text run where Arabic and English mix (ticket codes, station names).</w:t>
      </w:r>
    </w:p>
    <w:p>
      <w:pPr>
        <w:pStyle w:val="Heading1"/>
      </w:pPr>
      <w:r>
        <w:t>Part 16. Testing Strategy</w:t>
      </w:r>
      <w:bookmarkStart w:name="_Sec17" w:id="17"/>
      <w:bookmarkEnd w:id="17"/>
    </w:p>
    <w:p>
      <w:r>
        <w:t>Testing follows Doc 06 Part 4's eight layers; this part fixes the engineering contracts for each: what runs where, what is measured, and what blocks the merge. The principle: money and seats get adversarial tests, contracts get executable tests, everything gets regression tests.</w:t>
      </w:r>
    </w:p>
    <w:p>
      <w:pPr>
        <w:pStyle w:val="Heading2"/>
      </w:pPr>
      <w:r>
        <w:t>16.1 Test Layers (TST-01…TST-07)</w:t>
      </w:r>
    </w:p>
    <w:p>
      <w:pPr>
        <w:numPr>
          <w:ilvl w:val="0"/>
          <w:numId w:val="1"/>
        </w:numPr>
      </w:pPr>
      <w:r>
        <w:rPr>
          <w:b/>
          <w:color w:val="221D18"/>
        </w:rPr>
        <w:t>TST-01 — </w:t>
      </w:r>
      <w:r>
        <w:t>Unit tests (Vitest both apps): pure logic — pricing matrix math, coupon predicates, state machines, money utils, hooks, zod schemas. No I/O, no timers (fake timers for hold countdowns), no network. Coverage gate: 80% lines on money/seat modules, 70% elsewhere, ratcheted — the number only moves up.</w:t>
      </w:r>
    </w:p>
    <w:p>
      <w:pPr>
        <w:numPr>
          <w:ilvl w:val="0"/>
          <w:numId w:val="1"/>
        </w:numPr>
      </w:pPr>
      <w:r>
        <w:rPr>
          <w:b/>
          <w:color w:val="221D18"/>
        </w:rPr>
        <w:t>TST-02 — </w:t>
      </w:r>
      <w:r>
        <w:t>Services are tested as plain objects with literal-injected fakes (BE-03 pays off here): a service test constructs the service with stub repositories and asserts results + thrown typed errors + outbox writes. No mocking frameworks patching imports; vi.fn() fakes with typed interfaces only.</w:t>
      </w:r>
    </w:p>
    <w:p>
      <w:pPr>
        <w:numPr>
          <w:ilvl w:val="0"/>
          <w:numId w:val="1"/>
        </w:numPr>
      </w:pPr>
      <w:r>
        <w:rPr>
          <w:b/>
          <w:color w:val="221D18"/>
        </w:rPr>
        <w:t>TST-03 — </w:t>
      </w:r>
      <w:r>
        <w:t>Component tests (Vitest + Testing Library): render by role/label (never test ids as first choice), assert the four states (FE-05), keyboard paths for composite widgets, and Arabic-locale rendering for every interactive component. Snapshot tests are forbidden except for design-token outputs.</w:t>
      </w:r>
    </w:p>
    <w:p>
      <w:pPr>
        <w:numPr>
          <w:ilvl w:val="0"/>
          <w:numId w:val="1"/>
        </w:numPr>
      </w:pPr>
      <w:r>
        <w:rPr>
          <w:b/>
          <w:color w:val="221D18"/>
        </w:rPr>
        <w:t>TST-04 — </w:t>
      </w:r>
      <w:r>
        <w:t>Frontend service/hook tests mock api.ts as whole units (API-05) with MSW at the HTTP boundary for integration-style hook tests; the Doc 04 envelope is asserted in both directions (a malformed envelope fixture must fail the test).</w:t>
      </w:r>
    </w:p>
    <w:p>
      <w:pPr>
        <w:numPr>
          <w:ilvl w:val="0"/>
          <w:numId w:val="1"/>
        </w:numPr>
      </w:pPr>
      <w:r>
        <w:rPr>
          <w:b/>
          <w:color w:val="221D18"/>
        </w:rPr>
        <w:t>TST-05 — </w:t>
      </w:r>
      <w:r>
        <w:t>Backend integration tests run against testcontainers PostgreSQL + Redis per suite (real migrations, real constraints): every repository method, every money invariant (DB-12/16/19), every concurrency rule — the 50-concurrent-hold race (AC-3.4), double-booking impossibility (DB-03), serialization-retry behavior (PRS-06), Redis-flush correctness (RDS-08). Query-count assertions guard N+1 (PRS-07).</w:t>
      </w:r>
    </w:p>
    <w:p>
      <w:pPr>
        <w:numPr>
          <w:ilvl w:val="0"/>
          <w:numId w:val="1"/>
        </w:numPr>
      </w:pPr>
      <w:r>
        <w:rPr>
          <w:b/>
          <w:color w:val="221D18"/>
        </w:rPr>
        <w:t>TST-06 — </w:t>
      </w:r>
      <w:r>
        <w:t>Contract tests make Doc 04 executable: generated request/response fixtures from packages/contracts run against the live app per endpoint (envelope, codes, validation shapes) and against the FE mock server; a spec drift fails the build. The FE additionally replays a recorded set of golden envelopes in CI.</w:t>
      </w:r>
    </w:p>
    <w:p>
      <w:pPr>
        <w:numPr>
          <w:ilvl w:val="0"/>
          <w:numId w:val="1"/>
        </w:numPr>
      </w:pPr>
      <w:r>
        <w:rPr>
          <w:b/>
          <w:color w:val="221D18"/>
        </w:rPr>
        <w:t>TST-07 — </w:t>
      </w:r>
      <w:r>
        <w:t>Security test suites run in CI: the adversarial tenancy suite (cross-vendor IDOR attempts on every vendor-scoped endpoint, AC-8.5), anti-enumeration timing checks, OTP brute-force paths, webhook signature/replay rejection, and dependency SCA — failures block merge, no exceptions.</w:t>
      </w:r>
    </w:p>
    <w:p>
      <w:pPr>
        <w:pStyle w:val="Heading2"/>
      </w:pPr>
      <w:r>
        <w:t>16.2 E2E, Load &amp; Governance (TST-08…TST-10)</w:t>
      </w:r>
    </w:p>
    <w:p>
      <w:pPr>
        <w:numPr>
          <w:ilvl w:val="0"/>
          <w:numId w:val="1"/>
        </w:numPr>
      </w:pPr>
      <w:r>
        <w:rPr>
          <w:b/>
          <w:color w:val="221D18"/>
        </w:rPr>
        <w:t>TST-08 — </w:t>
      </w:r>
      <w:r>
        <w:t>E2E (Playwright) covers the golden paths in both languages/directions: search → seats → checkout → each payment method → ticket → cancel/refund, driver manifest → scan → board, admin review queue. E2E runs against staging per merge to main (Doc 06 §6.3); the load suite (k6) at 5× traffic runs pre-promotion with the budgets of PERF-07 as gates.</w:t>
      </w:r>
    </w:p>
    <w:p>
      <w:pPr>
        <w:numPr>
          <w:ilvl w:val="0"/>
          <w:numId w:val="1"/>
        </w:numPr>
      </w:pPr>
      <w:r>
        <w:rPr>
          <w:b/>
          <w:color w:val="221D18"/>
        </w:rPr>
        <w:t>TST-09 — </w:t>
      </w:r>
      <w:r>
        <w:t>Accessibility testing is layered: axe-core in component tests (zero violations gate), automated checks in E2E per screen, and a manual keyboard + screen-reader pass per sprint for new flows (NVDA/VoiceOver, ar + en) recorded against the AC-xx criteria.</w:t>
      </w:r>
    </w:p>
    <w:p>
      <w:pPr>
        <w:numPr>
          <w:ilvl w:val="0"/>
          <w:numId w:val="1"/>
        </w:numPr>
      </w:pPr>
      <w:r>
        <w:rPr>
          <w:b/>
          <w:color w:val="221D18"/>
        </w:rPr>
        <w:t>TST-10 — </w:t>
      </w:r>
      <w:r>
        <w:t>Test governance: every bug fix adds its regression test in the same PR (DoD-02); flaky tests are quarantined within 24h with an issue attached — a flaky suite is fixed, not retried into silence (retry: 1 locally for flake detection, 0 tolerance trends); test names describe behavior in business language (rejects double-booking the same seat) so failures read as broken promises, not broken code.</w:t>
      </w:r>
    </w:p>
    <w:p>
      <w:pPr>
        <w:pStyle w:val="Heading1"/>
      </w:pPr>
      <w:r>
        <w:t>Part 17. Git Workflow</w:t>
      </w:r>
      <w:bookmarkStart w:name="_Sec18" w:id="18"/>
      <w:bookmarkEnd w:id="18"/>
    </w:p>
    <w:p>
      <w:r>
        <w:t>Trunk-based development on main, per Doc 06 Part 6: short-lived branches, small PRs, continuous integration, scheduled promotion to production. The repository's history is an operational document — it is written to be read during incidents.</w:t>
      </w:r>
    </w:p>
    <w:p>
      <w:pPr>
        <w:pStyle w:val="Heading2"/>
      </w:pPr>
      <w:r>
        <w:t>17.1 Branches &amp; Commits (GIT-01…GIT-04)</w:t>
      </w:r>
    </w:p>
    <w:p>
      <w:pPr>
        <w:numPr>
          <w:ilvl w:val="0"/>
          <w:numId w:val="1"/>
        </w:numPr>
      </w:pPr>
      <w:r>
        <w:rPr>
          <w:b/>
          <w:color w:val="221D18"/>
        </w:rPr>
        <w:t>GIT-01 — </w:t>
      </w:r>
      <w:r>
        <w:t>main is always releasable: every commit on main has passed the full CI gate (§6.3 of Doc 06) and is deployable. Direct pushes to main are disabled; everything arrives by PR.</w:t>
      </w:r>
    </w:p>
    <w:p>
      <w:pPr>
        <w:numPr>
          <w:ilvl w:val="0"/>
          <w:numId w:val="1"/>
        </w:numPr>
      </w:pPr>
      <w:r>
        <w:rPr>
          <w:b/>
          <w:color w:val="221D18"/>
        </w:rPr>
        <w:t>GIT-02 — </w:t>
      </w:r>
      <w:r>
        <w:t>Branch names: {type}/{scope}-{short-slug} where type ∈ feat, fix, chore, refactor, perf, test, docs, hotfix and scope is the module (feat/booking-coupon-stacking, hotfix/payments-webhook-quarantine). Branches live days, not weeks — a branch older than 5 working days is a conversation.</w:t>
      </w:r>
    </w:p>
    <w:p>
      <w:pPr>
        <w:numPr>
          <w:ilvl w:val="0"/>
          <w:numId w:val="1"/>
        </w:numPr>
      </w:pPr>
      <w:r>
        <w:rPr>
          <w:b/>
          <w:color w:val="221D18"/>
        </w:rPr>
        <w:t>GIT-03 — </w:t>
      </w:r>
      <w:r>
        <w:t>Commits follow Conventional Commits with scope and the rule/task IDs they implement: feat(booking): apply coupon caps per BKG-04 [BR-07][DB-16]. The traceability line is mandatory on user-facing changes (Doc 06 §6.2) and is what lets the changelog and the audit trail write themselves. Commits are atomic — one concern per commit; WIP commits are squashed before merge.</w:t>
      </w:r>
    </w:p>
    <w:p>
      <w:pPr>
        <w:numPr>
          <w:ilvl w:val="0"/>
          <w:numId w:val="1"/>
        </w:numPr>
      </w:pPr>
      <w:r>
        <w:rPr>
          <w:b/>
          <w:color w:val="221D18"/>
        </w:rPr>
        <w:t>GIT-04 — </w:t>
      </w:r>
      <w:r>
        <w:t>Merge strategy: squash-merge to main (one commit per PR, message = PR title + traceability), rebase onto main before review (no merge bubbles), hotfixes branch from the production tag and back-merge immediately after promotion (Doc 06 §6.4).</w:t>
      </w:r>
    </w:p>
    <w:p>
      <w:pPr>
        <w:pStyle w:val="Heading2"/>
      </w:pPr>
      <w:r>
        <w:t>17.2 Pull Requests &amp; Releases (GIT-05…GIT-08)</w:t>
      </w:r>
    </w:p>
    <w:p>
      <w:pPr>
        <w:numPr>
          <w:ilvl w:val="0"/>
          <w:numId w:val="1"/>
        </w:numPr>
      </w:pPr>
      <w:r>
        <w:rPr>
          <w:b/>
          <w:color w:val="221D18"/>
        </w:rPr>
        <w:t>GIT-05 — </w:t>
      </w:r>
      <w:r>
        <w:t>PRs are small and reviewable: target &lt; 400 changed lines; larger PRs need a stacking strategy (sequential dependent PRs) described in the description. The template requires: what/why, rule IDs touched, test evidence, screenshots of both locales for UI, flag name for gated features, and the migration note when schema changes.</w:t>
      </w:r>
    </w:p>
    <w:p>
      <w:pPr>
        <w:numPr>
          <w:ilvl w:val="0"/>
          <w:numId w:val="1"/>
        </w:numPr>
      </w:pPr>
      <w:r>
        <w:rPr>
          <w:b/>
          <w:color w:val="221D18"/>
        </w:rPr>
        <w:t>GIT-06 — </w:t>
      </w:r>
      <w:r>
        <w:t>Review gates (CI + humans): all Part 16 gates green; one approval from the module owner; a second approval for money, auth, schema, or security paths (the four-eyes rule); designer approval on component-library changes; the Part 18 checklist is the reviewer's contract.</w:t>
      </w:r>
    </w:p>
    <w:p>
      <w:pPr>
        <w:numPr>
          <w:ilvl w:val="0"/>
          <w:numId w:val="1"/>
        </w:numPr>
      </w:pPr>
      <w:r>
        <w:rPr>
          <w:b/>
          <w:color w:val="221D18"/>
        </w:rPr>
        <w:t>GIT-07 — </w:t>
      </w:r>
      <w:r>
        <w:t>Releases: staging continuously, production by scheduled promotion (2×/week window, Doc 06 §6.4); each promotion tags v{major}.{minor}.{patch} per SemVer on the release train and generates the changelog from PR traceability lines. Feature flags decouple release from launch — code ships dark, features light up per market/vendor (INF-07).</w:t>
      </w:r>
    </w:p>
    <w:p>
      <w:pPr>
        <w:numPr>
          <w:ilvl w:val="0"/>
          <w:numId w:val="1"/>
        </w:numPr>
      </w:pPr>
      <w:r>
        <w:rPr>
          <w:b/>
          <w:color w:val="221D18"/>
        </w:rPr>
        <w:t>GIT-08 — </w:t>
      </w:r>
      <w:r>
        <w:t>SemVer discipline: MAJOR = breaking API contract change (requires the Doc 04 v2 track — essentially never in v1), MINOR = additive API/schema/features, PATCH = fixes and internal changes. The contracts package version is the API compatibility witness in CI (TST-06).</w:t>
      </w:r>
    </w:p>
    <w:p>
      <w:pPr>
        <w:pStyle w:val="Heading1"/>
      </w:pPr>
      <w:r>
        <w:t>Part 18. Code Review Checklist</w:t>
      </w:r>
      <w:bookmarkStart w:name="_Sec19" w:id="19"/>
      <w:bookmarkEnd w:id="19"/>
    </w:p>
    <w:p>
      <w:r>
        <w:t>The reviewer's contract: every item is checked before merge, every 'no' is a blocking comment citing the rule ID. The checklist is also the author's self-review — a PR whose author skipped it is sent back unread. Automated gates already cover lint, types, tests, and budgets; this checklist is what humans verify.</w:t>
      </w:r>
    </w:p>
    <w:tbl>
      <w:tblPr>
        <w:tblW w:w="5000" w:type="pct"/>
        <w:tblBorders>
          <w:top w:val="single" w:color="B4540A" w:sz="10"/>
          <w:left w:val="nil"/>
          <w:bottom w:val="single" w:color="B4540A" w:sz="10"/>
          <w:right w:val="nil"/>
          <w:insideH w:val="single" w:color="DCD5CC" w:sz="4"/>
          <w:insideV w:val="nil"/>
        </w:tblBorders>
      </w:tblPr>
      <w:tblGrid>
        <w:gridCol w:w="760"/>
        <w:gridCol w:w="3700"/>
        <w:gridCol w:w="4466"/>
      </w:tblGrid>
      <w:tr>
        <w:trPr>
          <w:tblHeader/>
        </w:trPr>
        <w:tc>
          <w:tcPr>
            <w:tcW w:w="760" w:type="dxa"/>
            <w:shd w:val="clear" w:fill="F3EDE4"/>
          </w:tcPr>
          <w:p>
            <w:pPr>
              <w:spacing w:before="50" w:after="50"/>
            </w:pPr>
            <w:r>
              <w:rPr>
                <w:b/>
                <w:color w:val="221D18"/>
                <w:sz w:val="18"/>
              </w:rPr>
              <w:t xml:space="preserve">ID</w:t>
            </w:r>
          </w:p>
        </w:tc>
        <w:tc>
          <w:tcPr>
            <w:tcW w:w="3700" w:type="dxa"/>
            <w:shd w:val="clear" w:fill="F3EDE4"/>
          </w:tcPr>
          <w:p>
            <w:pPr>
              <w:spacing w:before="50" w:after="50"/>
            </w:pPr>
            <w:r>
              <w:rPr>
                <w:b/>
                <w:color w:val="221D18"/>
                <w:sz w:val="18"/>
              </w:rPr>
              <w:t xml:space="preserve">Check</w:t>
            </w:r>
          </w:p>
        </w:tc>
        <w:tc>
          <w:tcPr>
            <w:tcW w:w="4466" w:type="dxa"/>
            <w:shd w:val="clear" w:fill="F3EDE4"/>
          </w:tcPr>
          <w:p>
            <w:pPr>
              <w:spacing w:before="50" w:after="50"/>
            </w:pPr>
            <w:r>
              <w:rPr>
                <w:b/>
                <w:color w:val="221D18"/>
                <w:sz w:val="18"/>
              </w:rPr>
              <w:t xml:space="preserve">What 'good' looks like</w:t>
            </w:r>
          </w:p>
        </w:tc>
      </w:tr>
      <w:tr>
        <w:tc>
          <w:tcPr>
            <w:tcW w:w="760" w:type="dxa"/>
          </w:tcPr>
          <w:p>
            <w:pPr>
              <w:spacing w:before="50" w:after="50"/>
            </w:pPr>
            <w:r>
              <w:rPr>
                <w:color w:val="564F47"/>
                <w:sz w:val="18"/>
              </w:rPr>
              <w:t xml:space="preserve">CR-01</w:t>
            </w:r>
          </w:p>
        </w:tc>
        <w:tc>
          <w:tcPr>
            <w:tcW w:w="3700" w:type="dxa"/>
          </w:tcPr>
          <w:p>
            <w:pPr>
              <w:spacing w:before="50" w:after="50"/>
            </w:pPr>
            <w:r>
              <w:rPr>
                <w:color w:val="564F47"/>
                <w:sz w:val="18"/>
              </w:rPr>
              <w:t xml:space="preserve">Correctness against the contract</w:t>
            </w:r>
          </w:p>
        </w:tc>
        <w:tc>
          <w:tcPr>
            <w:tcW w:w="4466" w:type="dxa"/>
          </w:tcPr>
          <w:p>
            <w:pPr>
              <w:spacing w:before="50" w:after="50"/>
            </w:pPr>
            <w:r>
              <w:rPr>
                <w:color w:val="564F47"/>
                <w:sz w:val="18"/>
              </w:rPr>
              <w:t xml:space="preserve">Behavior matches Doc 04/05 + rule IDs cited in the PR; state transitions legal; edge cases named in the PR are handled (hold expiry mid-checkout, lost seat, double submit)</w:t>
            </w:r>
          </w:p>
        </w:tc>
      </w:tr>
      <w:tr>
        <w:tc>
          <w:tcPr>
            <w:tcW w:w="760" w:type="dxa"/>
          </w:tcPr>
          <w:p>
            <w:pPr>
              <w:spacing w:before="50" w:after="50"/>
            </w:pPr>
            <w:r>
              <w:rPr>
                <w:color w:val="564F47"/>
                <w:sz w:val="18"/>
              </w:rPr>
              <w:t xml:space="preserve">CR-02</w:t>
            </w:r>
          </w:p>
        </w:tc>
        <w:tc>
          <w:tcPr>
            <w:tcW w:w="3700" w:type="dxa"/>
          </w:tcPr>
          <w:p>
            <w:pPr>
              <w:spacing w:before="50" w:after="50"/>
            </w:pPr>
            <w:r>
              <w:rPr>
                <w:color w:val="564F47"/>
                <w:sz w:val="18"/>
              </w:rPr>
              <w:t xml:space="preserve">Layering &amp; boundaries</w:t>
            </w:r>
          </w:p>
        </w:tc>
        <w:tc>
          <w:tcPr>
            <w:tcW w:w="4466" w:type="dxa"/>
          </w:tcPr>
          <w:p>
            <w:pPr>
              <w:spacing w:before="50" w:after="50"/>
            </w:pPr>
            <w:r>
              <w:rPr>
                <w:color w:val="564F47"/>
                <w:sz w:val="18"/>
              </w:rPr>
              <w:t xml:space="preserve">Imports obey FS-06/07/BE-02; no cross-module table reads; no logic in controllers; no HTTP in services; shared code is genuinely shared (FS-08)</w:t>
            </w:r>
          </w:p>
        </w:tc>
      </w:tr>
      <w:tr>
        <w:tc>
          <w:tcPr>
            <w:tcW w:w="760" w:type="dxa"/>
          </w:tcPr>
          <w:p>
            <w:pPr>
              <w:spacing w:before="50" w:after="50"/>
            </w:pPr>
            <w:r>
              <w:rPr>
                <w:color w:val="564F47"/>
                <w:sz w:val="18"/>
              </w:rPr>
              <w:t xml:space="preserve">CR-03</w:t>
            </w:r>
          </w:p>
        </w:tc>
        <w:tc>
          <w:tcPr>
            <w:tcW w:w="3700" w:type="dxa"/>
          </w:tcPr>
          <w:p>
            <w:pPr>
              <w:spacing w:before="50" w:after="50"/>
            </w:pPr>
            <w:r>
              <w:rPr>
                <w:color w:val="564F47"/>
                <w:sz w:val="18"/>
              </w:rPr>
              <w:t xml:space="preserve">TypeScript discipline</w:t>
            </w:r>
          </w:p>
        </w:tc>
        <w:tc>
          <w:tcPr>
            <w:tcW w:w="4466" w:type="dxa"/>
          </w:tcPr>
          <w:p>
            <w:pPr>
              <w:spacing w:before="50" w:after="50"/>
            </w:pPr>
            <w:r>
              <w:rPr>
                <w:color w:val="564F47"/>
                <w:sz w:val="18"/>
              </w:rPr>
              <w:t xml:space="preserve">No any / unsafe casts (TS-02/09); boundary data zod-parsed (TS-08); DTOs from contracts; money is branded minor units (TS-07)</w:t>
            </w:r>
          </w:p>
        </w:tc>
      </w:tr>
      <w:tr>
        <w:tc>
          <w:tcPr>
            <w:tcW w:w="760" w:type="dxa"/>
          </w:tcPr>
          <w:p>
            <w:pPr>
              <w:spacing w:before="50" w:after="50"/>
            </w:pPr>
            <w:r>
              <w:rPr>
                <w:color w:val="564F47"/>
                <w:sz w:val="18"/>
              </w:rPr>
              <w:t xml:space="preserve">CR-04</w:t>
            </w:r>
          </w:p>
        </w:tc>
        <w:tc>
          <w:tcPr>
            <w:tcW w:w="3700" w:type="dxa"/>
          </w:tcPr>
          <w:p>
            <w:pPr>
              <w:spacing w:before="50" w:after="50"/>
            </w:pPr>
            <w:r>
              <w:rPr>
                <w:color w:val="564F47"/>
                <w:sz w:val="18"/>
              </w:rPr>
              <w:t xml:space="preserve">State in the right home</w:t>
            </w:r>
          </w:p>
        </w:tc>
        <w:tc>
          <w:tcPr>
            <w:tcW w:w="4466" w:type="dxa"/>
          </w:tcPr>
          <w:p>
            <w:pPr>
              <w:spacing w:before="50" w:after="50"/>
            </w:pPr>
            <w:r>
              <w:rPr>
                <w:color w:val="564F47"/>
                <w:sz w:val="18"/>
              </w:rPr>
              <w:t xml:space="preserve">Server state in TanStack only (SM-01); no effect-sync; URL for shareable state (SM-03); no optimistic money paths (SM-08)</w:t>
            </w:r>
          </w:p>
        </w:tc>
      </w:tr>
      <w:tr>
        <w:tc>
          <w:tcPr>
            <w:tcW w:w="760" w:type="dxa"/>
          </w:tcPr>
          <w:p>
            <w:pPr>
              <w:spacing w:before="50" w:after="50"/>
            </w:pPr>
            <w:r>
              <w:rPr>
                <w:color w:val="564F47"/>
                <w:sz w:val="18"/>
              </w:rPr>
              <w:t xml:space="preserve">CR-05</w:t>
            </w:r>
          </w:p>
        </w:tc>
        <w:tc>
          <w:tcPr>
            <w:tcW w:w="3700" w:type="dxa"/>
          </w:tcPr>
          <w:p>
            <w:pPr>
              <w:spacing w:before="50" w:after="50"/>
            </w:pPr>
            <w:r>
              <w:rPr>
                <w:color w:val="564F47"/>
                <w:sz w:val="18"/>
              </w:rPr>
              <w:t xml:space="preserve">API layer hygiene</w:t>
            </w:r>
          </w:p>
        </w:tc>
        <w:tc>
          <w:tcPr>
            <w:tcW w:w="4466" w:type="dxa"/>
          </w:tcPr>
          <w:p>
            <w:pPr>
              <w:spacing w:before="50" w:after="50"/>
            </w:pPr>
            <w:r>
              <w:rPr>
                <w:color w:val="564F47"/>
                <w:sz w:val="18"/>
              </w:rPr>
              <w:t xml:space="preserve">Calls go through feature api.ts services (API-04); idempotency keys on money mutations (API-08); timeouts/aborts respected (API-11/12); no fetch()</w:t>
            </w:r>
          </w:p>
        </w:tc>
      </w:tr>
      <w:tr>
        <w:tc>
          <w:tcPr>
            <w:tcW w:w="760" w:type="dxa"/>
          </w:tcPr>
          <w:p>
            <w:pPr>
              <w:spacing w:before="50" w:after="50"/>
            </w:pPr>
            <w:r>
              <w:rPr>
                <w:color w:val="564F47"/>
                <w:sz w:val="18"/>
              </w:rPr>
              <w:t xml:space="preserve">CR-06</w:t>
            </w:r>
          </w:p>
        </w:tc>
        <w:tc>
          <w:tcPr>
            <w:tcW w:w="3700" w:type="dxa"/>
          </w:tcPr>
          <w:p>
            <w:pPr>
              <w:spacing w:before="50" w:after="50"/>
            </w:pPr>
            <w:r>
              <w:rPr>
                <w:color w:val="564F47"/>
                <w:sz w:val="18"/>
              </w:rPr>
              <w:t xml:space="preserve">Security</w:t>
            </w:r>
          </w:p>
        </w:tc>
        <w:tc>
          <w:tcPr>
            <w:tcW w:w="4466" w:type="dxa"/>
          </w:tcPr>
          <w:p>
            <w:pPr>
              <w:spacing w:before="50" w:after="50"/>
            </w:pPr>
            <w:r>
              <w:rPr>
                <w:color w:val="564F47"/>
                <w:sz w:val="18"/>
              </w:rPr>
              <w:t xml:space="preserve">Permissions enforced server-side with tenant scoping (SEC-09/11); inputs validated; no secrets/PII in logs or messages (SEC-15/ERR-09); anti-enumeration preserved (SEC-13)</w:t>
            </w:r>
          </w:p>
        </w:tc>
      </w:tr>
      <w:tr>
        <w:tc>
          <w:tcPr>
            <w:tcW w:w="760" w:type="dxa"/>
          </w:tcPr>
          <w:p>
            <w:pPr>
              <w:spacing w:before="50" w:after="50"/>
            </w:pPr>
            <w:r>
              <w:rPr>
                <w:color w:val="564F47"/>
                <w:sz w:val="18"/>
              </w:rPr>
              <w:t xml:space="preserve">CR-07</w:t>
            </w:r>
          </w:p>
        </w:tc>
        <w:tc>
          <w:tcPr>
            <w:tcW w:w="3700" w:type="dxa"/>
          </w:tcPr>
          <w:p>
            <w:pPr>
              <w:spacing w:before="50" w:after="50"/>
            </w:pPr>
            <w:r>
              <w:rPr>
                <w:color w:val="564F47"/>
                <w:sz w:val="18"/>
              </w:rPr>
              <w:t xml:space="preserve">Concurrency &amp; money</w:t>
            </w:r>
          </w:p>
        </w:tc>
        <w:tc>
          <w:tcPr>
            <w:tcW w:w="4466" w:type="dxa"/>
          </w:tcPr>
          <w:p>
            <w:pPr>
              <w:spacing w:before="50" w:after="50"/>
            </w:pPr>
            <w:r>
              <w:rPr>
                <w:color w:val="564F47"/>
                <w:sz w:val="18"/>
              </w:rPr>
              <w:t xml:space="preserve">Transactions where required (PRS-06); outbox write inside the transaction (BE-09); idempotency story stated; DB-03/12/16/19 invariants tested, not assumed</w:t>
            </w:r>
          </w:p>
        </w:tc>
      </w:tr>
      <w:tr>
        <w:tc>
          <w:tcPr>
            <w:tcW w:w="760" w:type="dxa"/>
          </w:tcPr>
          <w:p>
            <w:pPr>
              <w:spacing w:before="50" w:after="50"/>
            </w:pPr>
            <w:r>
              <w:rPr>
                <w:color w:val="564F47"/>
                <w:sz w:val="18"/>
              </w:rPr>
              <w:t xml:space="preserve">CR-08</w:t>
            </w:r>
          </w:p>
        </w:tc>
        <w:tc>
          <w:tcPr>
            <w:tcW w:w="3700" w:type="dxa"/>
          </w:tcPr>
          <w:p>
            <w:pPr>
              <w:spacing w:before="50" w:after="50"/>
            </w:pPr>
            <w:r>
              <w:rPr>
                <w:color w:val="564F47"/>
                <w:sz w:val="18"/>
              </w:rPr>
              <w:t xml:space="preserve">Error handling</w:t>
            </w:r>
          </w:p>
        </w:tc>
        <w:tc>
          <w:tcPr>
            <w:tcW w:w="4466" w:type="dxa"/>
          </w:tcPr>
          <w:p>
            <w:pPr>
              <w:spacing w:before="50" w:after="50"/>
            </w:pPr>
            <w:r>
              <w:rPr>
                <w:color w:val="564F47"/>
                <w:sz w:val="18"/>
              </w:rPr>
              <w:t xml:space="preserve">Typed errors only (ERR-01); correct taxonomy mapping; user copy by code in both languages; logged once with traceId (ERR-06/10/11)</w:t>
            </w:r>
          </w:p>
        </w:tc>
      </w:tr>
      <w:tr>
        <w:tc>
          <w:tcPr>
            <w:tcW w:w="760" w:type="dxa"/>
          </w:tcPr>
          <w:p>
            <w:pPr>
              <w:spacing w:before="50" w:after="50"/>
            </w:pPr>
            <w:r>
              <w:rPr>
                <w:color w:val="564F47"/>
                <w:sz w:val="18"/>
              </w:rPr>
              <w:t xml:space="preserve">CR-09</w:t>
            </w:r>
          </w:p>
        </w:tc>
        <w:tc>
          <w:tcPr>
            <w:tcW w:w="3700" w:type="dxa"/>
          </w:tcPr>
          <w:p>
            <w:pPr>
              <w:spacing w:before="50" w:after="50"/>
            </w:pPr>
            <w:r>
              <w:rPr>
                <w:color w:val="564F47"/>
                <w:sz w:val="18"/>
              </w:rPr>
              <w:t xml:space="preserve">UI completeness</w:t>
            </w:r>
          </w:p>
        </w:tc>
        <w:tc>
          <w:tcPr>
            <w:tcW w:w="4466" w:type="dxa"/>
          </w:tcPr>
          <w:p>
            <w:pPr>
              <w:spacing w:before="50" w:after="50"/>
            </w:pPr>
            <w:r>
              <w:rPr>
                <w:color w:val="564F47"/>
                <w:sz w:val="18"/>
              </w:rPr>
              <w:t xml:space="preserve">All four states (FE-05); both languages/directions verified with screenshots (FE-04/TW-03); tokens only (TW-01); component contracts of Part 8 honored</w:t>
            </w:r>
          </w:p>
        </w:tc>
      </w:tr>
      <w:tr>
        <w:tc>
          <w:tcPr>
            <w:tcW w:w="760" w:type="dxa"/>
          </w:tcPr>
          <w:p>
            <w:pPr>
              <w:spacing w:before="50" w:after="50"/>
            </w:pPr>
            <w:r>
              <w:rPr>
                <w:color w:val="564F47"/>
                <w:sz w:val="18"/>
              </w:rPr>
              <w:t xml:space="preserve">CR-10</w:t>
            </w:r>
          </w:p>
        </w:tc>
        <w:tc>
          <w:tcPr>
            <w:tcW w:w="3700" w:type="dxa"/>
          </w:tcPr>
          <w:p>
            <w:pPr>
              <w:spacing w:before="50" w:after="50"/>
            </w:pPr>
            <w:r>
              <w:rPr>
                <w:color w:val="564F47"/>
                <w:sz w:val="18"/>
              </w:rPr>
              <w:t xml:space="preserve">Accessibility</w:t>
            </w:r>
          </w:p>
        </w:tc>
        <w:tc>
          <w:tcPr>
            <w:tcW w:w="4466" w:type="dxa"/>
          </w:tcPr>
          <w:p>
            <w:pPr>
              <w:spacing w:before="50" w:after="50"/>
            </w:pPr>
            <w:r>
              <w:rPr>
                <w:color w:val="564F47"/>
                <w:sz w:val="18"/>
              </w:rPr>
              <w:t xml:space="preserve">Keyboard path exists; names/roles/states announced (A11Y-01…05); focus managed; reduced-motion respected; contrast by tokens (A11Y-06)</w:t>
            </w:r>
          </w:p>
        </w:tc>
      </w:tr>
      <w:tr>
        <w:tc>
          <w:tcPr>
            <w:tcW w:w="760" w:type="dxa"/>
          </w:tcPr>
          <w:p>
            <w:pPr>
              <w:spacing w:before="50" w:after="50"/>
            </w:pPr>
            <w:r>
              <w:rPr>
                <w:color w:val="564F47"/>
                <w:sz w:val="18"/>
              </w:rPr>
              <w:t xml:space="preserve">CR-11</w:t>
            </w:r>
          </w:p>
        </w:tc>
        <w:tc>
          <w:tcPr>
            <w:tcW w:w="3700" w:type="dxa"/>
          </w:tcPr>
          <w:p>
            <w:pPr>
              <w:spacing w:before="50" w:after="50"/>
            </w:pPr>
            <w:r>
              <w:rPr>
                <w:color w:val="564F47"/>
                <w:sz w:val="18"/>
              </w:rPr>
              <w:t xml:space="preserve">Performance</w:t>
            </w:r>
          </w:p>
        </w:tc>
        <w:tc>
          <w:tcPr>
            <w:tcW w:w="4466" w:type="dxa"/>
          </w:tcPr>
          <w:p>
            <w:pPr>
              <w:spacing w:before="50" w:after="50"/>
            </w:pPr>
            <w:r>
              <w:rPr>
                <w:color w:val="564F47"/>
                <w:sz w:val="18"/>
              </w:rPr>
              <w:t xml:space="preserve">Budgets declared/met (PERF-03/07); no N+1 (assertion exists); pagination cursor-based; memoization justified (PERF-01); no request-path fan-out (PERF-08)</w:t>
            </w:r>
          </w:p>
        </w:tc>
      </w:tr>
      <w:tr>
        <w:tc>
          <w:tcPr>
            <w:tcW w:w="760" w:type="dxa"/>
          </w:tcPr>
          <w:p>
            <w:pPr>
              <w:spacing w:before="50" w:after="50"/>
            </w:pPr>
            <w:r>
              <w:rPr>
                <w:color w:val="564F47"/>
                <w:sz w:val="18"/>
              </w:rPr>
              <w:t xml:space="preserve">CR-12</w:t>
            </w:r>
          </w:p>
        </w:tc>
        <w:tc>
          <w:tcPr>
            <w:tcW w:w="3700" w:type="dxa"/>
          </w:tcPr>
          <w:p>
            <w:pPr>
              <w:spacing w:before="50" w:after="50"/>
            </w:pPr>
            <w:r>
              <w:rPr>
                <w:color w:val="564F47"/>
                <w:sz w:val="18"/>
              </w:rPr>
              <w:t xml:space="preserve">Tests</w:t>
            </w:r>
          </w:p>
        </w:tc>
        <w:tc>
          <w:tcPr>
            <w:tcW w:w="4466" w:type="dxa"/>
          </w:tcPr>
          <w:p>
            <w:pPr>
              <w:spacing w:before="50" w:after="50"/>
            </w:pPr>
            <w:r>
              <w:rPr>
                <w:color w:val="564F47"/>
                <w:sz w:val="18"/>
              </w:rPr>
              <w:t xml:space="preserve">Layer-appropriate tests present and meaningful (Part 16); regression test for any fix (TST-10); adversarial tests for money/seat/tenancy changes; coverage ratchet holds</w:t>
            </w:r>
          </w:p>
        </w:tc>
      </w:tr>
      <w:tr>
        <w:tc>
          <w:tcPr>
            <w:tcW w:w="760" w:type="dxa"/>
          </w:tcPr>
          <w:p>
            <w:pPr>
              <w:spacing w:before="50" w:after="50"/>
            </w:pPr>
            <w:r>
              <w:rPr>
                <w:color w:val="564F47"/>
                <w:sz w:val="18"/>
              </w:rPr>
              <w:t xml:space="preserve">CR-13</w:t>
            </w:r>
          </w:p>
        </w:tc>
        <w:tc>
          <w:tcPr>
            <w:tcW w:w="3700" w:type="dxa"/>
          </w:tcPr>
          <w:p>
            <w:pPr>
              <w:spacing w:before="50" w:after="50"/>
            </w:pPr>
            <w:r>
              <w:rPr>
                <w:color w:val="564F47"/>
                <w:sz w:val="18"/>
              </w:rPr>
              <w:t xml:space="preserve">Observability &amp; ops</w:t>
            </w:r>
          </w:p>
        </w:tc>
        <w:tc>
          <w:tcPr>
            <w:tcW w:w="4466" w:type="dxa"/>
          </w:tcPr>
          <w:p>
            <w:pPr>
              <w:spacing w:before="50" w:after="50"/>
            </w:pPr>
            <w:r>
              <w:rPr>
                <w:color w:val="564F47"/>
                <w:sz w:val="18"/>
              </w:rPr>
              <w:t xml:space="preserve">Metrics/logs/traces for new paths (DoD-07); alerts or conscious none; runbook note for ops-facing changes; flag wired for user-facing capability (DoD-10)</w:t>
            </w:r>
          </w:p>
        </w:tc>
      </w:tr>
      <w:tr>
        <w:tc>
          <w:tcPr>
            <w:tcW w:w="760" w:type="dxa"/>
          </w:tcPr>
          <w:p>
            <w:pPr>
              <w:spacing w:before="50" w:after="50"/>
            </w:pPr>
            <w:r>
              <w:rPr>
                <w:color w:val="564F47"/>
                <w:sz w:val="18"/>
              </w:rPr>
              <w:t xml:space="preserve">CR-14</w:t>
            </w:r>
          </w:p>
        </w:tc>
        <w:tc>
          <w:tcPr>
            <w:tcW w:w="3700" w:type="dxa"/>
          </w:tcPr>
          <w:p>
            <w:pPr>
              <w:spacing w:before="50" w:after="50"/>
            </w:pPr>
            <w:r>
              <w:rPr>
                <w:color w:val="564F47"/>
                <w:sz w:val="18"/>
              </w:rPr>
              <w:t xml:space="preserve">PR hygiene</w:t>
            </w:r>
          </w:p>
        </w:tc>
        <w:tc>
          <w:tcPr>
            <w:tcW w:w="4466" w:type="dxa"/>
          </w:tcPr>
          <w:p>
            <w:pPr>
              <w:spacing w:before="50" w:after="50"/>
            </w:pPr>
            <w:r>
              <w:rPr>
                <w:color w:val="564F47"/>
                <w:sz w:val="18"/>
              </w:rPr>
              <w:t xml:space="preserve">Small and focused (GIT-05); traceability line present; description answers what/why/how-tested; migrations follow expand-migrate-contract (PRS-04)</w:t>
            </w:r>
          </w:p>
        </w:tc>
      </w:tr>
    </w:tbl>
    <w:p>
      <w:pPr>
        <w:spacing w:before="0" w:after="160"/>
      </w:pPr>
    </w:p>
    <w:p>
      <w:pPr>
        <w:pStyle w:val="Heading1"/>
      </w:pPr>
      <w:r>
        <w:t>Part 19. Definition of Ready &amp; Definition of Done</w:t>
      </w:r>
      <w:bookmarkStart w:name="_Sec20" w:id="20"/>
      <w:bookmarkEnd w:id="20"/>
    </w:p>
    <w:p>
      <w:r>
        <w:t>Work enters a sprint only when Ready and leaves only when Done. DoR protects the team from ambiguity; DoD protects the platform from debt. Both extend Doc 06 Part 7 — this part is the engineering-operational phrasing used at the board, not a second standard.</w:t>
      </w:r>
    </w:p>
    <w:p>
      <w:pPr>
        <w:pStyle w:val="Heading2"/>
      </w:pPr>
      <w:r>
        <w:t>19.1 Definition of Ready (DoR-01…DoR-08)</w:t>
      </w:r>
    </w:p>
    <w:p>
      <w:pPr>
        <w:numPr>
          <w:ilvl w:val="0"/>
          <w:numId w:val="1"/>
        </w:numPr>
      </w:pPr>
      <w:r>
        <w:rPr>
          <w:b/>
          <w:color w:val="221D18"/>
        </w:rPr>
        <w:t>DoR-01 — </w:t>
      </w:r>
      <w:r>
        <w:t>The task cites its contracts: the Doc 04 endpoints, Doc 05 screens/components, Doc 03 tables/rules, and Doc 06 task ID it implements — no contract, no sprint entry.</w:t>
      </w:r>
    </w:p>
    <w:p>
      <w:pPr>
        <w:numPr>
          <w:ilvl w:val="0"/>
          <w:numId w:val="1"/>
        </w:numPr>
      </w:pPr>
      <w:r>
        <w:rPr>
          <w:b/>
          <w:color w:val="221D18"/>
        </w:rPr>
        <w:t>DoR-02 — </w:t>
      </w:r>
      <w:r>
        <w:t>Acceptance criteria are written in testable form (Given/When/Then or AC-x.y style) including the four UI states and both locales where user-facing.</w:t>
      </w:r>
    </w:p>
    <w:p>
      <w:pPr>
        <w:numPr>
          <w:ilvl w:val="0"/>
          <w:numId w:val="1"/>
        </w:numPr>
      </w:pPr>
      <w:r>
        <w:rPr>
          <w:b/>
          <w:color w:val="221D18"/>
        </w:rPr>
        <w:t>DoR-03 — </w:t>
      </w:r>
      <w:r>
        <w:t>Dependencies are identified and unblocked (API contract merged, migration sequenced, design assets present) — parallel-work seams (mocks, flags) are named.</w:t>
      </w:r>
    </w:p>
    <w:p>
      <w:pPr>
        <w:numPr>
          <w:ilvl w:val="0"/>
          <w:numId w:val="1"/>
        </w:numPr>
      </w:pPr>
      <w:r>
        <w:rPr>
          <w:b/>
          <w:color w:val="221D18"/>
        </w:rPr>
        <w:t>DoR-04 — </w:t>
      </w:r>
      <w:r>
        <w:t>Money/seat/tenancy impact is declared, and the adversarial test it demands is scoped (TST-05/07).</w:t>
      </w:r>
    </w:p>
    <w:p>
      <w:pPr>
        <w:numPr>
          <w:ilvl w:val="0"/>
          <w:numId w:val="1"/>
        </w:numPr>
      </w:pPr>
      <w:r>
        <w:rPr>
          <w:b/>
          <w:color w:val="221D18"/>
        </w:rPr>
        <w:t>DoR-05 — </w:t>
      </w:r>
      <w:r>
        <w:t>Estimate and breakdown fit inside the sprint with review + QA time included (Doc 06's 43% rule respected).</w:t>
      </w:r>
    </w:p>
    <w:p>
      <w:pPr>
        <w:numPr>
          <w:ilvl w:val="0"/>
          <w:numId w:val="1"/>
        </w:numPr>
      </w:pPr>
      <w:r>
        <w:rPr>
          <w:b/>
          <w:color w:val="221D18"/>
        </w:rPr>
        <w:t>DoR-06 — </w:t>
      </w:r>
      <w:r>
        <w:t>Feature flag name and rollout intent exist for user-facing capability (DoD-10).</w:t>
      </w:r>
    </w:p>
    <w:p>
      <w:pPr>
        <w:numPr>
          <w:ilvl w:val="0"/>
          <w:numId w:val="1"/>
        </w:numPr>
      </w:pPr>
      <w:r>
        <w:rPr>
          <w:b/>
          <w:color w:val="221D18"/>
        </w:rPr>
        <w:t>DoR-07 — </w:t>
      </w:r>
      <w:r>
        <w:t>Performance class and budget are declared for new endpoints/pages (PERF-07/PERF-03).</w:t>
      </w:r>
    </w:p>
    <w:p>
      <w:pPr>
        <w:numPr>
          <w:ilvl w:val="0"/>
          <w:numId w:val="1"/>
        </w:numPr>
      </w:pPr>
      <w:r>
        <w:rPr>
          <w:b/>
          <w:color w:val="221D18"/>
        </w:rPr>
        <w:t>DoR-08 — </w:t>
      </w:r>
      <w:r>
        <w:t>The team understood it without a follow-up meeting: questions resolved in the ticket, not in hallways.</w:t>
      </w:r>
    </w:p>
    <w:p>
      <w:pPr>
        <w:pStyle w:val="Heading2"/>
      </w:pPr>
      <w:r>
        <w:t>19.2 Definition of Done (DoD-01…DoD-10)</w:t>
      </w:r>
    </w:p>
    <w:p>
      <w:r>
        <w:t>Binding per Doc 06 Part 7, unchanged — contract fidelity (DoD-01), tests (DoD-02), both languages both directions (DoD-03), accessibility AC-xx (DoD-04), all four states (DoD-05), money &amp; state integrity (DoD-06), observability (DoD-07), performance budgets (DoD-08), security (DoD-09), flagged &amp; documented (DoD-10). This document's rule IDs are how each item is satisfied; Part 18 is how it is verified. Sprint-level Done adds the Doc 06 Part 3 sprint block sign-off (PM + QA lead + EM) and deployability behind the flag.</w:t>
      </w:r>
    </w:p>
    <w:p>
      <w:r>
        <w:t>A task that fails any applicable item is in progress, full stop — 'deployed but not Done' is reported as in-progress work with a named gap and a date.</w:t>
      </w:r>
    </w:p>
    <w:p>
      <w:pPr>
        <w:pStyle w:val="Heading1"/>
      </w:pPr>
      <w:r>
        <w:t>Part 20. Engineering Best Practices</w:t>
      </w:r>
      <w:bookmarkStart w:name="_Sec21" w:id="21"/>
      <w:bookmarkEnd w:id="21"/>
    </w:p>
    <w:p>
      <w:r>
        <w:t>The cross-cutting rules that did not fit a single part — the ones that separate an enterprise platform from a codebase. Each is numbered, enforceable, and owned. Together with Parts 1–19, they are sufficient to build the entire system consistently without additional architectural decisions; anything genuinely undecided after these rules is an ADR, not a preference.</w:t>
      </w:r>
    </w:p>
    <w:p>
      <w:pPr>
        <w:pStyle w:val="Heading2"/>
      </w:pPr>
      <w:r>
        <w:t>20.1 Money, Time &amp; Identity (BP-01…BP-04)</w:t>
      </w:r>
    </w:p>
    <w:p>
      <w:pPr>
        <w:numPr>
          <w:ilvl w:val="0"/>
          <w:numId w:val="1"/>
        </w:numPr>
      </w:pPr>
      <w:r>
        <w:rPr>
          <w:b/>
          <w:color w:val="221D18"/>
        </w:rPr>
        <w:t>BP-01 — </w:t>
      </w:r>
      <w:r>
        <w:t>Money is integer minor units end-to-end (piastres), branded at the type level (TS-07), formatted only by packages/utils (EGP, both locales); floating point never touches money — not in prices, coupons, refunds, settlements, or analytics.</w:t>
      </w:r>
    </w:p>
    <w:p>
      <w:pPr>
        <w:numPr>
          <w:ilvl w:val="0"/>
          <w:numId w:val="1"/>
        </w:numPr>
      </w:pPr>
      <w:r>
        <w:rPr>
          <w:b/>
          <w:color w:val="221D18"/>
        </w:rPr>
        <w:t>BP-02 — </w:t>
      </w:r>
      <w:r>
        <w:t>Time is UTC in storage and transport (timestamptz/ISO), Africa/Cairo for business rules (schedule days, Ramadan calendars, cutoff windows), localized rendering only at the edge. Dates-as-strings are parsed at boundaries; Date.now() in business logic is dependency-injected for testability (hold expiry tests depend on it).</w:t>
      </w:r>
    </w:p>
    <w:p>
      <w:pPr>
        <w:numPr>
          <w:ilvl w:val="0"/>
          <w:numId w:val="1"/>
        </w:numPr>
      </w:pPr>
      <w:r>
        <w:rPr>
          <w:b/>
          <w:color w:val="221D18"/>
        </w:rPr>
        <w:t>BP-03 — </w:t>
      </w:r>
      <w:r>
        <w:t>IDs are UUIDv7 (time-ordered, index-friendly) for entities, opaque signed tokens for cursors and public references; internal IDs never appear in URLs where enumeration matters (bookings, tickets, users) — public reference codes (PNR-style, unguessable) do.</w:t>
      </w:r>
    </w:p>
    <w:p>
      <w:pPr>
        <w:numPr>
          <w:ilvl w:val="0"/>
          <w:numId w:val="1"/>
        </w:numPr>
      </w:pPr>
      <w:r>
        <w:rPr>
          <w:b/>
          <w:color w:val="221D18"/>
        </w:rPr>
        <w:t>BP-04 — </w:t>
      </w:r>
      <w:r>
        <w:t>Everything financial is explainable: any balance, price, or refund amount can be reconstructed from append-only records (DB-12/16/19) plus the version of the pricing matrix that was live at booking time — 'recompute and trust' is not an audit answer.</w:t>
      </w:r>
    </w:p>
    <w:p>
      <w:pPr>
        <w:pStyle w:val="Heading2"/>
      </w:pPr>
      <w:r>
        <w:t>20.2 Code Health (BP-05…BP-08)</w:t>
      </w:r>
    </w:p>
    <w:p>
      <w:pPr>
        <w:numPr>
          <w:ilvl w:val="0"/>
          <w:numId w:val="1"/>
        </w:numPr>
      </w:pPr>
      <w:r>
        <w:rPr>
          <w:b/>
          <w:color w:val="221D18"/>
        </w:rPr>
        <w:t>BP-05 — </w:t>
      </w:r>
      <w:r>
        <w:t>Boring solutions win: the platform's differentiation is correctness and reliability, not cleverness. New libraries require an ADR (maintenance, bundle/footprint, license, RTL/a11y fitness); the approved list lives in docs/adr/; versions are pinned and updated on the dependency cadence (Doc 06 R-S7).</w:t>
      </w:r>
    </w:p>
    <w:p>
      <w:pPr>
        <w:numPr>
          <w:ilvl w:val="0"/>
          <w:numId w:val="1"/>
        </w:numPr>
      </w:pPr>
      <w:r>
        <w:rPr>
          <w:b/>
          <w:color w:val="221D18"/>
        </w:rPr>
        <w:t>BP-06 — </w:t>
      </w:r>
      <w:r>
        <w:t>Delete code aggressively: dead flags, dead endpoints, dead tables follow the contract-down path (flag removed after full rollout, endpoint sunset per Doc 04 versioning, column dropped in the contract phase) — scavenging is part of each sprint's capacity, not a someday project.</w:t>
      </w:r>
    </w:p>
    <w:p>
      <w:pPr>
        <w:numPr>
          <w:ilvl w:val="0"/>
          <w:numId w:val="1"/>
        </w:numPr>
      </w:pPr>
      <w:r>
        <w:rPr>
          <w:b/>
          <w:color w:val="221D18"/>
        </w:rPr>
        <w:t>BP-07 — </w:t>
      </w:r>
      <w:r>
        <w:t>Comments explain why, code explains what; every non-obvious invariant cites its rule ID (// DB-03: partial unique guarantees…) so future readers land on the contract, not folklore. TODOs carry an issue link and an owner; orphan TODOs are lint-flagged after 30 days.</w:t>
      </w:r>
    </w:p>
    <w:p>
      <w:pPr>
        <w:numPr>
          <w:ilvl w:val="0"/>
          <w:numId w:val="1"/>
        </w:numPr>
      </w:pPr>
      <w:r>
        <w:rPr>
          <w:b/>
          <w:color w:val="221D18"/>
        </w:rPr>
        <w:t>BP-08 — </w:t>
      </w:r>
      <w:r>
        <w:t>Refactoring is continuous and behavior-preserving: golden tests (TST-06 contract replay, E2E golden paths) must pass untouched; refactors never ride along with behavior changes in one PR (GIT-05).</w:t>
      </w:r>
    </w:p>
    <w:p>
      <w:pPr>
        <w:pStyle w:val="Heading2"/>
      </w:pPr>
      <w:r>
        <w:t>20.3 Operations &amp; Reliability (BP-09…BP-12)</w:t>
      </w:r>
    </w:p>
    <w:p>
      <w:pPr>
        <w:numPr>
          <w:ilvl w:val="0"/>
          <w:numId w:val="1"/>
        </w:numPr>
      </w:pPr>
      <w:r>
        <w:rPr>
          <w:b/>
          <w:color w:val="221D18"/>
        </w:rPr>
        <w:t>BP-09 — </w:t>
      </w:r>
      <w:r>
        <w:t>Design for the failure you already predicted: every integration has its degraded mode named (RDS-08 grid, payment provider down, SMS failover) and its user experience specified in Doc 05's states — degraded is a product state, not an apology.</w:t>
      </w:r>
    </w:p>
    <w:p>
      <w:pPr>
        <w:numPr>
          <w:ilvl w:val="0"/>
          <w:numId w:val="1"/>
        </w:numPr>
      </w:pPr>
      <w:r>
        <w:rPr>
          <w:b/>
          <w:color w:val="221D18"/>
        </w:rPr>
        <w:t>BP-10 — </w:t>
      </w:r>
      <w:r>
        <w:t>Everything is replayable: outbox events re-drive consumers, jobs resume from checkpoints, webhooks re-deliver safely (idempotency keys + signature + replay cache), migrations restore from the pre-deploy backup — the system assumes it will be run twice, at 3 AM, by someone new.</w:t>
      </w:r>
    </w:p>
    <w:p>
      <w:pPr>
        <w:numPr>
          <w:ilvl w:val="0"/>
          <w:numId w:val="1"/>
        </w:numPr>
      </w:pPr>
      <w:r>
        <w:rPr>
          <w:b/>
          <w:color w:val="221D18"/>
        </w:rPr>
        <w:t>BP-11 — </w:t>
      </w:r>
      <w:r>
        <w:t>Configuration is data, code is law: market/vendor behavior differences (payment methods per market, hold duration overrides, content) live in settings/feature flags (T-71, INF-07) with audit trails — never in if (vendorId === …) branches.</w:t>
      </w:r>
    </w:p>
    <w:p>
      <w:pPr>
        <w:numPr>
          <w:ilvl w:val="0"/>
          <w:numId w:val="1"/>
        </w:numPr>
      </w:pPr>
      <w:r>
        <w:rPr>
          <w:b/>
          <w:color w:val="221D18"/>
        </w:rPr>
        <w:t>BP-12 — </w:t>
      </w:r>
      <w:r>
        <w:t>The platform is operable by its own admin console: support can find a booking, trace its timeline, replay a notification, and resolve a payment quarantine without database access — if ops needs psql, that is a missing feature (A-09/A-10), filed as such.</w:t>
      </w:r>
    </w:p>
    <w:p>
      <w:pPr>
        <w:pStyle w:val="Heading2"/>
      </w:pPr>
      <w:r>
        <w:t>20.4 People &amp; Process (BP-13…BP-15)</w:t>
      </w:r>
    </w:p>
    <w:p>
      <w:pPr>
        <w:numPr>
          <w:ilvl w:val="0"/>
          <w:numId w:val="1"/>
        </w:numPr>
      </w:pPr>
      <w:r>
        <w:rPr>
          <w:b/>
          <w:color w:val="221D18"/>
        </w:rPr>
        <w:t>BP-13 — </w:t>
      </w:r>
      <w:r>
        <w:t>Documents are code-adjacent: Docs 01–07 live in docs/ under version control; a change to behavior updates the governing document in the same program increment (Doc 06 traceability sheet). The documents and the code are one system — when they disagree, both are broken until reconciled.</w:t>
      </w:r>
    </w:p>
    <w:p>
      <w:pPr>
        <w:numPr>
          <w:ilvl w:val="0"/>
          <w:numId w:val="1"/>
        </w:numPr>
      </w:pPr>
      <w:r>
        <w:rPr>
          <w:b/>
          <w:color w:val="221D18"/>
        </w:rPr>
        <w:t>BP-14 — </w:t>
      </w:r>
      <w:r>
        <w:t>Incidents produce mechanisms, not blame: every Sev-1/Sev-2 postmortem ends with a rule added here, a test added to Part 16's suites, or a runbook added to LCH-03 — 'be more careful' is not an accepted action item.</w:t>
      </w:r>
    </w:p>
    <w:p>
      <w:pPr>
        <w:numPr>
          <w:ilvl w:val="0"/>
          <w:numId w:val="1"/>
        </w:numPr>
      </w:pPr>
      <w:r>
        <w:rPr>
          <w:b/>
          <w:color w:val="221D18"/>
        </w:rPr>
        <w:t>BP-15 — </w:t>
      </w:r>
      <w:r>
        <w:t>This document evolves by ADR: proposed changes are PRs against it with rationale and blast radius, accepted by the Principal Architect, versioned, and announced; the lint/test/checklist enforcement follows the text — a rule that cannot be enforced is rewritten until it can, or deleted.</w:t>
      </w:r>
    </w:p>
    <w:p>
      <w:r>
        <w:t>Final word: these twenty parts exist so that ten engineers write like one. Follow the IDs, trust the gates, and when the rules are wrong — and they will be, somewhere — fix the rule, not just the code. That is how the platform stays buildable by the next team, and the one after that.</w:t>
      </w:r>
    </w:p>
    <w:p>
      <w:pPr>
        <w:sectPr>
          <w:headerReference w:type="default" r:id="R409b2c2aa4694e1c"/>
          <w:footerReference w:type="default" r:id="R415dc03dd04b48b2"/>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5f8aafb0a686455e"/>
                    <a:stretch>
                      <a:fillRect/>
                    </a:stretch>
                  </pic:blipFill>
                  <pic:spPr>
                    <a:xfrm>
                      <a:off x="0" y="0"/>
                      <a:ext cx="7560000" cy="10692000"/>
                    </a:xfrm>
                    <a:prstGeom prst="rect"/>
                  </pic:spPr>
                </pic:pic>
              </a:graphicData>
            </a:graphic>
          </wp:anchor>
        </w:drawing>
      </w:r>
    </w:p>
    <w:p>
      <w:pPr>
        <w:spacing w:before="6600"/>
        <w:ind w:left="900" w:right="900"/>
      </w:pPr>
      <w:r>
        <w:rPr>
          <w:b/>
          <w:color w:val="F7F3EC"/>
          <w:spacing w:val="20"/>
          <w:sz w:val="44"/>
        </w:rPr>
        <w:t>One codebase. One standard.</w:t>
      </w:r>
    </w:p>
    <w:p>
      <w:pPr>
        <w:spacing w:before="240" w:after="0"/>
        <w:ind w:left="900" w:right="900"/>
      </w:pPr>
      <w:r>
        <w:rPr>
          <w:color w:val="D97B3A"/>
          <w:sz w:val="22"/>
        </w:rPr>
        <w:t>Ten engineers writing like one — every rule numbered, every gate automated.</w:t>
      </w:r>
    </w:p>
    <w:p>
      <w:pPr>
        <w:spacing w:before="1600" w:after="60"/>
        <w:ind w:left="900"/>
      </w:pPr>
      <w:r>
        <w:rPr>
          <w:color w:val="A79C90"/>
          <w:sz w:val="18"/>
        </w:rPr>
        <w:t>Transportation Booking Platform — Document 07 · Engineering Rules &amp; Coding Standards</w:t>
      </w:r>
    </w:p>
    <w:p>
      <w:pPr>
        <w:ind w:left="900"/>
      </w:pPr>
      <w:r>
        <w:rPr>
          <w:color w:val="A79C90"/>
          <w:sz w:val="18"/>
        </w:rPr>
        <w:t>20 rulebooks · 150+ numbered rules · 0 architectural decisions left open</w:t>
      </w:r>
    </w:p>
    <w:sectPr>
      <w:headerReference w:type="default" r:id="R11ad45b97c2e4fd5"/>
      <w:footerReference w:type="default" r:id="Rd778d508494a46df"/>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712474c2215d40a9"/>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Engineering Rules &amp; Coding Standards</w:t>
    </w:r>
  </w:p>
</w:hdr>
</file>

<file path=word/header2.xml><?xml version="1.0" encoding="utf-8"?>
<w:hdr xmlns:w="http://schemas.openxmlformats.org/wordprocessingml/2006/main">
  <w:p>
    <w:r>
      <w:t/>
    </w:r>
  </w:p>
</w:hdr>
</file>

<file path=word/numbering.xml><?xml version="1.0" encoding="utf-8"?>
<w:numbering xmlns:w="http://schemas.openxmlformats.org/wordprocessingml/2006/main">
  <w:abstractNum w:abstractNumId="1">
    <w:multiLevelType w:val="singleLevel"/>
    <w:lvl w:ilvl="0">
      <w:start w:val="1"/>
      <w:numFmt w:val="decimal"/>
      <w:lvlText w:val="%1."/>
      <w:lvlJc w:val="left"/>
      <w:pPr>
        <w:ind w:left="446" w:hanging="288"/>
      </w:pPr>
      <w:rPr>
        <w:rFonts w:ascii="Calibri" w:hAnsi="Calibri"/>
        <w:b/>
        <w:color w:val="B4540A"/>
      </w:rPr>
    </w:lvl>
  </w:abstractNum>
  <w:abstractNum w:abstractNumId="2">
    <w:multiLevelType w:val="singleLevel"/>
    <w:lvl w:ilvl="0">
      <w:start w:val="1"/>
      <w:numFmt w:val="bullet"/>
      <w:lvlText w:val="·"/>
      <w:lvlJc w:val="left"/>
      <w:pPr>
        <w:ind w:left="403" w:hanging="216"/>
      </w:pPr>
      <w:rPr>
        <w:rFonts w:ascii="Calibri" w:hAnsi="Calibri"/>
        <w:b/>
        <w:color w:val="B4540A"/>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color w:val="564F47"/>
        <w:sz w:val="21"/>
      </w:rPr>
    </w:rPrDefault>
    <w:pPrDefault/>
  </w:docDefaults>
  <w:style w:type="paragraph" w:styleId="Normal" w:default="true">
    <w:name w:val="Normal"/>
    <w:pPr>
      <w:spacing w:after="140" w:line="300" w:lineRule="auto"/>
    </w:pPr>
    <w:rPr>
      <w:color w:val="564F47"/>
      <w:sz w:val="21"/>
    </w:rPr>
  </w:style>
  <w:style w:type="paragraph" w:styleId="Heading1">
    <w:name w:val="heading 1"/>
    <w:basedOn w:val="Normal"/>
    <w:next w:val="Normal"/>
    <w:uiPriority w:val="9"/>
    <w:qFormat/>
    <w:pPr>
      <w:keepNext/>
      <w:pageBreakBefore/>
      <w:spacing w:before="0" w:after="320"/>
      <w:outlineLvl w:val="0"/>
    </w:pPr>
    <w:rPr>
      <w:b/>
      <w:color w:val="B4540A"/>
      <w:sz w:val="40"/>
    </w:rPr>
  </w:style>
  <w:style w:type="paragraph" w:styleId="Heading2">
    <w:name w:val="heading 2"/>
    <w:basedOn w:val="Normal"/>
    <w:next w:val="Normal"/>
    <w:uiPriority w:val="9"/>
    <w:qFormat/>
    <w:pPr>
      <w:keepNext/>
      <w:spacing w:before="340" w:after="160"/>
      <w:outlineLvl w:val="1"/>
    </w:pPr>
    <w:rPr>
      <w:b/>
      <w:color w:val="221D18"/>
      <w:sz w:val="28"/>
    </w:rPr>
  </w:style>
  <w:style w:type="paragraph" w:styleId="Heading3">
    <w:name w:val="heading 3"/>
    <w:basedOn w:val="Normal"/>
    <w:next w:val="Normal"/>
    <w:uiPriority w:val="9"/>
    <w:qFormat/>
    <w:pPr>
      <w:keepNext/>
      <w:spacing w:before="240" w:after="120"/>
      <w:outlineLvl w:val="2"/>
    </w:pPr>
    <w:rPr>
      <w:b/>
      <w:color w:val="B4540A"/>
      <w:sz w:val="23"/>
    </w:rPr>
  </w:style>
  <w:style w:type="paragraph" w:styleId="TOC1">
    <w:name w:val="toc 1"/>
    <w:basedOn w:val="Normal"/>
    <w:pPr>
      <w:tabs>
        <w:tab w:val="right" w:leader="dot" w:pos="9016"/>
      </w:tabs>
      <w:spacing w:after="110"/>
    </w:pPr>
    <w:rPr>
      <w:color w:val="221D18"/>
      <w:sz w:val="21"/>
    </w:rPr>
  </w:style>
</w:styles>
</file>

<file path=word/_rels/document.xml.rels><?xml version='1.0' encoding='UTF-8'?>
<Relationships xmlns="http://schemas.openxmlformats.org/package/2006/relationships"><Relationship Type="http://schemas.openxmlformats.org/officeDocument/2006/relationships/styles" Target="styles.xml" Id="Re1142e3cb5d34d52" /><Relationship Type="http://schemas.openxmlformats.org/officeDocument/2006/relationships/numbering" Target="numbering.xml" Id="R8b41063ee6a94c91" /><Relationship Type="http://schemas.openxmlformats.org/officeDocument/2006/relationships/image" Target="media/image.png" Id="R59323440cbcc4694" /><Relationship Type="http://schemas.openxmlformats.org/officeDocument/2006/relationships/image" Target="media/image2.png" Id="R5f8aafb0a686455e" /><Relationship Type="http://schemas.openxmlformats.org/officeDocument/2006/relationships/header" Target="header1.xml" Id="R409b2c2aa4694e1c" /><Relationship Type="http://schemas.openxmlformats.org/officeDocument/2006/relationships/footer" Target="footer1.xml" Id="R415dc03dd04b48b2" /><Relationship Type="http://schemas.openxmlformats.org/officeDocument/2006/relationships/header" Target="header2.xml" Id="R11ad45b97c2e4fd5" /><Relationship Type="http://schemas.openxmlformats.org/officeDocument/2006/relationships/footer" Target="footer2.xml" Id="Rd778d508494a46df" /><Relationship Type="http://schemas.openxmlformats.org/officeDocument/2006/relationships/settings" Target="settings.xml" Id="R49b7d62153674969" /></Relationships>
</file>

<file path=word/_rels/header1.xml.rels><?xml version='1.0' encoding='UTF-8'?>
<Relationships xmlns="http://schemas.openxmlformats.org/package/2006/relationships"><Relationship Type="http://schemas.openxmlformats.org/officeDocument/2006/relationships/image" Target="media/image3.png" Id="R712474c2215d40a9" /></Relationships>
</file>