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1dd" w:val="clear"/>
        <w:bidi w:val="1"/>
        <w:spacing w:after="40" w:line="276" w:lineRule="auto"/>
        <w:ind w:left="0" w:right="-1560" w:firstLine="0"/>
        <w:jc w:val="left"/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מתן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1"/>
        </w:rPr>
        <w:t xml:space="preserve">אתגר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40"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כתובת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מושב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|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-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matanetg@gmail.com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|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טלפון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-  0545510400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40"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ניסיון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עסקי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ותפעולי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הכולל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תכנון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וחשיבה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אסטרטגית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אופרציה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ופרויקטים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בתנאים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דינמיים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ואינטנסיביים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חשיבה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עסקית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מפותחת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מוכוונות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משימה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ויכולת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גבוהה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להוציא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תכניות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הכוח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הפועל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עשור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ניסיון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-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תפעולי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הכולל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פרויקטים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פיננסי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תמחור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וקשרי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ספקים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אחריות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מלאה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יחידת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רווח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הפסד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לוגיסטי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מורכב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ליווי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תהליך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משלב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הרעיון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לשלב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הביצוע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אוריינטציה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תפעולית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גבוה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צוותי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עובדים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(30)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ומתן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פתרונות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סדר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וארגון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יושרה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אמינות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וכישורים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בין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אישיים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גבוהים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כישורי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ומתן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יסודי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יצירתי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ומעמיק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בעבודתו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כושר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ביטוי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יושרה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ואתיקה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ארגונית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תקשורת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יכולות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עבודה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כלל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מערכתיות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בסביבה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דינאמית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ומגוונת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מחפש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אתגר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המשלב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יכולת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חשיבה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עסקית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היבטים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יישומיים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בסביבה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רבת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ממשקית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ודינאמית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השכלה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16"/>
        </w:tabs>
        <w:bidi w:val="1"/>
        <w:spacing w:line="276" w:lineRule="auto"/>
        <w:ind w:left="0" w:right="-1560" w:hanging="2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2010 - 2013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בגיאוגרפיה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ותכנון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סביבתי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התמחות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בתכנון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עירוני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באוניברסיטת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אביב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16"/>
        </w:tabs>
        <w:bidi w:val="1"/>
        <w:spacing w:line="276" w:lineRule="auto"/>
        <w:ind w:left="0" w:right="-1560" w:hanging="2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ניסיון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תעסוקתי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</w:tabs>
        <w:bidi w:val="1"/>
        <w:spacing w:after="120"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2022- 2024   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סמנכ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תפעול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אופרציה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בחברת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אוברלנד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תיירות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וטיולים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האופרציה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תפעול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הוצאות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ולקוחות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האופרציה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בתהליכי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אירגוניים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ותשלומי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</w:tabs>
        <w:bidi w:val="1"/>
        <w:spacing w:after="120"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2013- 2022   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עסק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עצמאי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להפקת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אירועים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תנוח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ומתחמי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אירוח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וגלמפינג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ביסוס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הפיננסי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לוגיסטיקה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בהיבט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הלוגיסטי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58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</w:tabs>
        <w:bidi w:val="1"/>
        <w:spacing w:after="0" w:before="0" w:line="276" w:lineRule="auto"/>
        <w:ind w:left="948" w:right="-1560" w:hanging="9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פלדרנוף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</w:tabs>
        <w:bidi w:val="1"/>
        <w:spacing w:after="0" w:before="0" w:line="276" w:lineRule="auto"/>
        <w:ind w:left="948" w:right="-1560" w:hanging="9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מסחריים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חוזים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2009 - 2010     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אבטחת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אישים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בחול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וליווי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ואפריקה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מאבטחים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האבטחה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האבטחה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</w:tabs>
        <w:bidi w:val="1"/>
        <w:spacing w:after="0" w:before="0" w:line="276" w:lineRule="auto"/>
        <w:ind w:left="358" w:right="-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  <w:tab w:val="left" w:leader="none" w:pos="6296"/>
        </w:tabs>
        <w:bidi w:val="1"/>
        <w:spacing w:line="276" w:lineRule="auto"/>
        <w:ind w:left="0" w:right="-156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2008-  2009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עצמאי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זכיינות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למאפיה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בוטיק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 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אגמי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לוגיסטיקה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-1091"/>
          <w:tab w:val="left" w:leader="none" w:pos="-908"/>
        </w:tabs>
        <w:bidi w:val="1"/>
        <w:spacing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-1091"/>
          <w:tab w:val="left" w:leader="none" w:pos="-908"/>
        </w:tabs>
        <w:bidi w:val="1"/>
        <w:spacing w:line="276" w:lineRule="auto"/>
        <w:ind w:left="0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401"/>
          <w:tab w:val="left" w:leader="none" w:pos="6296"/>
        </w:tabs>
        <w:bidi w:val="1"/>
        <w:spacing w:line="276" w:lineRule="auto"/>
        <w:ind w:left="-2" w:right="-156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2006-2007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מכירות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ושיווק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 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אורון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שערים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ההיבטים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091"/>
          <w:tab w:val="left" w:leader="none" w:pos="-908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שרות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צבאי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  2002-2005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ומפקד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מפקדים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טירונים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מצטיין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אוגדונר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מבצעית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שפות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1"/>
        </w:tabs>
        <w:bidi w:val="1"/>
        <w:spacing w:after="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שונות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נגישות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בתוקף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1)</w:t>
      </w:r>
    </w:p>
    <w:p w:rsidR="00000000" w:rsidDel="00000000" w:rsidP="00000000" w:rsidRDefault="00000000" w:rsidRPr="00000000" w14:paraId="00000045">
      <w:pPr>
        <w:keepNext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e6e6e6" w:val="clear"/>
        <w:tabs>
          <w:tab w:val="right" w:leader="none" w:pos="401"/>
        </w:tabs>
        <w:bidi w:val="1"/>
        <w:spacing w:line="276" w:lineRule="auto"/>
        <w:ind w:left="0" w:right="-1560" w:hanging="2"/>
        <w:jc w:val="left"/>
        <w:rPr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עבודה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u w:val="single"/>
          <w:rtl w:val="1"/>
        </w:rPr>
        <w:t xml:space="preserve">ותוכנות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60" w:line="276" w:lineRule="auto"/>
        <w:ind w:left="0" w:right="-1560" w:hanging="2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שליטה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מלאה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בסביבה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ממוחשבת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מערכת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ההפעלה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vista/ windows xp, Microsoft office (word, excel, power point) Priority)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0" w:line="276" w:lineRule="auto"/>
        <w:ind w:left="358" w:right="-1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המלצות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יינתנו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לדרישה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2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20"/>
      <w:numFmt w:val="decimal"/>
      <w:lvlText w:val="%1"/>
      <w:lvlJc w:val="left"/>
      <w:pPr>
        <w:ind w:left="950" w:hanging="950"/>
      </w:pPr>
      <w:rPr>
        <w:b w:val="1"/>
      </w:rPr>
    </w:lvl>
    <w:lvl w:ilvl="1">
      <w:start w:val="2021"/>
      <w:numFmt w:val="decimal"/>
      <w:lvlText w:val="%1-%2"/>
      <w:lvlJc w:val="left"/>
      <w:pPr>
        <w:ind w:left="948" w:hanging="950"/>
      </w:pPr>
      <w:rPr>
        <w:b w:val="1"/>
      </w:rPr>
    </w:lvl>
    <w:lvl w:ilvl="2">
      <w:start w:val="1"/>
      <w:numFmt w:val="decimal"/>
      <w:lvlText w:val="%1-%2.%3"/>
      <w:lvlJc w:val="left"/>
      <w:pPr>
        <w:ind w:left="946" w:hanging="950"/>
      </w:pPr>
      <w:rPr>
        <w:b w:val="1"/>
      </w:rPr>
    </w:lvl>
    <w:lvl w:ilvl="3">
      <w:start w:val="1"/>
      <w:numFmt w:val="decimal"/>
      <w:lvlText w:val="%1-%2.%3.%4"/>
      <w:lvlJc w:val="left"/>
      <w:pPr>
        <w:ind w:left="944" w:hanging="950"/>
      </w:pPr>
      <w:rPr>
        <w:b w:val="1"/>
      </w:rPr>
    </w:lvl>
    <w:lvl w:ilvl="4">
      <w:start w:val="1"/>
      <w:numFmt w:val="decimal"/>
      <w:lvlText w:val="%1-%2.%3.%4.%5"/>
      <w:lvlJc w:val="left"/>
      <w:pPr>
        <w:ind w:left="1072" w:hanging="1080"/>
      </w:pPr>
      <w:rPr>
        <w:b w:val="1"/>
      </w:rPr>
    </w:lvl>
    <w:lvl w:ilvl="5">
      <w:start w:val="1"/>
      <w:numFmt w:val="decimal"/>
      <w:lvlText w:val="%1-%2.%3.%4.%5.%6"/>
      <w:lvlJc w:val="left"/>
      <w:pPr>
        <w:ind w:left="1070" w:hanging="1080"/>
      </w:pPr>
      <w:rPr>
        <w:b w:val="1"/>
      </w:rPr>
    </w:lvl>
    <w:lvl w:ilvl="6">
      <w:start w:val="1"/>
      <w:numFmt w:val="decimal"/>
      <w:lvlText w:val="%1-%2.%3.%4.%5.%6.%7"/>
      <w:lvlJc w:val="left"/>
      <w:pPr>
        <w:ind w:left="1428" w:hanging="1440"/>
      </w:pPr>
      <w:rPr>
        <w:b w:val="1"/>
      </w:rPr>
    </w:lvl>
    <w:lvl w:ilvl="7">
      <w:start w:val="1"/>
      <w:numFmt w:val="decimal"/>
      <w:lvlText w:val="%1-%2.%3.%4.%5.%6.%7.%8"/>
      <w:lvlJc w:val="left"/>
      <w:pPr>
        <w:ind w:left="1426" w:hanging="1440"/>
      </w:pPr>
      <w:rPr>
        <w:b w:val="1"/>
      </w:rPr>
    </w:lvl>
    <w:lvl w:ilvl="8">
      <w:start w:val="1"/>
      <w:numFmt w:val="decimal"/>
      <w:lvlText w:val="%1-%2.%3.%4.%5.%6.%7.%8.%9"/>
      <w:lvlJc w:val="left"/>
      <w:pPr>
        <w:ind w:left="1784" w:hanging="1800"/>
      </w:pPr>
      <w:rPr>
        <w:b w:val="1"/>
      </w:rPr>
    </w:lvl>
  </w:abstractNum>
  <w:abstractNum w:abstractNumId="2">
    <w:lvl w:ilvl="0">
      <w:start w:val="202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019"/>
      <w:numFmt w:val="decimal"/>
      <w:lvlText w:val="%1"/>
      <w:lvlJc w:val="left"/>
      <w:pPr>
        <w:ind w:left="950" w:hanging="950"/>
      </w:pPr>
      <w:rPr>
        <w:b w:val="1"/>
      </w:rPr>
    </w:lvl>
    <w:lvl w:ilvl="1">
      <w:start w:val="2020"/>
      <w:numFmt w:val="decimal"/>
      <w:lvlText w:val="%1-%2"/>
      <w:lvlJc w:val="left"/>
      <w:pPr>
        <w:ind w:left="948" w:hanging="950"/>
      </w:pPr>
      <w:rPr>
        <w:b w:val="0"/>
      </w:rPr>
    </w:lvl>
    <w:lvl w:ilvl="2">
      <w:start w:val="1"/>
      <w:numFmt w:val="decimal"/>
      <w:lvlText w:val="%1-%2.%3"/>
      <w:lvlJc w:val="left"/>
      <w:pPr>
        <w:ind w:left="946" w:hanging="950"/>
      </w:pPr>
      <w:rPr>
        <w:b w:val="1"/>
      </w:rPr>
    </w:lvl>
    <w:lvl w:ilvl="3">
      <w:start w:val="1"/>
      <w:numFmt w:val="decimal"/>
      <w:lvlText w:val="%1-%2.%3.%4"/>
      <w:lvlJc w:val="left"/>
      <w:pPr>
        <w:ind w:left="944" w:hanging="950"/>
      </w:pPr>
      <w:rPr>
        <w:b w:val="1"/>
      </w:rPr>
    </w:lvl>
    <w:lvl w:ilvl="4">
      <w:start w:val="1"/>
      <w:numFmt w:val="decimal"/>
      <w:lvlText w:val="%1-%2.%3.%4.%5"/>
      <w:lvlJc w:val="left"/>
      <w:pPr>
        <w:ind w:left="1072" w:hanging="1080"/>
      </w:pPr>
      <w:rPr>
        <w:b w:val="1"/>
      </w:rPr>
    </w:lvl>
    <w:lvl w:ilvl="5">
      <w:start w:val="1"/>
      <w:numFmt w:val="decimal"/>
      <w:lvlText w:val="%1-%2.%3.%4.%5.%6"/>
      <w:lvlJc w:val="left"/>
      <w:pPr>
        <w:ind w:left="1070" w:hanging="1080"/>
      </w:pPr>
      <w:rPr>
        <w:b w:val="1"/>
      </w:rPr>
    </w:lvl>
    <w:lvl w:ilvl="6">
      <w:start w:val="1"/>
      <w:numFmt w:val="decimal"/>
      <w:lvlText w:val="%1-%2.%3.%4.%5.%6.%7"/>
      <w:lvlJc w:val="left"/>
      <w:pPr>
        <w:ind w:left="1428" w:hanging="1440"/>
      </w:pPr>
      <w:rPr>
        <w:b w:val="1"/>
      </w:rPr>
    </w:lvl>
    <w:lvl w:ilvl="7">
      <w:start w:val="1"/>
      <w:numFmt w:val="decimal"/>
      <w:lvlText w:val="%1-%2.%3.%4.%5.%6.%7.%8"/>
      <w:lvlJc w:val="left"/>
      <w:pPr>
        <w:ind w:left="1426" w:hanging="1440"/>
      </w:pPr>
      <w:rPr>
        <w:b w:val="1"/>
      </w:rPr>
    </w:lvl>
    <w:lvl w:ilvl="8">
      <w:start w:val="1"/>
      <w:numFmt w:val="decimal"/>
      <w:lvlText w:val="%1-%2.%3.%4.%5.%6.%7.%8.%9"/>
      <w:lvlJc w:val="left"/>
      <w:pPr>
        <w:ind w:left="1784" w:hanging="1800"/>
      </w:pPr>
      <w:rPr>
        <w:b w:val="1"/>
      </w:rPr>
    </w:lvl>
  </w:abstractNum>
  <w:abstractNum w:abstractNumId="4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2002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bidi w:val="1"/>
        <w:ind w:hanging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Bdr>
        <w:bottom w:color="000000" w:space="1" w:sz="4" w:val="single"/>
      </w:pBdr>
      <w:shd w:fill="e6e6e6" w:val="clear"/>
    </w:pPr>
    <w:rPr>
      <w:rFonts w:ascii="Tahoma" w:cs="Tahoma" w:eastAsia="Tahoma" w:hAnsi="Tahom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anet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