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te9pla6dpvz" w:id="0"/>
      <w:bookmarkEnd w:id="0"/>
      <w:r w:rsidDel="00000000" w:rsidR="00000000" w:rsidRPr="00000000">
        <w:rPr>
          <w:rtl w:val="0"/>
        </w:rPr>
        <w:t xml:space="preserve">Entry for DSA x DAPH: Data Analytics Series Training and Event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Thank you to Data Analytics Philippines and DataSense Analytics for this learning opportunity.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this event, I got introduced to Power BI that led me to my first dashboard using MS Power BI. This dashboard highlights the metrics for the sales performance of the sample dataset/company - Adventure Works, including sales forecasting and analysis.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70zfh19d3tdg" w:id="1"/>
      <w:bookmarkEnd w:id="1"/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From 2018 to 2020, Adventure Works almost managed to reach the 1 million dollar milestone with a profit margin of 1.29% and Sales Growth of 75%. In 2020, they sold 57,851 units of Accessories, Bikes, Clothing and Components.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Their bikes are the most ordered product contributing to almost 26.5 million sales. They sold the most of this product during the 2nd Quarter of FY2020, specifically on Dec. 2019.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The company performed best at FY2020 accompanied by a linear increase in sales.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bk19ypglmox" w:id="2"/>
      <w:bookmarkEnd w:id="2"/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Visual to identify products, regions, and resellers are the most and least profitable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More monitoring visuals for Sales decline and Customer retention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216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