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75CF" w14:textId="77777777" w:rsidR="00F335A8" w:rsidRDefault="00000000">
      <w:pPr>
        <w:pStyle w:val="Heading1"/>
        <w:jc w:val="center"/>
      </w:pPr>
      <w:r>
        <w:t>NTI – Data Analysis Final Project</w:t>
      </w:r>
    </w:p>
    <w:p w14:paraId="13774AB0" w14:textId="77777777" w:rsidR="00F335A8" w:rsidRDefault="00F335A8">
      <w:pPr>
        <w:pStyle w:val="Heading1"/>
        <w:jc w:val="center"/>
      </w:pPr>
    </w:p>
    <w:p w14:paraId="6278F629" w14:textId="77777777" w:rsidR="00F335A8" w:rsidRDefault="00F335A8">
      <w:pPr>
        <w:pStyle w:val="Heading3"/>
        <w:rPr>
          <w:b w:val="0"/>
          <w:bCs w:val="0"/>
        </w:rPr>
      </w:pPr>
    </w:p>
    <w:p w14:paraId="558873E3" w14:textId="77777777" w:rsidR="00F335A8" w:rsidRDefault="00000000">
      <w:pPr>
        <w:pStyle w:val="Heading3"/>
        <w:jc w:val="center"/>
        <w:rPr>
          <w:sz w:val="28"/>
          <w:szCs w:val="28"/>
        </w:rPr>
      </w:pPr>
      <w:r>
        <w:rPr>
          <w:sz w:val="28"/>
          <w:szCs w:val="28"/>
        </w:rPr>
        <w:t>Team Members</w:t>
      </w:r>
    </w:p>
    <w:tbl>
      <w:tblPr>
        <w:tblStyle w:val="TableGrid"/>
        <w:tblW w:w="0" w:type="auto"/>
        <w:tblLook w:val="04A0" w:firstRow="1" w:lastRow="0" w:firstColumn="1" w:lastColumn="0" w:noHBand="0" w:noVBand="1"/>
      </w:tblPr>
      <w:tblGrid>
        <w:gridCol w:w="8994"/>
      </w:tblGrid>
      <w:tr w:rsidR="00F335A8" w14:paraId="219DF8B3" w14:textId="77777777">
        <w:trPr>
          <w:trHeight w:val="526"/>
        </w:trPr>
        <w:tc>
          <w:tcPr>
            <w:tcW w:w="8994" w:type="dxa"/>
          </w:tcPr>
          <w:p w14:paraId="6ED2A201" w14:textId="77777777" w:rsidR="00F335A8" w:rsidRDefault="00000000">
            <w:pPr>
              <w:pStyle w:val="EndnoteText"/>
              <w:jc w:val="center"/>
              <w:rPr>
                <w:b/>
                <w:bCs/>
                <w:sz w:val="24"/>
                <w:szCs w:val="24"/>
              </w:rPr>
            </w:pPr>
            <w:r>
              <w:rPr>
                <w:b/>
                <w:bCs/>
                <w:sz w:val="24"/>
                <w:szCs w:val="24"/>
              </w:rPr>
              <w:t>Aya Mohamed Youssef</w:t>
            </w:r>
          </w:p>
        </w:tc>
      </w:tr>
      <w:tr w:rsidR="00F335A8" w14:paraId="67A15CF1" w14:textId="77777777">
        <w:trPr>
          <w:trHeight w:val="526"/>
        </w:trPr>
        <w:tc>
          <w:tcPr>
            <w:tcW w:w="8994" w:type="dxa"/>
          </w:tcPr>
          <w:p w14:paraId="445ABA14" w14:textId="77777777" w:rsidR="00F335A8" w:rsidRDefault="00000000">
            <w:pPr>
              <w:pStyle w:val="EndnoteText"/>
              <w:jc w:val="center"/>
              <w:rPr>
                <w:b/>
                <w:bCs/>
                <w:sz w:val="24"/>
                <w:szCs w:val="24"/>
              </w:rPr>
            </w:pPr>
            <w:r>
              <w:rPr>
                <w:b/>
                <w:bCs/>
                <w:sz w:val="24"/>
                <w:szCs w:val="24"/>
              </w:rPr>
              <w:t xml:space="preserve">Farah Khaled Gamal </w:t>
            </w:r>
          </w:p>
        </w:tc>
      </w:tr>
      <w:tr w:rsidR="00F335A8" w14:paraId="65CD66BC" w14:textId="77777777">
        <w:trPr>
          <w:trHeight w:val="526"/>
        </w:trPr>
        <w:tc>
          <w:tcPr>
            <w:tcW w:w="8994" w:type="dxa"/>
          </w:tcPr>
          <w:p w14:paraId="347774ED" w14:textId="77777777" w:rsidR="00F335A8" w:rsidRDefault="00F335A8">
            <w:pPr>
              <w:pStyle w:val="EndnoteText"/>
              <w:jc w:val="center"/>
            </w:pPr>
          </w:p>
        </w:tc>
      </w:tr>
    </w:tbl>
    <w:p w14:paraId="13EB34CF" w14:textId="77777777" w:rsidR="00F335A8" w:rsidRDefault="00F335A8">
      <w:pPr>
        <w:pStyle w:val="Heading1"/>
        <w:jc w:val="center"/>
      </w:pPr>
    </w:p>
    <w:p w14:paraId="41559C00" w14:textId="77777777" w:rsidR="00F335A8" w:rsidRDefault="00F335A8">
      <w:pPr>
        <w:pStyle w:val="Heading1"/>
        <w:jc w:val="center"/>
      </w:pPr>
    </w:p>
    <w:p w14:paraId="0C4E8BB0" w14:textId="77777777" w:rsidR="00F335A8" w:rsidRDefault="00F335A8">
      <w:pPr>
        <w:pStyle w:val="Heading1"/>
        <w:jc w:val="center"/>
      </w:pPr>
    </w:p>
    <w:p w14:paraId="3C5190B1" w14:textId="77777777" w:rsidR="00F335A8" w:rsidRDefault="00F335A8">
      <w:pPr>
        <w:pStyle w:val="Heading1"/>
        <w:jc w:val="center"/>
      </w:pPr>
    </w:p>
    <w:p w14:paraId="2028A128" w14:textId="77777777" w:rsidR="00F335A8" w:rsidRDefault="00F335A8">
      <w:pPr>
        <w:pStyle w:val="Heading1"/>
        <w:jc w:val="center"/>
      </w:pPr>
    </w:p>
    <w:p w14:paraId="51BB409D" w14:textId="77777777" w:rsidR="00F335A8" w:rsidRDefault="00F335A8">
      <w:pPr>
        <w:pStyle w:val="Heading1"/>
        <w:jc w:val="center"/>
      </w:pPr>
    </w:p>
    <w:p w14:paraId="17AAB302" w14:textId="77777777" w:rsidR="00F335A8" w:rsidRDefault="00F335A8">
      <w:pPr>
        <w:pStyle w:val="Heading1"/>
        <w:jc w:val="center"/>
      </w:pPr>
    </w:p>
    <w:p w14:paraId="0AA223C1" w14:textId="77777777" w:rsidR="00F335A8" w:rsidRDefault="00000000">
      <w:r>
        <w:br w:type="page" w:clear="all"/>
      </w:r>
    </w:p>
    <w:p w14:paraId="0942564B" w14:textId="77777777" w:rsidR="00F335A8" w:rsidRDefault="00000000">
      <w:pPr>
        <w:pStyle w:val="Heading1"/>
        <w:jc w:val="center"/>
      </w:pPr>
      <w:r>
        <w:lastRenderedPageBreak/>
        <w:t>Data Overview</w:t>
      </w:r>
    </w:p>
    <w:p w14:paraId="688E3A76" w14:textId="1782111B" w:rsidR="00A86DD2" w:rsidRDefault="00AF6393" w:rsidP="009531F2">
      <w:pPr>
        <w:pStyle w:val="Heading1"/>
        <w:rPr>
          <w:b w:val="0"/>
          <w:bCs w:val="0"/>
          <w:color w:val="000000" w:themeColor="text1"/>
          <w:sz w:val="28"/>
          <w:szCs w:val="28"/>
        </w:rPr>
      </w:pPr>
      <w:r w:rsidRPr="00AF6393">
        <w:rPr>
          <w:b w:val="0"/>
          <w:bCs w:val="0"/>
          <w:color w:val="000000" w:themeColor="text1"/>
          <w:sz w:val="28"/>
          <w:szCs w:val="28"/>
        </w:rPr>
        <w:t>This project evaluates retail sales performance and profitability using a transactional dataset containing 9,994 order records and 25 fields. The dataset covers key commercial dimensions, including order details, customer segments, geographic locations, product categories, pricing structures, discount tiers, shipping durations, and net profit margins.</w:t>
      </w:r>
    </w:p>
    <w:p w14:paraId="3537A4A1" w14:textId="77777777" w:rsidR="009531F2" w:rsidRDefault="009531F2" w:rsidP="009531F2">
      <w:pPr>
        <w:pStyle w:val="Heading1"/>
        <w:rPr>
          <w:b w:val="0"/>
          <w:bCs w:val="0"/>
          <w:color w:val="000000" w:themeColor="text1"/>
          <w:sz w:val="28"/>
          <w:szCs w:val="28"/>
        </w:rPr>
      </w:pPr>
    </w:p>
    <w:tbl>
      <w:tblPr>
        <w:tblStyle w:val="ListTable4-Accent51"/>
        <w:tblW w:w="0" w:type="auto"/>
        <w:tblLook w:val="04A0" w:firstRow="1" w:lastRow="0" w:firstColumn="1" w:lastColumn="0" w:noHBand="0" w:noVBand="1"/>
      </w:tblPr>
      <w:tblGrid>
        <w:gridCol w:w="3005"/>
        <w:gridCol w:w="3005"/>
        <w:gridCol w:w="3006"/>
      </w:tblGrid>
      <w:tr w:rsidR="00A86DD2" w14:paraId="45D5074F" w14:textId="77777777" w:rsidTr="00A8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F74C130" w14:textId="5F0383F7" w:rsidR="00A86DD2" w:rsidRPr="00A86DD2" w:rsidRDefault="00A86DD2" w:rsidP="00A86DD2">
            <w:pPr>
              <w:pStyle w:val="Heading1"/>
              <w:jc w:val="center"/>
              <w:rPr>
                <w:b/>
                <w:bCs w:val="0"/>
                <w:color w:val="FFFFFF" w:themeColor="background1"/>
                <w:sz w:val="36"/>
                <w:szCs w:val="36"/>
              </w:rPr>
            </w:pPr>
            <w:r w:rsidRPr="00A86DD2">
              <w:rPr>
                <w:bCs w:val="0"/>
                <w:color w:val="FFFFFF" w:themeColor="background1"/>
                <w:sz w:val="36"/>
                <w:szCs w:val="36"/>
              </w:rPr>
              <w:t xml:space="preserve">Column </w:t>
            </w:r>
            <w:r>
              <w:rPr>
                <w:bCs w:val="0"/>
                <w:color w:val="FFFFFF" w:themeColor="background1"/>
                <w:sz w:val="36"/>
                <w:szCs w:val="36"/>
              </w:rPr>
              <w:t>name</w:t>
            </w:r>
          </w:p>
        </w:tc>
        <w:tc>
          <w:tcPr>
            <w:tcW w:w="3005" w:type="dxa"/>
          </w:tcPr>
          <w:p w14:paraId="4D242DF8" w14:textId="00D2CB27" w:rsidR="00A86DD2" w:rsidRPr="00A86DD2" w:rsidRDefault="00A86DD2" w:rsidP="00A86DD2">
            <w:pPr>
              <w:pStyle w:val="Heading1"/>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Data type</w:t>
            </w:r>
          </w:p>
        </w:tc>
        <w:tc>
          <w:tcPr>
            <w:tcW w:w="3006" w:type="dxa"/>
          </w:tcPr>
          <w:p w14:paraId="000473A4" w14:textId="1EB548C9" w:rsidR="00A86DD2" w:rsidRPr="00A86DD2" w:rsidRDefault="00A86DD2" w:rsidP="00A86DD2">
            <w:pPr>
              <w:pStyle w:val="Heading1"/>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Description</w:t>
            </w:r>
          </w:p>
        </w:tc>
      </w:tr>
      <w:tr w:rsidR="00A86DD2" w14:paraId="510338C4"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18864C67" w14:textId="283E8222" w:rsidR="00A86DD2" w:rsidRPr="00A86DD2" w:rsidRDefault="00A86DD2" w:rsidP="00A86DD2">
            <w:pPr>
              <w:pStyle w:val="Heading1"/>
              <w:rPr>
                <w:color w:val="000000" w:themeColor="text1"/>
                <w:sz w:val="28"/>
                <w:szCs w:val="28"/>
              </w:rPr>
            </w:pPr>
            <w:r>
              <w:rPr>
                <w:color w:val="000000" w:themeColor="text1"/>
                <w:sz w:val="28"/>
                <w:szCs w:val="28"/>
              </w:rPr>
              <w:t>Order ID</w:t>
            </w:r>
          </w:p>
        </w:tc>
        <w:tc>
          <w:tcPr>
            <w:tcW w:w="3005" w:type="dxa"/>
          </w:tcPr>
          <w:p w14:paraId="732DBF91" w14:textId="300932A7"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Text</w:t>
            </w:r>
          </w:p>
        </w:tc>
        <w:tc>
          <w:tcPr>
            <w:tcW w:w="3006" w:type="dxa"/>
          </w:tcPr>
          <w:p w14:paraId="3D1B07B3" w14:textId="5FB6CE63" w:rsidR="00A86DD2" w:rsidRPr="009531F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Unique identifier for each order transaction.</w:t>
            </w:r>
          </w:p>
        </w:tc>
      </w:tr>
      <w:tr w:rsidR="00A86DD2" w14:paraId="19B9555F"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03A58FC6" w14:textId="490E8BE6" w:rsidR="00A86DD2" w:rsidRPr="00A86DD2" w:rsidRDefault="00A86DD2" w:rsidP="00A86DD2">
            <w:pPr>
              <w:pStyle w:val="Heading1"/>
              <w:rPr>
                <w:color w:val="000000" w:themeColor="text1"/>
                <w:sz w:val="28"/>
                <w:szCs w:val="28"/>
              </w:rPr>
            </w:pPr>
            <w:r>
              <w:rPr>
                <w:color w:val="000000" w:themeColor="text1"/>
                <w:sz w:val="28"/>
                <w:szCs w:val="28"/>
              </w:rPr>
              <w:t>Order Date</w:t>
            </w:r>
          </w:p>
        </w:tc>
        <w:tc>
          <w:tcPr>
            <w:tcW w:w="3005" w:type="dxa"/>
          </w:tcPr>
          <w:p w14:paraId="018946DF" w14:textId="22861C98"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Date</w:t>
            </w:r>
          </w:p>
        </w:tc>
        <w:tc>
          <w:tcPr>
            <w:tcW w:w="3006" w:type="dxa"/>
          </w:tcPr>
          <w:p w14:paraId="0A70855F" w14:textId="32FA0BC6" w:rsidR="00A86DD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The date on which the purchase was made.</w:t>
            </w:r>
          </w:p>
        </w:tc>
      </w:tr>
      <w:tr w:rsidR="00A86DD2" w14:paraId="4503638C"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760CE3E7" w14:textId="15157526" w:rsidR="00A86DD2" w:rsidRPr="00A86DD2" w:rsidRDefault="00A86DD2" w:rsidP="009B58CD">
            <w:pPr>
              <w:pStyle w:val="Heading1"/>
              <w:rPr>
                <w:color w:val="000000" w:themeColor="text1"/>
                <w:sz w:val="28"/>
                <w:szCs w:val="28"/>
              </w:rPr>
            </w:pPr>
            <w:r>
              <w:rPr>
                <w:color w:val="000000" w:themeColor="text1"/>
                <w:sz w:val="28"/>
                <w:szCs w:val="28"/>
              </w:rPr>
              <w:t>Customer ID\Name</w:t>
            </w:r>
          </w:p>
        </w:tc>
        <w:tc>
          <w:tcPr>
            <w:tcW w:w="3005" w:type="dxa"/>
          </w:tcPr>
          <w:p w14:paraId="67901AED" w14:textId="641A27DB"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Text</w:t>
            </w:r>
          </w:p>
        </w:tc>
        <w:tc>
          <w:tcPr>
            <w:tcW w:w="3006" w:type="dxa"/>
          </w:tcPr>
          <w:p w14:paraId="1E65DE07" w14:textId="3B3632D1" w:rsidR="00A86DD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Identification details of the buyer.</w:t>
            </w:r>
          </w:p>
        </w:tc>
      </w:tr>
      <w:tr w:rsidR="00A86DD2" w14:paraId="368AD89B"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2E0EC3C2" w14:textId="69BD9360" w:rsidR="00A86DD2" w:rsidRPr="00A86DD2" w:rsidRDefault="00A86DD2" w:rsidP="009B58CD">
            <w:pPr>
              <w:pStyle w:val="Heading1"/>
              <w:rPr>
                <w:color w:val="000000" w:themeColor="text1"/>
                <w:sz w:val="28"/>
                <w:szCs w:val="28"/>
              </w:rPr>
            </w:pPr>
            <w:r>
              <w:rPr>
                <w:color w:val="000000" w:themeColor="text1"/>
                <w:sz w:val="28"/>
                <w:szCs w:val="28"/>
              </w:rPr>
              <w:t>Region\City\Country</w:t>
            </w:r>
          </w:p>
        </w:tc>
        <w:tc>
          <w:tcPr>
            <w:tcW w:w="3005" w:type="dxa"/>
          </w:tcPr>
          <w:p w14:paraId="0778B169" w14:textId="5A77F21F"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Text</w:t>
            </w:r>
          </w:p>
        </w:tc>
        <w:tc>
          <w:tcPr>
            <w:tcW w:w="3006" w:type="dxa"/>
          </w:tcPr>
          <w:p w14:paraId="3C3ACB02" w14:textId="63F4145D" w:rsidR="00A86DD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Geographical location of the transaction or shipping destination.</w:t>
            </w:r>
          </w:p>
        </w:tc>
      </w:tr>
      <w:tr w:rsidR="00A86DD2" w14:paraId="2205863E"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07A473BA" w14:textId="04197A5A" w:rsidR="00A86DD2" w:rsidRPr="00A86DD2" w:rsidRDefault="00A86DD2" w:rsidP="009B58CD">
            <w:pPr>
              <w:pStyle w:val="Heading1"/>
              <w:rPr>
                <w:color w:val="000000" w:themeColor="text1"/>
                <w:sz w:val="28"/>
                <w:szCs w:val="28"/>
              </w:rPr>
            </w:pPr>
            <w:r>
              <w:rPr>
                <w:color w:val="000000" w:themeColor="text1"/>
                <w:sz w:val="28"/>
                <w:szCs w:val="28"/>
              </w:rPr>
              <w:t>Category\Sub-Category</w:t>
            </w:r>
          </w:p>
        </w:tc>
        <w:tc>
          <w:tcPr>
            <w:tcW w:w="3005" w:type="dxa"/>
          </w:tcPr>
          <w:p w14:paraId="4AF849A3" w14:textId="469068E0"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Text</w:t>
            </w:r>
          </w:p>
        </w:tc>
        <w:tc>
          <w:tcPr>
            <w:tcW w:w="3006" w:type="dxa"/>
          </w:tcPr>
          <w:p w14:paraId="322DCC5B" w14:textId="30781AA0" w:rsidR="00A86DD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Main and secondary product classifications.</w:t>
            </w:r>
          </w:p>
        </w:tc>
      </w:tr>
      <w:tr w:rsidR="00A86DD2" w14:paraId="54B931AA"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48FBC16E" w14:textId="524996D9" w:rsidR="00A86DD2" w:rsidRPr="00A86DD2" w:rsidRDefault="00A86DD2" w:rsidP="009B58CD">
            <w:pPr>
              <w:pStyle w:val="Heading1"/>
              <w:rPr>
                <w:bCs w:val="0"/>
                <w:color w:val="000000" w:themeColor="text1"/>
                <w:sz w:val="28"/>
                <w:szCs w:val="28"/>
              </w:rPr>
            </w:pPr>
            <w:r>
              <w:rPr>
                <w:bCs w:val="0"/>
                <w:color w:val="000000" w:themeColor="text1"/>
                <w:sz w:val="28"/>
                <w:szCs w:val="28"/>
              </w:rPr>
              <w:t>Sales</w:t>
            </w:r>
          </w:p>
        </w:tc>
        <w:tc>
          <w:tcPr>
            <w:tcW w:w="3005" w:type="dxa"/>
          </w:tcPr>
          <w:p w14:paraId="7D3868AE" w14:textId="0D551C0D"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Decimal</w:t>
            </w:r>
          </w:p>
        </w:tc>
        <w:tc>
          <w:tcPr>
            <w:tcW w:w="3006" w:type="dxa"/>
          </w:tcPr>
          <w:p w14:paraId="7814E59A" w14:textId="1D1DEFE7" w:rsidR="00A86DD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Total revenue generated from the item sold.</w:t>
            </w:r>
          </w:p>
        </w:tc>
      </w:tr>
      <w:tr w:rsidR="00A86DD2" w14:paraId="6619A10F"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5FB3362D" w14:textId="0AE1BC68" w:rsidR="00A86DD2" w:rsidRPr="00A86DD2" w:rsidRDefault="00A86DD2" w:rsidP="009B58CD">
            <w:pPr>
              <w:pStyle w:val="Heading1"/>
              <w:rPr>
                <w:color w:val="000000" w:themeColor="text1"/>
                <w:sz w:val="28"/>
                <w:szCs w:val="28"/>
              </w:rPr>
            </w:pPr>
            <w:r>
              <w:rPr>
                <w:color w:val="000000" w:themeColor="text1"/>
                <w:sz w:val="28"/>
                <w:szCs w:val="28"/>
              </w:rPr>
              <w:t>Quantity</w:t>
            </w:r>
          </w:p>
        </w:tc>
        <w:tc>
          <w:tcPr>
            <w:tcW w:w="3005" w:type="dxa"/>
          </w:tcPr>
          <w:p w14:paraId="79323A01" w14:textId="2F7B1DBA"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Integer</w:t>
            </w:r>
          </w:p>
        </w:tc>
        <w:tc>
          <w:tcPr>
            <w:tcW w:w="3006" w:type="dxa"/>
          </w:tcPr>
          <w:p w14:paraId="16E83A84" w14:textId="5860F433" w:rsidR="00A86DD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Number of units purchased.</w:t>
            </w:r>
          </w:p>
        </w:tc>
      </w:tr>
      <w:tr w:rsidR="00A86DD2" w14:paraId="6E5CC052" w14:textId="77777777" w:rsidTr="00A86DD2">
        <w:tc>
          <w:tcPr>
            <w:cnfStyle w:val="001000000000" w:firstRow="0" w:lastRow="0" w:firstColumn="1" w:lastColumn="0" w:oddVBand="0" w:evenVBand="0" w:oddHBand="0" w:evenHBand="0" w:firstRowFirstColumn="0" w:firstRowLastColumn="0" w:lastRowFirstColumn="0" w:lastRowLastColumn="0"/>
            <w:tcW w:w="3005" w:type="dxa"/>
          </w:tcPr>
          <w:p w14:paraId="083C1BFA" w14:textId="0D2304B3" w:rsidR="00A86DD2" w:rsidRDefault="00A86DD2" w:rsidP="009B58CD">
            <w:pPr>
              <w:pStyle w:val="Heading1"/>
              <w:rPr>
                <w:color w:val="000000" w:themeColor="text1"/>
                <w:sz w:val="28"/>
                <w:szCs w:val="28"/>
              </w:rPr>
            </w:pPr>
            <w:r>
              <w:rPr>
                <w:color w:val="000000" w:themeColor="text1"/>
                <w:sz w:val="28"/>
                <w:szCs w:val="28"/>
              </w:rPr>
              <w:t>Profit</w:t>
            </w:r>
          </w:p>
        </w:tc>
        <w:tc>
          <w:tcPr>
            <w:tcW w:w="3005" w:type="dxa"/>
          </w:tcPr>
          <w:p w14:paraId="0509F4A8" w14:textId="31F34229" w:rsidR="00A86DD2" w:rsidRDefault="009531F2" w:rsidP="009531F2">
            <w:pPr>
              <w:pStyle w:val="Heading1"/>
              <w:jc w:val="center"/>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Pr>
                <w:b w:val="0"/>
                <w:bCs w:val="0"/>
                <w:color w:val="000000" w:themeColor="text1"/>
                <w:sz w:val="28"/>
                <w:szCs w:val="28"/>
              </w:rPr>
              <w:t>Decimal</w:t>
            </w:r>
          </w:p>
        </w:tc>
        <w:tc>
          <w:tcPr>
            <w:tcW w:w="3006" w:type="dxa"/>
          </w:tcPr>
          <w:p w14:paraId="69FB724C" w14:textId="75CD2353" w:rsidR="00A86DD2" w:rsidRDefault="009531F2" w:rsidP="009B58CD">
            <w:pPr>
              <w:pStyle w:val="Heading1"/>
              <w:cnfStyle w:val="000000000000" w:firstRow="0" w:lastRow="0" w:firstColumn="0" w:lastColumn="0" w:oddVBand="0" w:evenVBand="0" w:oddHBand="0" w:evenHBand="0" w:firstRowFirstColumn="0" w:firstRowLastColumn="0" w:lastRowFirstColumn="0" w:lastRowLastColumn="0"/>
              <w:rPr>
                <w:b w:val="0"/>
                <w:bCs w:val="0"/>
                <w:color w:val="000000" w:themeColor="text1"/>
                <w:sz w:val="28"/>
                <w:szCs w:val="28"/>
              </w:rPr>
            </w:pPr>
            <w:r w:rsidRPr="009531F2">
              <w:rPr>
                <w:b w:val="0"/>
                <w:bCs w:val="0"/>
                <w:color w:val="000000" w:themeColor="text1"/>
                <w:sz w:val="28"/>
                <w:szCs w:val="28"/>
              </w:rPr>
              <w:t>Net monetary gain or loss realized from the sale.</w:t>
            </w:r>
          </w:p>
        </w:tc>
      </w:tr>
    </w:tbl>
    <w:p w14:paraId="3D62A3BD" w14:textId="77777777" w:rsidR="00F335A8" w:rsidRDefault="00000000">
      <w:pPr>
        <w:pStyle w:val="Heading1"/>
        <w:jc w:val="center"/>
      </w:pPr>
      <w:r>
        <w:lastRenderedPageBreak/>
        <w:t>Data Cleaning &amp; Transformation</w:t>
      </w:r>
    </w:p>
    <w:p w14:paraId="578FC0A7" w14:textId="77777777" w:rsidR="000B0013" w:rsidRDefault="000B0013">
      <w:pPr>
        <w:pStyle w:val="Heading1"/>
        <w:jc w:val="center"/>
      </w:pPr>
    </w:p>
    <w:p w14:paraId="11DE1D37" w14:textId="3208DACA" w:rsidR="00561636" w:rsidRDefault="00561636" w:rsidP="00561636">
      <w:pPr>
        <w:pStyle w:val="Heading1"/>
        <w:rPr>
          <w:b w:val="0"/>
          <w:bCs w:val="0"/>
          <w:color w:val="000000" w:themeColor="text1"/>
          <w:sz w:val="28"/>
          <w:szCs w:val="28"/>
        </w:rPr>
      </w:pPr>
      <w:r w:rsidRPr="00561636">
        <w:rPr>
          <w:b w:val="0"/>
          <w:bCs w:val="0"/>
          <w:color w:val="000000" w:themeColor="text1"/>
          <w:sz w:val="28"/>
          <w:szCs w:val="28"/>
        </w:rPr>
        <w:t>In this phase, the dataset was prepared for analysis by converting raw date text fields into structured datetime formats, enabling precise time-based tracking. Using these dates,</w:t>
      </w:r>
      <w:r>
        <w:rPr>
          <w:b w:val="0"/>
          <w:bCs w:val="0"/>
          <w:color w:val="000000" w:themeColor="text1"/>
          <w:sz w:val="28"/>
          <w:szCs w:val="28"/>
        </w:rPr>
        <w:t xml:space="preserve"> we added a custom column as shipping date delay that calculate the difference between the shipping date and the order date</w:t>
      </w:r>
      <w:r w:rsidRPr="00561636">
        <w:rPr>
          <w:b w:val="0"/>
          <w:bCs w:val="0"/>
          <w:color w:val="000000" w:themeColor="text1"/>
          <w:sz w:val="28"/>
          <w:szCs w:val="28"/>
        </w:rPr>
        <w:t xml:space="preserve"> to capture operational performance. </w:t>
      </w:r>
    </w:p>
    <w:p w14:paraId="5BD3CC89" w14:textId="5445B92F" w:rsidR="00561636" w:rsidRPr="00561636" w:rsidRDefault="00561636" w:rsidP="00561636">
      <w:pPr>
        <w:pStyle w:val="Heading1"/>
        <w:rPr>
          <w:b w:val="0"/>
          <w:bCs w:val="0"/>
          <w:color w:val="000000" w:themeColor="text1"/>
          <w:sz w:val="28"/>
          <w:szCs w:val="28"/>
        </w:rPr>
      </w:pPr>
      <w:r w:rsidRPr="00561636">
        <w:rPr>
          <w:b w:val="0"/>
          <w:bCs w:val="0"/>
          <w:color w:val="000000" w:themeColor="text1"/>
          <w:sz w:val="28"/>
          <w:szCs w:val="28"/>
        </w:rPr>
        <w:t>Additionally, descriptive statistics were generated to inspect numerical metrics like sales and profit, custom rules were applied to categorize discount tiers and flag orders as profitable or loss-making, and a mathematical profit margin percentage was calculated using safe division logic to ensure accurate financial reporting.</w:t>
      </w:r>
    </w:p>
    <w:p w14:paraId="0C306381" w14:textId="77777777" w:rsidR="00F335A8" w:rsidRDefault="00000000">
      <w:r>
        <w:br w:type="page" w:clear="all"/>
      </w:r>
    </w:p>
    <w:p w14:paraId="3765F72C" w14:textId="77777777" w:rsidR="00F335A8" w:rsidRDefault="00000000">
      <w:pPr>
        <w:pStyle w:val="Heading1"/>
        <w:jc w:val="center"/>
      </w:pPr>
      <w:r>
        <w:lastRenderedPageBreak/>
        <w:t>Business Questions &amp; Analysis</w:t>
      </w:r>
    </w:p>
    <w:p w14:paraId="221FD933" w14:textId="77777777" w:rsidR="0037464B" w:rsidRDefault="0037464B" w:rsidP="0037464B">
      <w:pPr>
        <w:pStyle w:val="Heading1"/>
        <w:numPr>
          <w:ilvl w:val="0"/>
          <w:numId w:val="3"/>
        </w:numPr>
        <w:jc w:val="both"/>
        <w:rPr>
          <w:b w:val="0"/>
          <w:bCs w:val="0"/>
          <w:color w:val="000000" w:themeColor="text1"/>
          <w:sz w:val="28"/>
          <w:szCs w:val="28"/>
        </w:rPr>
      </w:pPr>
      <w:r w:rsidRPr="0037464B">
        <w:rPr>
          <w:b w:val="0"/>
          <w:bCs w:val="0"/>
          <w:color w:val="000000" w:themeColor="text1"/>
          <w:sz w:val="28"/>
          <w:szCs w:val="28"/>
        </w:rPr>
        <w:t>​How do sales and profit vary across different product sub-categories?</w:t>
      </w:r>
    </w:p>
    <w:p w14:paraId="5DF193AD" w14:textId="13042C30" w:rsidR="00F335A8" w:rsidRDefault="0037464B" w:rsidP="0037464B">
      <w:pPr>
        <w:pStyle w:val="Heading1"/>
        <w:rPr>
          <w:b w:val="0"/>
          <w:bCs w:val="0"/>
          <w:color w:val="000000" w:themeColor="text1"/>
          <w:sz w:val="28"/>
          <w:szCs w:val="28"/>
        </w:rPr>
      </w:pPr>
      <w:r w:rsidRPr="0037464B">
        <w:rPr>
          <w:b w:val="0"/>
          <w:bCs w:val="0"/>
          <w:color w:val="000000" w:themeColor="text1"/>
          <w:sz w:val="28"/>
          <w:szCs w:val="28"/>
        </w:rPr>
        <w:t>Why it matters: Higher sales volume doesn't always guarantee high profits. Identifying which specific sub-categories drive gross revenue versus those that generate net losses highlights where to adjust pricing, reduce cost structures, or cut loss-making inventory.</w:t>
      </w:r>
    </w:p>
    <w:p w14:paraId="2ED1F7ED" w14:textId="77777777" w:rsidR="0037464B" w:rsidRPr="0037464B" w:rsidRDefault="0037464B" w:rsidP="0037464B">
      <w:pPr>
        <w:pStyle w:val="Heading1"/>
        <w:numPr>
          <w:ilvl w:val="0"/>
          <w:numId w:val="3"/>
        </w:numPr>
        <w:rPr>
          <w:b w:val="0"/>
          <w:bCs w:val="0"/>
          <w:color w:val="000000" w:themeColor="text1"/>
          <w:sz w:val="28"/>
          <w:szCs w:val="28"/>
        </w:rPr>
      </w:pPr>
      <w:r w:rsidRPr="0037464B">
        <w:rPr>
          <w:b w:val="0"/>
          <w:bCs w:val="0"/>
          <w:color w:val="000000" w:themeColor="text1"/>
          <w:sz w:val="28"/>
          <w:szCs w:val="28"/>
        </w:rPr>
        <w:t>​How does profit vary across different shipment modes?</w:t>
      </w:r>
    </w:p>
    <w:p w14:paraId="2C2A4BDD" w14:textId="5707604A" w:rsidR="0037464B" w:rsidRDefault="0037464B" w:rsidP="0037464B">
      <w:pPr>
        <w:pStyle w:val="Heading1"/>
        <w:rPr>
          <w:b w:val="0"/>
          <w:bCs w:val="0"/>
          <w:color w:val="000000" w:themeColor="text1"/>
          <w:sz w:val="28"/>
          <w:szCs w:val="28"/>
        </w:rPr>
      </w:pPr>
      <w:r w:rsidRPr="0037464B">
        <w:rPr>
          <w:b w:val="0"/>
          <w:bCs w:val="0"/>
          <w:color w:val="000000" w:themeColor="text1"/>
          <w:sz w:val="28"/>
          <w:szCs w:val="28"/>
        </w:rPr>
        <w:t>Why it matters: Premium shipping options like Same Day or First Class keep customers satisfied, but they carry significantly higher operational costs. This analysis shows whether expensive shipping methods are consuming the profit margins on those orders.</w:t>
      </w:r>
    </w:p>
    <w:p w14:paraId="3516044E" w14:textId="77777777" w:rsidR="0037464B" w:rsidRPr="0037464B" w:rsidRDefault="0037464B" w:rsidP="0037464B">
      <w:pPr>
        <w:pStyle w:val="Heading1"/>
        <w:numPr>
          <w:ilvl w:val="0"/>
          <w:numId w:val="3"/>
        </w:numPr>
        <w:rPr>
          <w:b w:val="0"/>
          <w:bCs w:val="0"/>
          <w:color w:val="000000" w:themeColor="text1"/>
          <w:sz w:val="28"/>
          <w:szCs w:val="28"/>
        </w:rPr>
      </w:pPr>
      <w:r w:rsidRPr="0037464B">
        <w:rPr>
          <w:b w:val="0"/>
          <w:bCs w:val="0"/>
          <w:color w:val="000000" w:themeColor="text1"/>
          <w:sz w:val="28"/>
          <w:szCs w:val="28"/>
        </w:rPr>
        <w:t>​Which top 5 specific products generate the most overall revenue?</w:t>
      </w:r>
    </w:p>
    <w:p w14:paraId="6B9487CB" w14:textId="539DFBB7" w:rsidR="0037464B" w:rsidRDefault="0037464B" w:rsidP="0037464B">
      <w:pPr>
        <w:pStyle w:val="Heading1"/>
        <w:rPr>
          <w:b w:val="0"/>
          <w:bCs w:val="0"/>
          <w:color w:val="000000" w:themeColor="text1"/>
          <w:sz w:val="28"/>
          <w:szCs w:val="28"/>
        </w:rPr>
      </w:pPr>
      <w:r w:rsidRPr="0037464B">
        <w:rPr>
          <w:b w:val="0"/>
          <w:bCs w:val="0"/>
          <w:color w:val="000000" w:themeColor="text1"/>
          <w:sz w:val="28"/>
          <w:szCs w:val="28"/>
        </w:rPr>
        <w:t>Why it matters: Highlights the core products that drive overall revenue so inventory, supply chain management, and vendor relationships can be prioritized to prevent stockouts.</w:t>
      </w:r>
    </w:p>
    <w:p w14:paraId="19BF9398" w14:textId="77777777" w:rsidR="0037464B" w:rsidRPr="0037464B" w:rsidRDefault="0037464B" w:rsidP="0037464B">
      <w:pPr>
        <w:pStyle w:val="Heading1"/>
        <w:numPr>
          <w:ilvl w:val="0"/>
          <w:numId w:val="3"/>
        </w:numPr>
        <w:rPr>
          <w:b w:val="0"/>
          <w:bCs w:val="0"/>
          <w:color w:val="000000" w:themeColor="text1"/>
          <w:sz w:val="28"/>
          <w:szCs w:val="28"/>
        </w:rPr>
      </w:pPr>
      <w:r w:rsidRPr="0037464B">
        <w:rPr>
          <w:b w:val="0"/>
          <w:bCs w:val="0"/>
          <w:color w:val="000000" w:themeColor="text1"/>
          <w:sz w:val="28"/>
          <w:szCs w:val="28"/>
        </w:rPr>
        <w:t>​​Which months or quarters of the year consistently bring in the highest sales spike?</w:t>
      </w:r>
    </w:p>
    <w:p w14:paraId="007D87B7" w14:textId="12A49279" w:rsidR="0037464B" w:rsidRPr="0037464B" w:rsidRDefault="0037464B" w:rsidP="0037464B">
      <w:pPr>
        <w:pStyle w:val="Heading1"/>
        <w:rPr>
          <w:b w:val="0"/>
          <w:bCs w:val="0"/>
          <w:color w:val="000000" w:themeColor="text1"/>
          <w:sz w:val="28"/>
          <w:szCs w:val="28"/>
        </w:rPr>
      </w:pPr>
      <w:r w:rsidRPr="0037464B">
        <w:rPr>
          <w:b w:val="0"/>
          <w:bCs w:val="0"/>
          <w:color w:val="000000" w:themeColor="text1"/>
          <w:sz w:val="28"/>
          <w:szCs w:val="28"/>
        </w:rPr>
        <w:t>Why it matters: Understanding seasonal demand trends enables better inventory planning, optimized staffing, and properly timed marketing campaigns ahead of peak buying windows.</w:t>
      </w:r>
    </w:p>
    <w:p w14:paraId="7C5A84B2" w14:textId="77777777" w:rsidR="0037464B" w:rsidRPr="0037464B" w:rsidRDefault="0037464B" w:rsidP="0037464B">
      <w:pPr>
        <w:pStyle w:val="Heading1"/>
        <w:numPr>
          <w:ilvl w:val="0"/>
          <w:numId w:val="3"/>
        </w:numPr>
        <w:rPr>
          <w:b w:val="0"/>
          <w:bCs w:val="0"/>
          <w:color w:val="000000" w:themeColor="text1"/>
          <w:sz w:val="28"/>
          <w:szCs w:val="28"/>
        </w:rPr>
      </w:pPr>
      <w:r w:rsidRPr="0037464B">
        <w:rPr>
          <w:b w:val="0"/>
          <w:bCs w:val="0"/>
          <w:color w:val="000000" w:themeColor="text1"/>
          <w:sz w:val="28"/>
          <w:szCs w:val="28"/>
        </w:rPr>
        <w:t>​Which regions or states are making the least profit?</w:t>
      </w:r>
    </w:p>
    <w:p w14:paraId="17BB2B71" w14:textId="6A82A14D" w:rsidR="00F335A8" w:rsidRDefault="0037464B" w:rsidP="0037464B">
      <w:pPr>
        <w:pStyle w:val="Heading1"/>
        <w:rPr>
          <w:b w:val="0"/>
          <w:bCs w:val="0"/>
          <w:color w:val="000000" w:themeColor="text1"/>
          <w:sz w:val="28"/>
          <w:szCs w:val="28"/>
        </w:rPr>
      </w:pPr>
      <w:r w:rsidRPr="0037464B">
        <w:rPr>
          <w:b w:val="0"/>
          <w:bCs w:val="0"/>
          <w:color w:val="000000" w:themeColor="text1"/>
          <w:sz w:val="28"/>
          <w:szCs w:val="28"/>
        </w:rPr>
        <w:t>Why it matters: Pinpoints geographically underperforming locations and loss leaders, allowing management to evaluate regional pricing, localized discounting practices, and shipping logistics.</w:t>
      </w:r>
    </w:p>
    <w:p w14:paraId="4DCE7F5B" w14:textId="77777777" w:rsidR="0037464B" w:rsidRPr="0037464B" w:rsidRDefault="0037464B" w:rsidP="0037464B">
      <w:pPr>
        <w:pStyle w:val="Heading1"/>
        <w:numPr>
          <w:ilvl w:val="0"/>
          <w:numId w:val="3"/>
        </w:numPr>
        <w:rPr>
          <w:b w:val="0"/>
          <w:bCs w:val="0"/>
          <w:color w:val="000000" w:themeColor="text1"/>
          <w:sz w:val="28"/>
          <w:szCs w:val="28"/>
        </w:rPr>
      </w:pPr>
      <w:r w:rsidRPr="0037464B">
        <w:rPr>
          <w:b w:val="0"/>
          <w:bCs w:val="0"/>
          <w:color w:val="000000" w:themeColor="text1"/>
          <w:sz w:val="28"/>
          <w:szCs w:val="28"/>
        </w:rPr>
        <w:t>​Which customer group spends the most per order?</w:t>
      </w:r>
    </w:p>
    <w:p w14:paraId="597967B4" w14:textId="2D3B4A3F" w:rsidR="0037464B" w:rsidRDefault="0037464B" w:rsidP="0037464B">
      <w:pPr>
        <w:pStyle w:val="Heading1"/>
        <w:rPr>
          <w:b w:val="0"/>
          <w:bCs w:val="0"/>
          <w:color w:val="000000" w:themeColor="text1"/>
          <w:sz w:val="28"/>
          <w:szCs w:val="28"/>
        </w:rPr>
      </w:pPr>
      <w:r w:rsidRPr="0037464B">
        <w:rPr>
          <w:b w:val="0"/>
          <w:bCs w:val="0"/>
          <w:color w:val="000000" w:themeColor="text1"/>
          <w:sz w:val="28"/>
          <w:szCs w:val="28"/>
        </w:rPr>
        <w:t>Why it matters: Knowing which customer segment (Consumer, Corporate, or Home Office) yields the highest Average Order Value (AOV) helps focus sales efforts and marketing spend on the most lucrative buyer profiles.</w:t>
      </w:r>
    </w:p>
    <w:p w14:paraId="3D928E17" w14:textId="77777777" w:rsidR="0037464B" w:rsidRDefault="0037464B" w:rsidP="0037464B">
      <w:pPr>
        <w:pStyle w:val="Heading1"/>
        <w:rPr>
          <w:b w:val="0"/>
          <w:bCs w:val="0"/>
          <w:color w:val="000000" w:themeColor="text1"/>
          <w:sz w:val="28"/>
          <w:szCs w:val="28"/>
        </w:rPr>
      </w:pPr>
    </w:p>
    <w:p w14:paraId="027E4E7E" w14:textId="2CBD4DEF" w:rsidR="00F335A8" w:rsidRPr="0037464B" w:rsidRDefault="00000000" w:rsidP="0037464B">
      <w:pPr>
        <w:pStyle w:val="Heading1"/>
        <w:numPr>
          <w:ilvl w:val="0"/>
          <w:numId w:val="3"/>
        </w:numPr>
        <w:rPr>
          <w:b w:val="0"/>
          <w:bCs w:val="0"/>
          <w:color w:val="000000" w:themeColor="text1"/>
          <w:sz w:val="28"/>
          <w:szCs w:val="28"/>
        </w:rPr>
      </w:pPr>
      <w:r w:rsidRPr="0037464B">
        <w:rPr>
          <w:b w:val="0"/>
          <w:bCs w:val="0"/>
          <w:color w:val="000000" w:themeColor="text1"/>
          <w:sz w:val="28"/>
          <w:szCs w:val="28"/>
        </w:rPr>
        <w:lastRenderedPageBreak/>
        <w:t>Do bigger discounts actually bring in more sales volume?</w:t>
      </w:r>
    </w:p>
    <w:p w14:paraId="4295F357" w14:textId="77777777" w:rsidR="00F335A8" w:rsidRDefault="00000000">
      <w:pPr>
        <w:pStyle w:val="Heading1"/>
        <w:rPr>
          <w:b w:val="0"/>
          <w:bCs w:val="0"/>
          <w:color w:val="000000" w:themeColor="text1"/>
          <w:sz w:val="28"/>
          <w:szCs w:val="28"/>
        </w:rPr>
      </w:pPr>
      <w:r>
        <w:rPr>
          <w:b w:val="0"/>
          <w:bCs w:val="0"/>
          <w:color w:val="000000" w:themeColor="text1"/>
          <w:sz w:val="28"/>
          <w:szCs w:val="28"/>
        </w:rPr>
        <w:t>Why it matters: Proves whether cutting prices actually forces customers to buy more items, or if we're just giving away money for free.</w:t>
      </w:r>
    </w:p>
    <w:p w14:paraId="008C76C1" w14:textId="77777777" w:rsidR="0037464B" w:rsidRPr="0037464B" w:rsidRDefault="0037464B" w:rsidP="0037464B">
      <w:pPr>
        <w:pStyle w:val="Heading1"/>
        <w:numPr>
          <w:ilvl w:val="0"/>
          <w:numId w:val="3"/>
        </w:numPr>
        <w:rPr>
          <w:b w:val="0"/>
          <w:bCs w:val="0"/>
          <w:color w:val="000000" w:themeColor="text1"/>
          <w:sz w:val="28"/>
          <w:szCs w:val="28"/>
        </w:rPr>
      </w:pPr>
      <w:r w:rsidRPr="0037464B">
        <w:rPr>
          <w:b w:val="0"/>
          <w:bCs w:val="0"/>
          <w:color w:val="000000" w:themeColor="text1"/>
          <w:sz w:val="28"/>
          <w:szCs w:val="28"/>
        </w:rPr>
        <w:t>​Which categories and subcategories generate the most sales and profit?</w:t>
      </w:r>
    </w:p>
    <w:p w14:paraId="44F95C7F" w14:textId="0DEB41AD" w:rsidR="0037464B" w:rsidRDefault="0037464B" w:rsidP="0037464B">
      <w:pPr>
        <w:pStyle w:val="Heading1"/>
        <w:rPr>
          <w:b w:val="0"/>
          <w:bCs w:val="0"/>
          <w:color w:val="000000" w:themeColor="text1"/>
          <w:sz w:val="28"/>
          <w:szCs w:val="28"/>
        </w:rPr>
      </w:pPr>
      <w:r w:rsidRPr="0037464B">
        <w:rPr>
          <w:b w:val="0"/>
          <w:bCs w:val="0"/>
          <w:color w:val="000000" w:themeColor="text1"/>
          <w:sz w:val="28"/>
          <w:szCs w:val="28"/>
        </w:rPr>
        <w:t>Why it matters: Provides a complete overview of product performance to guide inventory allocation and promote high-margin product groups.</w:t>
      </w:r>
    </w:p>
    <w:p w14:paraId="0DA539F6" w14:textId="1731B385" w:rsidR="00F335A8" w:rsidRDefault="0037464B">
      <w:pPr>
        <w:pStyle w:val="Heading1"/>
        <w:rPr>
          <w:b w:val="0"/>
          <w:bCs w:val="0"/>
          <w:color w:val="000000" w:themeColor="text1"/>
          <w:sz w:val="28"/>
          <w:szCs w:val="28"/>
        </w:rPr>
      </w:pPr>
      <w:r>
        <w:rPr>
          <w:b w:val="0"/>
          <w:bCs w:val="0"/>
          <w:color w:val="000000" w:themeColor="text1"/>
          <w:sz w:val="28"/>
          <w:szCs w:val="28"/>
        </w:rPr>
        <w:t xml:space="preserve">     9. How do sales and profit change over time?</w:t>
      </w:r>
    </w:p>
    <w:p w14:paraId="16AD4552" w14:textId="77777777" w:rsidR="00F335A8" w:rsidRDefault="00000000">
      <w:pPr>
        <w:pStyle w:val="Heading1"/>
        <w:rPr>
          <w:b w:val="0"/>
          <w:bCs w:val="0"/>
          <w:color w:val="000000" w:themeColor="text1"/>
          <w:sz w:val="28"/>
          <w:szCs w:val="28"/>
        </w:rPr>
      </w:pPr>
      <w:r>
        <w:rPr>
          <w:b w:val="0"/>
          <w:bCs w:val="0"/>
          <w:color w:val="000000" w:themeColor="text1"/>
          <w:sz w:val="28"/>
          <w:szCs w:val="28"/>
        </w:rPr>
        <w:t>Why it matters: It tracks whether our total sales dollars and profits are going up or down year over year.</w:t>
      </w:r>
    </w:p>
    <w:p w14:paraId="1049220D" w14:textId="77B1D1E6" w:rsidR="00F335A8" w:rsidRDefault="0037464B">
      <w:pPr>
        <w:pStyle w:val="Heading1"/>
        <w:rPr>
          <w:b w:val="0"/>
          <w:bCs w:val="0"/>
          <w:color w:val="000000" w:themeColor="text1"/>
          <w:sz w:val="28"/>
          <w:szCs w:val="28"/>
        </w:rPr>
      </w:pPr>
      <w:r>
        <w:rPr>
          <w:b w:val="0"/>
          <w:bCs w:val="0"/>
          <w:color w:val="000000" w:themeColor="text1"/>
          <w:sz w:val="28"/>
          <w:szCs w:val="28"/>
        </w:rPr>
        <w:t xml:space="preserve">     10. Which categories and sub-categories generate the most sales and profit?</w:t>
      </w:r>
    </w:p>
    <w:p w14:paraId="60ABF63B" w14:textId="77777777" w:rsidR="00F335A8" w:rsidRDefault="00000000">
      <w:pPr>
        <w:pStyle w:val="Heading1"/>
        <w:rPr>
          <w:b w:val="0"/>
          <w:bCs w:val="0"/>
          <w:color w:val="000000" w:themeColor="text1"/>
          <w:sz w:val="28"/>
          <w:szCs w:val="28"/>
        </w:rPr>
      </w:pPr>
      <w:r>
        <w:rPr>
          <w:b w:val="0"/>
          <w:bCs w:val="0"/>
          <w:color w:val="000000" w:themeColor="text1"/>
          <w:sz w:val="28"/>
          <w:szCs w:val="28"/>
        </w:rPr>
        <w:t xml:space="preserve"> Why it matters: Shows which overall product groups (like Technology, Furniture, or Office Supplies) bring in the most money so we know what to keep stocking.</w:t>
      </w:r>
    </w:p>
    <w:p w14:paraId="40122766" w14:textId="139DCE95" w:rsidR="00F335A8" w:rsidRDefault="0037464B">
      <w:pPr>
        <w:pStyle w:val="Heading1"/>
        <w:rPr>
          <w:b w:val="0"/>
          <w:bCs w:val="0"/>
          <w:color w:val="000000" w:themeColor="text1"/>
          <w:sz w:val="28"/>
          <w:szCs w:val="28"/>
        </w:rPr>
      </w:pPr>
      <w:r>
        <w:rPr>
          <w:b w:val="0"/>
          <w:bCs w:val="0"/>
          <w:color w:val="000000" w:themeColor="text1"/>
          <w:sz w:val="28"/>
          <w:szCs w:val="28"/>
        </w:rPr>
        <w:t xml:space="preserve">    11. How does discount level relate to profit?</w:t>
      </w:r>
    </w:p>
    <w:p w14:paraId="137E5876" w14:textId="77777777" w:rsidR="00F335A8" w:rsidRDefault="00000000">
      <w:pPr>
        <w:pStyle w:val="Heading1"/>
        <w:rPr>
          <w:b w:val="0"/>
          <w:bCs w:val="0"/>
          <w:color w:val="000000" w:themeColor="text1"/>
          <w:sz w:val="28"/>
          <w:szCs w:val="28"/>
        </w:rPr>
      </w:pPr>
      <w:r>
        <w:rPr>
          <w:b w:val="0"/>
          <w:bCs w:val="0"/>
          <w:color w:val="000000" w:themeColor="text1"/>
          <w:sz w:val="28"/>
          <w:szCs w:val="28"/>
        </w:rPr>
        <w:t>Why it matters: Proves if offering bigger discount bands cuts directly into our bottom line and lowers our take-home cash.</w:t>
      </w:r>
    </w:p>
    <w:p w14:paraId="18A71D1E" w14:textId="75A000DC" w:rsidR="00BD5BAB" w:rsidRDefault="00BD5BAB">
      <w:pPr>
        <w:pStyle w:val="Heading1"/>
        <w:rPr>
          <w:color w:val="365F91" w:themeColor="accent1" w:themeShade="BF"/>
          <w:sz w:val="36"/>
          <w:szCs w:val="36"/>
        </w:rPr>
      </w:pPr>
      <w:r>
        <w:rPr>
          <w:color w:val="365F91" w:themeColor="accent1" w:themeShade="BF"/>
          <w:sz w:val="36"/>
          <w:szCs w:val="36"/>
        </w:rPr>
        <w:t xml:space="preserve">KPIs </w:t>
      </w:r>
    </w:p>
    <w:p w14:paraId="45ADF28C" w14:textId="6802DFEB" w:rsidR="00BD5BAB" w:rsidRDefault="00BD5BAB" w:rsidP="00BD5BAB">
      <w:pPr>
        <w:pStyle w:val="Heading1"/>
        <w:numPr>
          <w:ilvl w:val="0"/>
          <w:numId w:val="2"/>
        </w:numPr>
        <w:rPr>
          <w:b w:val="0"/>
          <w:bCs w:val="0"/>
          <w:color w:val="000000" w:themeColor="text1"/>
          <w:sz w:val="28"/>
          <w:szCs w:val="28"/>
        </w:rPr>
      </w:pPr>
      <w:r>
        <w:rPr>
          <w:b w:val="0"/>
          <w:bCs w:val="0"/>
          <w:color w:val="000000" w:themeColor="text1"/>
          <w:sz w:val="28"/>
          <w:szCs w:val="28"/>
        </w:rPr>
        <w:t xml:space="preserve">What </w:t>
      </w:r>
      <w:r w:rsidR="00AE56AB">
        <w:rPr>
          <w:b w:val="0"/>
          <w:bCs w:val="0"/>
          <w:color w:val="000000" w:themeColor="text1"/>
          <w:sz w:val="28"/>
          <w:szCs w:val="28"/>
        </w:rPr>
        <w:t>are</w:t>
      </w:r>
      <w:r>
        <w:rPr>
          <w:b w:val="0"/>
          <w:bCs w:val="0"/>
          <w:color w:val="000000" w:themeColor="text1"/>
          <w:sz w:val="28"/>
          <w:szCs w:val="28"/>
        </w:rPr>
        <w:t xml:space="preserve"> the total sales generated by the business?</w:t>
      </w:r>
    </w:p>
    <w:p w14:paraId="502A6B08" w14:textId="61CFEF2D" w:rsidR="00BD5BAB" w:rsidRDefault="00BD5BAB" w:rsidP="00BD5BAB">
      <w:pPr>
        <w:pStyle w:val="Heading1"/>
        <w:numPr>
          <w:ilvl w:val="0"/>
          <w:numId w:val="2"/>
        </w:numPr>
        <w:rPr>
          <w:b w:val="0"/>
          <w:bCs w:val="0"/>
          <w:color w:val="000000" w:themeColor="text1"/>
          <w:sz w:val="28"/>
          <w:szCs w:val="28"/>
        </w:rPr>
      </w:pPr>
      <w:r>
        <w:rPr>
          <w:b w:val="0"/>
          <w:bCs w:val="0"/>
          <w:color w:val="000000" w:themeColor="text1"/>
          <w:sz w:val="28"/>
          <w:szCs w:val="28"/>
        </w:rPr>
        <w:t>How many customers were placed by customers?</w:t>
      </w:r>
    </w:p>
    <w:p w14:paraId="7FA2269E" w14:textId="2CD81E89" w:rsidR="00BD5BAB" w:rsidRDefault="00BD5BAB" w:rsidP="00BD5BAB">
      <w:pPr>
        <w:pStyle w:val="Heading1"/>
        <w:numPr>
          <w:ilvl w:val="0"/>
          <w:numId w:val="2"/>
        </w:numPr>
        <w:rPr>
          <w:b w:val="0"/>
          <w:bCs w:val="0"/>
          <w:color w:val="000000" w:themeColor="text1"/>
          <w:sz w:val="28"/>
          <w:szCs w:val="28"/>
        </w:rPr>
      </w:pPr>
      <w:r>
        <w:rPr>
          <w:b w:val="0"/>
          <w:bCs w:val="0"/>
          <w:color w:val="000000" w:themeColor="text1"/>
          <w:sz w:val="28"/>
          <w:szCs w:val="28"/>
        </w:rPr>
        <w:t>What is the overall profit margin of the business?</w:t>
      </w:r>
    </w:p>
    <w:p w14:paraId="0E4C96B2" w14:textId="1AA87380" w:rsidR="00BD5BAB" w:rsidRPr="00BD5BAB" w:rsidRDefault="00BD5BAB" w:rsidP="00BD5BAB">
      <w:pPr>
        <w:pStyle w:val="Heading1"/>
        <w:numPr>
          <w:ilvl w:val="0"/>
          <w:numId w:val="2"/>
        </w:numPr>
        <w:rPr>
          <w:b w:val="0"/>
          <w:bCs w:val="0"/>
          <w:color w:val="000000" w:themeColor="text1"/>
          <w:sz w:val="28"/>
          <w:szCs w:val="28"/>
        </w:rPr>
      </w:pPr>
      <w:r>
        <w:rPr>
          <w:b w:val="0"/>
          <w:bCs w:val="0"/>
          <w:color w:val="000000" w:themeColor="text1"/>
          <w:sz w:val="28"/>
          <w:szCs w:val="28"/>
        </w:rPr>
        <w:t>How many products were sold in total (Quantity)?</w:t>
      </w:r>
    </w:p>
    <w:p w14:paraId="2546D5D1" w14:textId="77777777" w:rsidR="00F335A8" w:rsidRDefault="00F335A8">
      <w:pPr>
        <w:pStyle w:val="Heading1"/>
        <w:rPr>
          <w:b w:val="0"/>
          <w:bCs w:val="0"/>
          <w:color w:val="000000" w:themeColor="text1"/>
          <w:sz w:val="28"/>
          <w:szCs w:val="28"/>
        </w:rPr>
      </w:pPr>
    </w:p>
    <w:p w14:paraId="2985686D" w14:textId="6E7381D9" w:rsidR="00F335A8" w:rsidRDefault="00F335A8" w:rsidP="00BD5BAB">
      <w:pPr>
        <w:jc w:val="both"/>
      </w:pPr>
    </w:p>
    <w:p w14:paraId="7909732F" w14:textId="77777777" w:rsidR="00BD5BAB" w:rsidRDefault="00BD5BAB" w:rsidP="00BD5BAB">
      <w:pPr>
        <w:jc w:val="both"/>
      </w:pPr>
    </w:p>
    <w:p w14:paraId="3AACDB9B" w14:textId="77777777" w:rsidR="00BD5BAB" w:rsidRDefault="00BD5BAB" w:rsidP="00BD5BAB">
      <w:pPr>
        <w:jc w:val="both"/>
      </w:pPr>
    </w:p>
    <w:p w14:paraId="7E03EB98" w14:textId="475F7CD2" w:rsidR="00F335A8" w:rsidRDefault="00000000" w:rsidP="00A46E99">
      <w:pPr>
        <w:pStyle w:val="Heading1"/>
        <w:jc w:val="center"/>
      </w:pPr>
      <w:r>
        <w:lastRenderedPageBreak/>
        <w:t>Dashboard</w:t>
      </w:r>
    </w:p>
    <w:p w14:paraId="73BB0AF5" w14:textId="7C4CAB5D" w:rsidR="000B0013" w:rsidRDefault="000B0013" w:rsidP="00A46E99">
      <w:pPr>
        <w:pStyle w:val="Heading1"/>
        <w:jc w:val="center"/>
      </w:pPr>
    </w:p>
    <w:p w14:paraId="6A2035C6" w14:textId="619F60D3" w:rsidR="000B0013" w:rsidRPr="000B0013" w:rsidRDefault="000B0013" w:rsidP="000B0013">
      <w:pPr>
        <w:pStyle w:val="Heading1"/>
        <w:rPr>
          <w:b w:val="0"/>
          <w:bCs w:val="0"/>
          <w:color w:val="000000" w:themeColor="text1"/>
          <w:sz w:val="28"/>
          <w:szCs w:val="28"/>
        </w:rPr>
      </w:pPr>
      <w:r w:rsidRPr="000B0013">
        <w:rPr>
          <w:b w:val="0"/>
          <w:bCs w:val="0"/>
          <w:color w:val="000000" w:themeColor="text1"/>
          <w:sz w:val="28"/>
          <w:szCs w:val="28"/>
        </w:rPr>
        <w:t>An interactive Power BI dashboard was created using the cleaned Superstore dataset to analyze sales performance and operational efficiency. The dashboard communicates key business insights through visual KPIs, detailed charts, and dynamic cross-filtering.</w:t>
      </w:r>
    </w:p>
    <w:p w14:paraId="70BBDF1E" w14:textId="08EEE1FF" w:rsidR="000B0013" w:rsidRPr="000B0013" w:rsidRDefault="000B0013" w:rsidP="000B0013">
      <w:pPr>
        <w:pStyle w:val="Heading1"/>
        <w:rPr>
          <w:b w:val="0"/>
          <w:bCs w:val="0"/>
          <w:color w:val="000000" w:themeColor="text1"/>
          <w:sz w:val="28"/>
          <w:szCs w:val="28"/>
        </w:rPr>
      </w:pPr>
      <w:r w:rsidRPr="000B0013">
        <w:rPr>
          <w:b w:val="0"/>
          <w:bCs w:val="0"/>
          <w:color w:val="000000" w:themeColor="text1"/>
          <w:sz w:val="28"/>
          <w:szCs w:val="28"/>
        </w:rPr>
        <w:t>The dashboard highlights key metrics including Total Sales ($2.297M), Total Order Count (9.994K), Profit Margin percentage (12.47%), and Total Quantity sold (38K). It breaks down overall performance across product sub-categories, shipment modes, customer segments (Corporate, Consumer, and Home Office), and top revenue-generating products.</w:t>
      </w:r>
    </w:p>
    <w:p w14:paraId="39B49665" w14:textId="61711F89" w:rsidR="000B0013" w:rsidRPr="000B0013" w:rsidRDefault="000B0013" w:rsidP="000B0013">
      <w:pPr>
        <w:pStyle w:val="Heading1"/>
        <w:rPr>
          <w:b w:val="0"/>
          <w:bCs w:val="0"/>
          <w:color w:val="000000" w:themeColor="text1"/>
          <w:sz w:val="28"/>
          <w:szCs w:val="28"/>
        </w:rPr>
      </w:pPr>
      <w:r w:rsidRPr="000B0013">
        <w:rPr>
          <w:b w:val="0"/>
          <w:bCs w:val="0"/>
          <w:color w:val="000000" w:themeColor="text1"/>
          <w:sz w:val="28"/>
          <w:szCs w:val="28"/>
        </w:rPr>
        <w:t>Interactive slicers for Year, Segment, and Sub-Category allow users to dynamically filter performance, drill down into specific sub-markets, and gain a clearer understanding of profitability drivers and customer ordering habits.</w:t>
      </w:r>
    </w:p>
    <w:p w14:paraId="777229CA" w14:textId="2456F6B6" w:rsidR="00F335A8" w:rsidRDefault="000B0013">
      <w:r>
        <w:rPr>
          <w:noProof/>
        </w:rPr>
        <w:drawing>
          <wp:anchor distT="0" distB="0" distL="114300" distR="114300" simplePos="0" relativeHeight="251658240" behindDoc="0" locked="0" layoutInCell="1" allowOverlap="1" wp14:anchorId="28E3AC73" wp14:editId="79A6A2CE">
            <wp:simplePos x="0" y="0"/>
            <wp:positionH relativeFrom="margin">
              <wp:posOffset>-59690</wp:posOffset>
            </wp:positionH>
            <wp:positionV relativeFrom="paragraph">
              <wp:posOffset>537210</wp:posOffset>
            </wp:positionV>
            <wp:extent cx="5731510" cy="3222625"/>
            <wp:effectExtent l="0" t="0" r="2540" b="0"/>
            <wp:wrapSquare wrapText="bothSides"/>
            <wp:docPr id="90430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1734" name="Picture 904301734"/>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00000000">
        <w:br w:type="page" w:clear="all"/>
      </w:r>
    </w:p>
    <w:p w14:paraId="71BA2915" w14:textId="77777777" w:rsidR="00F335A8" w:rsidRDefault="00000000">
      <w:pPr>
        <w:pStyle w:val="Heading1"/>
        <w:jc w:val="center"/>
      </w:pPr>
      <w:r>
        <w:lastRenderedPageBreak/>
        <w:t>Key Findings &amp; Recommendations</w:t>
      </w:r>
    </w:p>
    <w:p w14:paraId="55BFBD72" w14:textId="77777777" w:rsidR="00AF6393" w:rsidRPr="00AF6393" w:rsidRDefault="00AF6393" w:rsidP="00AF6393">
      <w:pPr>
        <w:pStyle w:val="Heading1"/>
        <w:rPr>
          <w:color w:val="365F91" w:themeColor="accent1" w:themeShade="BF"/>
        </w:rPr>
      </w:pPr>
      <w:r w:rsidRPr="00AF6393">
        <w:rPr>
          <w:color w:val="365F91" w:themeColor="accent1" w:themeShade="BF"/>
        </w:rPr>
        <w:t>Key Findings</w:t>
      </w:r>
    </w:p>
    <w:p w14:paraId="37D39DF3" w14:textId="77777777"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Technology Drives Overall Profitability: Technology is the most profitable category, generating $145,454.95 in profit with a 17.40% profit margin, led primarily by Copiers (37.20% margin) and Accessories (25.05% margin).</w:t>
      </w:r>
    </w:p>
    <w:p w14:paraId="4C5F3D75" w14:textId="77777777"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Furniture Sub-Categories Cause Significant Losses: The Furniture category yields an overall profit margin of only 2.49%, heavily dragged down by net losses in Tables (-$17,725.48) and Bookcases (-$3,472.56).</w:t>
      </w:r>
    </w:p>
    <w:p w14:paraId="7CC58499" w14:textId="77777777"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Aggressive Discounting Erodes Bottom-Line Margins: Transactions with high discount levels (&gt;20%) result in total losses of -$135,376.06 (-37.32% margin), whereas non-discounted orders generate $320,987.60 in profit (29.51% margin).</w:t>
      </w:r>
    </w:p>
    <w:p w14:paraId="407CCC48" w14:textId="77777777"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Regional Disparities in Margin Performance: The West region generates the highest sales ($725,457.82) and profit margin (14.95%), while the Central region trails significantly at a 7.92% margin due to frequent local discounting.</w:t>
      </w:r>
    </w:p>
    <w:p w14:paraId="0EB5B2D0" w14:textId="77777777" w:rsidR="00AF6393" w:rsidRPr="00AF6393" w:rsidRDefault="00AF6393" w:rsidP="00AF6393">
      <w:pPr>
        <w:pStyle w:val="Heading1"/>
        <w:rPr>
          <w:color w:val="365F91" w:themeColor="accent1" w:themeShade="BF"/>
        </w:rPr>
      </w:pPr>
      <w:r w:rsidRPr="00AF6393">
        <w:rPr>
          <w:color w:val="365F91" w:themeColor="accent1" w:themeShade="BF"/>
        </w:rPr>
        <w:t>Strategic Recommendations</w:t>
      </w:r>
    </w:p>
    <w:p w14:paraId="6B998211" w14:textId="77777777"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Cap Discount Thresholds: Restrict promotional discounts to a maximum threshold of 20% across all categories to eliminate negative-margin transactions.</w:t>
      </w:r>
    </w:p>
    <w:p w14:paraId="7B1FC254" w14:textId="77777777"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Restructure Unprofitable Furniture SKUs: Review pricing strategies, vendor procurement costs, and shipping rates for Tables and Bookcases to convert negative margins into profitable transactions.</w:t>
      </w:r>
    </w:p>
    <w:p w14:paraId="0C6F0FF9" w14:textId="77777777"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Optimize Regional Sales Strategies: Standardize discount policies in the Central region to mirror the pricing governance and higher profit margins observed in the West region.</w:t>
      </w:r>
    </w:p>
    <w:p w14:paraId="2A51B63F" w14:textId="1BC475E3" w:rsidR="00AF6393" w:rsidRPr="00AF6393" w:rsidRDefault="00AF6393" w:rsidP="00AF6393">
      <w:pPr>
        <w:pStyle w:val="Heading1"/>
        <w:rPr>
          <w:b w:val="0"/>
          <w:bCs w:val="0"/>
          <w:color w:val="000000" w:themeColor="text1"/>
          <w:sz w:val="28"/>
          <w:szCs w:val="28"/>
        </w:rPr>
      </w:pPr>
      <w:r w:rsidRPr="00AF6393">
        <w:rPr>
          <w:b w:val="0"/>
          <w:bCs w:val="0"/>
          <w:color w:val="000000" w:themeColor="text1"/>
          <w:sz w:val="28"/>
          <w:szCs w:val="28"/>
        </w:rPr>
        <w:t xml:space="preserve"> * Focus Marketing on High-Margin Products: Prioritize promotional efforts and inventory allocation toward top-performing sub-categories such as Copiers, Paper, and Technology Accessories.</w:t>
      </w:r>
    </w:p>
    <w:p w14:paraId="0DC710D4" w14:textId="77777777" w:rsidR="00F335A8" w:rsidRDefault="00000000">
      <w:r>
        <w:br w:type="page" w:clear="all"/>
      </w:r>
    </w:p>
    <w:p w14:paraId="28DD54C8" w14:textId="77777777" w:rsidR="00F335A8" w:rsidRDefault="00000000">
      <w:pPr>
        <w:pStyle w:val="Heading1"/>
        <w:jc w:val="center"/>
      </w:pPr>
      <w:r>
        <w:lastRenderedPageBreak/>
        <w:t>Conclusion</w:t>
      </w:r>
    </w:p>
    <w:p w14:paraId="4C6ECDD7" w14:textId="098B4DA1" w:rsidR="00AF6393" w:rsidRPr="00AF6393" w:rsidRDefault="00AF6393" w:rsidP="00AF6393">
      <w:pPr>
        <w:pStyle w:val="Heading1"/>
        <w:rPr>
          <w:b w:val="0"/>
          <w:bCs w:val="0"/>
          <w:color w:val="auto"/>
          <w:sz w:val="28"/>
          <w:szCs w:val="28"/>
        </w:rPr>
      </w:pPr>
      <w:r w:rsidRPr="00AF6393">
        <w:rPr>
          <w:b w:val="0"/>
          <w:bCs w:val="0"/>
          <w:color w:val="auto"/>
          <w:sz w:val="28"/>
          <w:szCs w:val="28"/>
        </w:rPr>
        <w:t>This project highlights the key drivers of profitability within the Superstore dataset, demonstrating that high top-line revenue does not always translate to sustainable bottom-line success. While core categories like Technology and Office Supplies consistently maintain healthy profit margins, structural losses in Furniture</w:t>
      </w:r>
      <w:r>
        <w:rPr>
          <w:b w:val="0"/>
          <w:bCs w:val="0"/>
          <w:color w:val="auto"/>
          <w:sz w:val="28"/>
          <w:szCs w:val="28"/>
        </w:rPr>
        <w:t xml:space="preserve"> </w:t>
      </w:r>
      <w:r w:rsidRPr="00AF6393">
        <w:rPr>
          <w:b w:val="0"/>
          <w:bCs w:val="0"/>
          <w:color w:val="auto"/>
          <w:sz w:val="28"/>
          <w:szCs w:val="28"/>
        </w:rPr>
        <w:t xml:space="preserve">undermine overall business performance. Furthermore, the analysis proves that </w:t>
      </w:r>
      <w:r>
        <w:rPr>
          <w:b w:val="0"/>
          <w:bCs w:val="0"/>
          <w:color w:val="auto"/>
          <w:sz w:val="28"/>
          <w:szCs w:val="28"/>
        </w:rPr>
        <w:t xml:space="preserve">huge </w:t>
      </w:r>
      <w:r w:rsidRPr="00AF6393">
        <w:rPr>
          <w:b w:val="0"/>
          <w:bCs w:val="0"/>
          <w:color w:val="auto"/>
          <w:sz w:val="28"/>
          <w:szCs w:val="28"/>
        </w:rPr>
        <w:t xml:space="preserve">discounting (&gt;20%) is the primary </w:t>
      </w:r>
      <w:r>
        <w:rPr>
          <w:b w:val="0"/>
          <w:bCs w:val="0"/>
          <w:color w:val="auto"/>
          <w:sz w:val="28"/>
          <w:szCs w:val="28"/>
        </w:rPr>
        <w:t xml:space="preserve">reason </w:t>
      </w:r>
      <w:r w:rsidRPr="00AF6393">
        <w:rPr>
          <w:b w:val="0"/>
          <w:bCs w:val="0"/>
          <w:color w:val="auto"/>
          <w:sz w:val="28"/>
          <w:szCs w:val="28"/>
        </w:rPr>
        <w:t xml:space="preserve">for severe margin </w:t>
      </w:r>
      <w:r>
        <w:rPr>
          <w:b w:val="0"/>
          <w:bCs w:val="0"/>
          <w:color w:val="auto"/>
          <w:sz w:val="28"/>
          <w:szCs w:val="28"/>
        </w:rPr>
        <w:t xml:space="preserve">loss </w:t>
      </w:r>
      <w:r w:rsidRPr="00AF6393">
        <w:rPr>
          <w:b w:val="0"/>
          <w:bCs w:val="0"/>
          <w:color w:val="auto"/>
          <w:sz w:val="28"/>
          <w:szCs w:val="28"/>
        </w:rPr>
        <w:t>across all product lines.</w:t>
      </w:r>
    </w:p>
    <w:p w14:paraId="6E5A6889" w14:textId="51DB8B65" w:rsidR="00AF6393" w:rsidRPr="00AF6393" w:rsidRDefault="00AF6393" w:rsidP="00AF6393">
      <w:pPr>
        <w:pStyle w:val="Heading1"/>
        <w:rPr>
          <w:b w:val="0"/>
          <w:bCs w:val="0"/>
          <w:color w:val="auto"/>
          <w:sz w:val="28"/>
          <w:szCs w:val="28"/>
        </w:rPr>
      </w:pPr>
      <w:r w:rsidRPr="00AF6393">
        <w:rPr>
          <w:b w:val="0"/>
          <w:bCs w:val="0"/>
          <w:color w:val="auto"/>
          <w:sz w:val="28"/>
          <w:szCs w:val="28"/>
        </w:rPr>
        <w:t>By implementing stricter promotional boundaries, re-evaluating underperforming product catalog items, and aligning regional pricing strategies with top-performing markets like the West region, the business can eliminate preventable losses. Ultimately, these data-driven adjustments and the operational insights provided by the interactive Power BI dashboard position the company to optimize revenue growth while securing higher, more predictable profitability.</w:t>
      </w:r>
    </w:p>
    <w:sectPr w:rsidR="00AF6393" w:rsidRPr="00AF6393">
      <w:footerReference w:type="default" r:id="rId8"/>
      <w:pgSz w:w="11906" w:h="16838"/>
      <w:pgMar w:top="1440" w:right="1440" w:bottom="1440" w:left="1440"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68B0A" w14:textId="77777777" w:rsidR="003411A3" w:rsidRDefault="003411A3">
      <w:pPr>
        <w:spacing w:line="240" w:lineRule="auto"/>
      </w:pPr>
      <w:r>
        <w:separator/>
      </w:r>
    </w:p>
  </w:endnote>
  <w:endnote w:type="continuationSeparator" w:id="0">
    <w:p w14:paraId="1B9C2642" w14:textId="77777777" w:rsidR="003411A3" w:rsidRDefault="00341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Noto Sans CJK SC">
    <w:altName w:val="SimSun"/>
    <w:charset w:val="86"/>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Mono CJK SC">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B0FC" w14:textId="77777777" w:rsidR="00F335A8" w:rsidRDefault="00000000">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A25D1" w14:textId="77777777" w:rsidR="003411A3" w:rsidRDefault="003411A3">
      <w:pPr>
        <w:spacing w:after="0"/>
      </w:pPr>
      <w:r>
        <w:separator/>
      </w:r>
    </w:p>
  </w:footnote>
  <w:footnote w:type="continuationSeparator" w:id="0">
    <w:p w14:paraId="06ED32EC" w14:textId="77777777" w:rsidR="003411A3" w:rsidRDefault="003411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635F"/>
    <w:multiLevelType w:val="hybridMultilevel"/>
    <w:tmpl w:val="008C7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434453"/>
    <w:multiLevelType w:val="hybridMultilevel"/>
    <w:tmpl w:val="C5341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7C4DAB"/>
    <w:multiLevelType w:val="hybridMultilevel"/>
    <w:tmpl w:val="6B9A4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960986">
    <w:abstractNumId w:val="1"/>
  </w:num>
  <w:num w:numId="2" w16cid:durableId="1307584180">
    <w:abstractNumId w:val="0"/>
  </w:num>
  <w:num w:numId="3" w16cid:durableId="479078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069"/>
    <w:rsid w:val="000B0013"/>
    <w:rsid w:val="000F65AA"/>
    <w:rsid w:val="0024634E"/>
    <w:rsid w:val="003411A3"/>
    <w:rsid w:val="00371562"/>
    <w:rsid w:val="0037464B"/>
    <w:rsid w:val="003756C3"/>
    <w:rsid w:val="00561636"/>
    <w:rsid w:val="0065195F"/>
    <w:rsid w:val="0069194A"/>
    <w:rsid w:val="008A5C34"/>
    <w:rsid w:val="009531F2"/>
    <w:rsid w:val="0098524E"/>
    <w:rsid w:val="009B58CD"/>
    <w:rsid w:val="00A46E99"/>
    <w:rsid w:val="00A64B7A"/>
    <w:rsid w:val="00A86DD2"/>
    <w:rsid w:val="00AE56AB"/>
    <w:rsid w:val="00AF6393"/>
    <w:rsid w:val="00BD5BAB"/>
    <w:rsid w:val="00C300C1"/>
    <w:rsid w:val="00C77B0F"/>
    <w:rsid w:val="00D32273"/>
    <w:rsid w:val="00E02AFE"/>
    <w:rsid w:val="00E12069"/>
    <w:rsid w:val="00F335A8"/>
    <w:rsid w:val="5BDA22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9AD"/>
  <w15:docId w15:val="{F1EED39E-3E3B-49DB-82F4-6DFB98D2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ans CJK SC"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iPriority="0" w:qFormat="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qFormat/>
    <w:pPr>
      <w:keepNext/>
      <w:keepLines/>
      <w:spacing w:before="240" w:after="80"/>
      <w:outlineLvl w:val="0"/>
    </w:pPr>
    <w:rPr>
      <w:b/>
      <w:bCs/>
      <w:color w:val="2F5496"/>
      <w:sz w:val="32"/>
      <w:szCs w:val="32"/>
    </w:rPr>
  </w:style>
  <w:style w:type="paragraph" w:styleId="Heading2">
    <w:name w:val="heading 2"/>
    <w:basedOn w:val="Normal"/>
    <w:link w:val="Heading2Char"/>
    <w:qFormat/>
    <w:pPr>
      <w:keepNext/>
      <w:keepLines/>
      <w:spacing w:before="200" w:after="80"/>
      <w:outlineLvl w:val="1"/>
    </w:pPr>
    <w:rPr>
      <w:b/>
      <w:bCs/>
      <w:color w:val="2F5496"/>
      <w:sz w:val="26"/>
      <w:szCs w:val="26"/>
    </w:rPr>
  </w:style>
  <w:style w:type="paragraph" w:styleId="Heading3">
    <w:name w:val="heading 3"/>
    <w:basedOn w:val="Normal"/>
    <w:link w:val="Heading3Char"/>
    <w:qFormat/>
    <w:pPr>
      <w:keepNext/>
      <w:keepLines/>
      <w:spacing w:before="160" w:after="80"/>
      <w:outlineLvl w:val="2"/>
    </w:pPr>
    <w:rPr>
      <w:b/>
      <w:bCs/>
      <w:color w:val="1F3864"/>
      <w:sz w:val="24"/>
      <w:szCs w:val="24"/>
    </w:rPr>
  </w:style>
  <w:style w:type="paragraph" w:styleId="Heading4">
    <w:name w:val="heading 4"/>
    <w:basedOn w:val="Normal"/>
    <w:link w:val="Heading4Char"/>
    <w:qFormat/>
    <w:pPr>
      <w:keepNext/>
      <w:keepLines/>
      <w:spacing w:before="160" w:after="40"/>
      <w:outlineLvl w:val="3"/>
    </w:pPr>
    <w:rPr>
      <w:b/>
      <w:bCs/>
      <w:i/>
      <w:iCs/>
      <w:color w:val="2F5496"/>
    </w:rPr>
  </w:style>
  <w:style w:type="paragraph" w:styleId="Heading5">
    <w:name w:val="heading 5"/>
    <w:basedOn w:val="Normal"/>
    <w:link w:val="Heading5Char"/>
    <w:qFormat/>
    <w:pPr>
      <w:keepNext/>
      <w:keepLines/>
      <w:spacing w:before="120" w:after="40"/>
      <w:outlineLvl w:val="4"/>
    </w:pPr>
    <w:rPr>
      <w:b/>
      <w:bCs/>
      <w:color w:val="1F3864"/>
    </w:rPr>
  </w:style>
  <w:style w:type="paragraph" w:styleId="Heading6">
    <w:name w:val="heading 6"/>
    <w:basedOn w:val="Normal"/>
    <w:link w:val="Heading6Char"/>
    <w:qFormat/>
    <w:pPr>
      <w:keepNext/>
      <w:keepLines/>
      <w:spacing w:before="120" w:after="40"/>
      <w:outlineLvl w:val="5"/>
    </w:pPr>
    <w:rPr>
      <w:i/>
      <w:iCs/>
      <w:color w:val="1F3864"/>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keepNext/>
      <w:spacing w:after="200"/>
    </w:pPr>
    <w:rPr>
      <w:i/>
      <w:iCs/>
      <w:color w:val="44546A"/>
      <w:sz w:val="18"/>
      <w:szCs w:val="18"/>
    </w:rPr>
  </w:style>
  <w:style w:type="character" w:styleId="Emphasis">
    <w:name w:val="Emphasis"/>
    <w:basedOn w:val="DefaultParagraphFont"/>
    <w:uiPriority w:val="20"/>
    <w:qFormat/>
    <w:rPr>
      <w:i/>
      <w:iCs/>
    </w:rPr>
  </w:style>
  <w:style w:type="character" w:styleId="EndnoteReference">
    <w:name w:val="endnote reference"/>
    <w:qFormat/>
    <w:rPr>
      <w:vertAlign w:val="superscript"/>
    </w:rPr>
  </w:style>
  <w:style w:type="paragraph" w:styleId="EndnoteText">
    <w:name w:val="endnote text"/>
    <w:basedOn w:val="Normal"/>
    <w:link w:val="EndnoteTextChar"/>
    <w:qFormat/>
    <w:pPr>
      <w:spacing w:after="0" w:line="240" w:lineRule="auto"/>
    </w:pPr>
    <w:rPr>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qFormat/>
    <w:pPr>
      <w:spacing w:after="0"/>
    </w:pPr>
  </w:style>
  <w:style w:type="character" w:styleId="FootnoteReference">
    <w:name w:val="footnote reference"/>
    <w:qFormat/>
    <w:rPr>
      <w:vertAlign w:val="superscript"/>
    </w:rPr>
  </w:style>
  <w:style w:type="paragraph" w:styleId="FootnoteText">
    <w:name w:val="footnote text"/>
    <w:basedOn w:val="Normal"/>
    <w:link w:val="FootnoteTextChar"/>
    <w:qFormat/>
    <w:pPr>
      <w:spacing w:after="0" w:line="240" w:lineRule="auto"/>
    </w:pPr>
    <w:rPr>
      <w:sz w:val="18"/>
      <w:szCs w:val="18"/>
    </w:rPr>
  </w:style>
  <w:style w:type="paragraph" w:styleId="Header">
    <w:name w:val="header"/>
    <w:basedOn w:val="Normal"/>
    <w:link w:val="HeaderChar"/>
    <w:qFormat/>
    <w:pPr>
      <w:spacing w:after="0"/>
    </w:pPr>
  </w:style>
  <w:style w:type="character" w:styleId="Hyperlink">
    <w:name w:val="Hyperlink"/>
    <w:qFormat/>
    <w:rPr>
      <w:color w:val="0563C1"/>
      <w:u w:val="single"/>
    </w:rPr>
  </w:style>
  <w:style w:type="character" w:styleId="Strong">
    <w:name w:val="Strong"/>
    <w:basedOn w:val="DefaultParagraphFont"/>
    <w:uiPriority w:val="22"/>
    <w:qFormat/>
    <w:rPr>
      <w:b/>
      <w:bCs/>
    </w:rPr>
  </w:style>
  <w:style w:type="paragraph" w:styleId="Subtitle">
    <w:name w:val="Subtitle"/>
    <w:basedOn w:val="Normal"/>
    <w:link w:val="SubtitleChar"/>
    <w:qFormat/>
    <w:rPr>
      <w:color w:val="595959"/>
      <w:sz w:val="28"/>
      <w:szCs w:val="28"/>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link w:val="TitleChar"/>
    <w:qFormat/>
    <w:pPr>
      <w:spacing w:after="120"/>
    </w:pPr>
    <w:rPr>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rPr>
      <w:rFonts w:ascii="Arial" w:eastAsia="Arial" w:hAnsi="Arial" w:cs="Arial"/>
      <w:i/>
      <w:iCs/>
      <w:color w:val="262626" w:themeColor="text1" w:themeTint="D9"/>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link w:val="QuoteChar"/>
    <w:qFormat/>
    <w:pPr>
      <w:pBdr>
        <w:left w:val="single" w:sz="24" w:space="8" w:color="CCCCCC"/>
      </w:pBdr>
      <w:spacing w:before="80"/>
      <w:ind w:left="360"/>
    </w:pPr>
    <w:rPr>
      <w:color w:val="595959"/>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uiPriority w:val="99"/>
    <w:semiHidden/>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qFormat/>
    <w:rPr>
      <w:color w:val="666666"/>
    </w:rPr>
  </w:style>
  <w:style w:type="paragraph" w:customStyle="1" w:styleId="Code">
    <w:name w:val="Code"/>
    <w:basedOn w:val="Normal"/>
    <w:qFormat/>
    <w:pPr>
      <w:keepLines/>
      <w:shd w:val="clear" w:color="auto" w:fill="F2F2F2"/>
      <w:spacing w:before="120" w:after="120" w:line="240" w:lineRule="auto"/>
    </w:pPr>
    <w:rPr>
      <w:rFonts w:ascii="Courier New" w:eastAsia="Noto Sans Mono CJK SC" w:hAnsi="Courier New" w:cs="Courier New"/>
      <w:sz w:val="19"/>
      <w:szCs w:val="19"/>
    </w:rPr>
  </w:style>
  <w:style w:type="character" w:customStyle="1" w:styleId="CodeChar">
    <w:name w:val="Code Char"/>
    <w:qFormat/>
    <w:rPr>
      <w:rFonts w:ascii="Courier New" w:eastAsia="Noto Sans Mono CJK SC" w:hAnsi="Courier New" w:cs="Courier New"/>
      <w:shd w:val="clear" w:color="auto" w:fill="F2F2F2"/>
    </w:rPr>
  </w:style>
  <w:style w:type="paragraph" w:styleId="ListParagraph">
    <w:name w:val="List Paragraph"/>
    <w:basedOn w:val="Normal"/>
    <w:qFormat/>
    <w:pPr>
      <w:ind w:left="720"/>
      <w:contextualSpacing/>
    </w:pPr>
  </w:style>
  <w:style w:type="paragraph" w:customStyle="1" w:styleId="TOCHeading1">
    <w:name w:val="TOC Heading1"/>
    <w:basedOn w:val="Normal"/>
    <w:qFormat/>
    <w:pPr>
      <w:keepNext/>
      <w:spacing w:before="240" w:after="80"/>
    </w:pPr>
    <w:rPr>
      <w:b/>
      <w:bCs/>
      <w:color w:val="2F5496"/>
      <w:sz w:val="32"/>
      <w:szCs w:val="32"/>
    </w:rPr>
  </w:style>
  <w:style w:type="table" w:styleId="TableGridLight">
    <w:name w:val="Grid Table Light"/>
    <w:basedOn w:val="TableNormal"/>
    <w:uiPriority w:val="40"/>
    <w:rsid w:val="00A86DD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86DD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563</TotalTime>
  <Pages>8</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Data Analysis Project</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Project</dc:title>
  <dc:creator>gendocx</dc:creator>
  <cp:lastModifiedBy>aya197073@gmail.com</cp:lastModifiedBy>
  <cp:revision>10</cp:revision>
  <dcterms:created xsi:type="dcterms:W3CDTF">2026-01-01T00:00:00Z</dcterms:created>
  <dcterms:modified xsi:type="dcterms:W3CDTF">2026-09-17T05:47:00Z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eyJoZGlkIjoiMGE4NWM0YTQ0M2VjNTZmN2UzMWJmZTUxMDA3YmVmOWEifQ==</vt:lpwstr>
  </property>
  <property fmtid="{D5CDD505-2E9C-101B-9397-08002B2CF9AE}" pid="3" name="KSOProductBuildVer">
    <vt:lpwstr>1033-12.1.0.28485</vt:lpwstr>
  </property>
  <property fmtid="{D5CDD505-2E9C-101B-9397-08002B2CF9AE}" pid="4" name="ICV">
    <vt:lpwstr>3A7669B1E6374AF295EFFA9A08548081_12</vt:lpwstr>
  </property>
</Properties>
</file>