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CLMS</w:t>
      </w:r>
      <w:r>
        <w:t xml:space="preserve"> </w:t>
      </w:r>
      <w:r>
        <w:t xml:space="preserve">filenaming</w:t>
      </w:r>
      <w:r>
        <w:t xml:space="preserve"> </w:t>
      </w:r>
      <w:r>
        <w:t xml:space="preserve">convention</w:t>
      </w:r>
    </w:p>
    <w:p>
      <w:pPr>
        <w:pStyle w:val="Subtitle"/>
      </w:pPr>
      <w:r>
        <w:t xml:space="preserve">guidelines</w:t>
      </w:r>
    </w:p>
    <w:p>
      <w:pPr>
        <w:pStyle w:val="Author"/>
      </w:pPr>
      <w:r>
        <w:t xml:space="preserve">CLMS</w:t>
      </w:r>
      <w:r>
        <w:t xml:space="preserve"> </w:t>
      </w:r>
      <w:r>
        <w:t xml:space="preserve">ICT-WG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13,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DRAFT</w:t>
      </w:r>
    </w:p>
    <w:bookmarkStart w:id="20" w:name="preface-and-terminology"/>
    <w:p>
      <w:pPr>
        <w:pStyle w:val="Heading1"/>
      </w:pPr>
      <w:r>
        <w:t xml:space="preserve">1. Preface and terminology</w:t>
      </w:r>
    </w:p>
    <w:p>
      <w:pPr>
        <w:pStyle w:val="FirstParagraph"/>
      </w:pPr>
      <w:r>
        <w:t xml:space="preserve">To uniquely identify a file on a host or device a string of characters is used, which in its full or absolute length consists of several distinct parts. If on a host whose exact name is completely specified such that it is unambiguous and cannot be mistaken for any other file on that host or device this defines a</w:t>
      </w:r>
      <w:r>
        <w:t xml:space="preserve"> </w:t>
      </w:r>
      <w:r>
        <w:t xml:space="preserve">“</w:t>
      </w:r>
      <w:r>
        <w:t xml:space="preserve">fully qualified file name</w:t>
      </w:r>
      <w:r>
        <w:t xml:space="preserve">”</w:t>
      </w:r>
      <w:r>
        <w:t xml:space="preserve"> </w:t>
      </w:r>
      <w:r>
        <w:t xml:space="preserve">or FQFN (see</w:t>
      </w:r>
      <w:r>
        <w:t xml:space="preserve"> </w:t>
      </w:r>
      <w:hyperlink w:anchor="sec-fully-qualified-file-name">
        <w:r>
          <w:rPr>
            <w:rStyle w:val="Hyperlink"/>
          </w:rPr>
          <w:t xml:space="preserve">Section 2</w:t>
        </w:r>
      </w:hyperlink>
      <w:r>
        <w:t xml:space="preserve">).</w:t>
      </w:r>
    </w:p>
    <w:p>
      <w:pPr>
        <w:pStyle w:val="BodyText"/>
      </w:pPr>
      <w:r>
        <w:t xml:space="preserve">Unfortunately, terminology around file identifiers is not fully harmonized and can be quite confusing as e.g., the term</w:t>
      </w:r>
      <w:r>
        <w:t xml:space="preserve"> </w:t>
      </w:r>
      <w:r>
        <w:t xml:space="preserve">‘</w:t>
      </w:r>
      <w:r>
        <w:t xml:space="preserve">filename</w:t>
      </w:r>
      <w:r>
        <w:t xml:space="preserve">’</w:t>
      </w:r>
      <w:r>
        <w:t xml:space="preserve"> </w:t>
      </w:r>
      <w:r>
        <w:t xml:space="preserve">is commonly used for either the FQFN, but also the base name of a file with and without an extension.</w:t>
      </w:r>
    </w:p>
    <w:p>
      <w:pPr>
        <w:pStyle w:val="BodyText"/>
      </w:pPr>
      <w:r>
        <w:t xml:space="preserve">For proper disambiguation a definition of all relevant terms as used in this document is given here first.</w:t>
      </w:r>
    </w:p>
    <w:bookmarkEnd w:id="20"/>
    <w:bookmarkStart w:id="27" w:name="sec-fully-qualified-file-name"/>
    <w:p>
      <w:pPr>
        <w:pStyle w:val="Heading1"/>
      </w:pPr>
      <w:r>
        <w:t xml:space="preserve">2. Fully Qualified File Name</w:t>
      </w:r>
    </w:p>
    <w:p>
      <w:pPr>
        <w:pStyle w:val="FirstParagraph"/>
      </w:pPr>
      <w:r>
        <w:t xml:space="preserve">A fully qualified file name or FQFN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is a string of characters suited to entirely and uniquely identify a resource on a host or device. To fulfill its purpose the FQFN must specify device, path, file, and extension.</w:t>
      </w:r>
    </w:p>
    <w:bookmarkStart w:id="23" w:name="host-or-device-name"/>
    <w:p>
      <w:pPr>
        <w:pStyle w:val="Heading2"/>
      </w:pPr>
      <w:r>
        <w:t xml:space="preserve">2.1 host or device (name)</w:t>
      </w:r>
    </w:p>
    <w:p>
      <w:pPr>
        <w:pStyle w:val="FirstParagraph"/>
      </w:pPr>
      <w:r>
        <w:t xml:space="preserve">String refers to the name of the server or machine on the network where the file is stored</w:t>
      </w:r>
    </w:p>
    <w:bookmarkEnd w:id="23"/>
    <w:bookmarkStart w:id="24" w:name="path-name"/>
    <w:p>
      <w:pPr>
        <w:pStyle w:val="Heading2"/>
      </w:pPr>
      <w:r>
        <w:t xml:space="preserve">2.2 path (name)</w:t>
      </w:r>
    </w:p>
    <w:p>
      <w:pPr>
        <w:pStyle w:val="FirstParagraph"/>
      </w:pPr>
      <w:r>
        <w:t xml:space="preserve">String identifying the folder and subfolder in which file is stored</w:t>
      </w:r>
    </w:p>
    <w:bookmarkEnd w:id="24"/>
    <w:bookmarkStart w:id="25" w:name="base-or-stem-filename"/>
    <w:p>
      <w:pPr>
        <w:pStyle w:val="Heading2"/>
      </w:pPr>
      <w:r>
        <w:t xml:space="preserve">2.3 (base or stem) filename</w:t>
      </w:r>
    </w:p>
    <w:p>
      <w:pPr>
        <w:pStyle w:val="FirstParagraph"/>
      </w:pPr>
      <w:r>
        <w:t xml:space="preserve">String identifying an individual file, without the suffix which is referred to as extension.</w:t>
      </w:r>
    </w:p>
    <w:bookmarkEnd w:id="25"/>
    <w:bookmarkStart w:id="26" w:name="extension-or-suffix"/>
    <w:p>
      <w:pPr>
        <w:pStyle w:val="Heading2"/>
      </w:pPr>
      <w:r>
        <w:t xml:space="preserve">2.4 extension or suffix</w:t>
      </w:r>
    </w:p>
    <w:p>
      <w:pPr>
        <w:pStyle w:val="FirstParagraph"/>
      </w:pPr>
      <w:r>
        <w:t xml:space="preserve">String indicating a characteristic (file type) of the file contents or its intended use, usually found at the end of a file URI.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The FQFN and its elements: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host://path/to/file/</w:t>
            </w:r>
            <w:r>
              <w:rPr>
                <w:b/>
                <w:bCs/>
                <w:i/>
                <w:iCs/>
              </w:rPr>
              <w:t xml:space="preserve">filename</w:t>
            </w:r>
            <w:r>
              <w:rPr>
                <w:i/>
                <w:iCs/>
              </w:rPr>
              <w:t xml:space="preserve">.extension</w:t>
            </w:r>
          </w:p>
        </w:tc>
      </w:tr>
    </w:tbl>
    <w:p>
      <w:pPr>
        <w:pStyle w:val="BodyText"/>
      </w:pPr>
      <w:r>
        <w:t xml:space="preserve">For the purpose of this document the term</w:t>
      </w:r>
      <w:r>
        <w:t xml:space="preserve"> </w:t>
      </w:r>
      <w:r>
        <w:t xml:space="preserve">‘</w:t>
      </w:r>
      <w:r>
        <w:t xml:space="preserve">filename</w:t>
      </w:r>
      <w:r>
        <w:t xml:space="preserve">’</w:t>
      </w:r>
      <w:r>
        <w:t xml:space="preserve"> </w:t>
      </w:r>
      <w:r>
        <w:t xml:space="preserve">relates to all characters of a FQFN preceding the first occurrence to the extension delimiter character</w:t>
      </w:r>
      <w:r>
        <w:t xml:space="preserve"> </w:t>
      </w:r>
      <w:r>
        <w:t xml:space="preserve">‘</w:t>
      </w:r>
      <w:r>
        <w:t xml:space="preserve">full stop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period</w:t>
      </w:r>
      <w:r>
        <w:t xml:space="preserve">’</w:t>
      </w:r>
      <w:r>
        <w:t xml:space="preserve"> </w:t>
      </w:r>
      <w:r>
        <w:t xml:space="preserve">(</w:t>
      </w:r>
      <w:r>
        <w:t xml:space="preserve">“</w:t>
      </w:r>
      <w:r>
        <w:t xml:space="preserve">.</w:t>
      </w:r>
      <w:r>
        <w:t xml:space="preserve">”</w:t>
      </w:r>
      <w:r>
        <w:t xml:space="preserve">, ASCII 46) and not being preceded by the last occurrence of the path delimiter most commonly the</w:t>
      </w:r>
      <w:r>
        <w:t xml:space="preserve"> </w:t>
      </w:r>
      <w:r>
        <w:t xml:space="preserve">‘</w:t>
      </w:r>
      <w:r>
        <w:t xml:space="preserve">slash</w:t>
      </w:r>
      <w:r>
        <w:t xml:space="preserve">’</w:t>
      </w:r>
      <w:r>
        <w:t xml:space="preserve"> </w:t>
      </w:r>
      <w:r>
        <w:t xml:space="preserve">(</w:t>
      </w:r>
      <w:r>
        <w:t xml:space="preserve">“</w:t>
      </w:r>
      <w:r>
        <w:t xml:space="preserve">/</w:t>
      </w:r>
      <w:r>
        <w:t xml:space="preserve">”</w:t>
      </w:r>
      <w:r>
        <w:t xml:space="preserve">, ASCII code 47) or the</w:t>
      </w:r>
      <w:r>
        <w:t xml:space="preserve"> </w:t>
      </w:r>
      <w:r>
        <w:t xml:space="preserve">‘</w:t>
      </w:r>
      <w:r>
        <w:t xml:space="preserve">backslash</w:t>
      </w:r>
      <w:r>
        <w:t xml:space="preserve">’</w:t>
      </w:r>
      <w:r>
        <w:t xml:space="preserve"> </w:t>
      </w:r>
      <w:r>
        <w:t xml:space="preserve">character (</w:t>
      </w:r>
      <w:r>
        <w:t xml:space="preserve">“</w:t>
      </w:r>
      <w:r>
        <w:t xml:space="preserve">\</w:t>
      </w:r>
      <w:r>
        <w:t xml:space="preserve">”</w:t>
      </w:r>
      <w:r>
        <w:t xml:space="preserve">, ASCII code 92).</w:t>
      </w:r>
    </w:p>
    <w:bookmarkEnd w:id="26"/>
    <w:bookmarkEnd w:id="27"/>
    <w:bookmarkStart w:id="30" w:name="sec-filename-and-path-length"/>
    <w:p>
      <w:pPr>
        <w:pStyle w:val="Heading1"/>
      </w:pPr>
      <w:r>
        <w:t xml:space="preserve">3. Filename and path length</w:t>
      </w:r>
    </w:p>
    <w:p>
      <w:pPr>
        <w:pStyle w:val="FirstParagraph"/>
      </w:pPr>
      <w:r>
        <w:t xml:space="preserve">The maximum FQFN length is determined by the file system. File systems and their upper limits are: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Windows (Windows 32 bit API</w:t>
      </w:r>
      <w:r>
        <w:rPr>
          <w:rStyle w:val="FootnoteReference"/>
        </w:rPr>
        <w:footnoteReference w:id="28"/>
      </w:r>
      <w:r>
        <w:t xml:space="preserve">)</w:t>
      </w:r>
    </w:p>
    <w:p>
      <w:pPr>
        <w:numPr>
          <w:ilvl w:val="1"/>
          <w:numId w:val="1002"/>
        </w:numPr>
      </w:pPr>
      <w:r>
        <w:t xml:space="preserve">Maximum FQFN length: 260 characters (including drive letter, backslashes, and null terminator).</w:t>
      </w:r>
    </w:p>
    <w:p>
      <w:pPr>
        <w:numPr>
          <w:ilvl w:val="1"/>
          <w:numId w:val="1002"/>
        </w:numPr>
      </w:pPr>
      <w:r>
        <w:t xml:space="preserve">Maximum length of file name and file extension: 255 characters.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Linux (ext4)</w:t>
      </w:r>
    </w:p>
    <w:p>
      <w:pPr>
        <w:numPr>
          <w:ilvl w:val="1"/>
          <w:numId w:val="1003"/>
        </w:numPr>
      </w:pPr>
      <w:r>
        <w:t xml:space="preserve">Maximum FQFN length: 4096 characters.</w:t>
      </w:r>
    </w:p>
    <w:p>
      <w:pPr>
        <w:numPr>
          <w:ilvl w:val="1"/>
          <w:numId w:val="1003"/>
        </w:numPr>
      </w:pPr>
      <w:r>
        <w:t xml:space="preserve">Maximum length of file name and file extension: 255 characters.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macOS (APFS)</w:t>
      </w:r>
    </w:p>
    <w:p>
      <w:pPr>
        <w:numPr>
          <w:ilvl w:val="1"/>
          <w:numId w:val="1004"/>
        </w:numPr>
      </w:pPr>
      <w:r>
        <w:t xml:space="preserve">Maximum FQFN length: 1024 characters.</w:t>
      </w:r>
    </w:p>
    <w:p>
      <w:pPr>
        <w:numPr>
          <w:ilvl w:val="1"/>
          <w:numId w:val="1004"/>
        </w:numPr>
      </w:pPr>
      <w:r>
        <w:t xml:space="preserve">Maximum length of file name and file extension: 255 characters.</w:t>
      </w:r>
    </w:p>
    <w:bookmarkStart w:id="29" w:name="sec-best-practices-for-filename-length"/>
    <w:p>
      <w:pPr>
        <w:pStyle w:val="Heading2"/>
      </w:pPr>
      <w:r>
        <w:t xml:space="preserve">3.1 Recommendation on filename length</w:t>
      </w:r>
    </w:p>
    <w:p>
      <w:pPr>
        <w:pStyle w:val="FirstParagraph"/>
      </w:pPr>
      <w:r>
        <w:t xml:space="preserve">To ensure compatibility across all systems the smallest boundaries must be taken, i.e.,</w:t>
      </w:r>
    </w:p>
    <w:p>
      <w:pPr>
        <w:numPr>
          <w:ilvl w:val="0"/>
          <w:numId w:val="1005"/>
        </w:numPr>
      </w:pPr>
      <w:r>
        <w:t xml:space="preserve">260 characters maximum FQFN length as defined by Windows Windows 32 bit API .</w:t>
      </w:r>
    </w:p>
    <w:p>
      <w:pPr>
        <w:numPr>
          <w:ilvl w:val="0"/>
          <w:numId w:val="1005"/>
        </w:numPr>
      </w:pPr>
      <w:r>
        <w:t xml:space="preserve">255 characters for maximum length of file name and file extension.</w:t>
      </w:r>
    </w:p>
    <w:p>
      <w:pPr>
        <w:pStyle w:val="FirstParagraph"/>
      </w:pPr>
      <w:r>
        <w:t xml:space="preserve">To safely accommodate both, file name and path, it is generally recommended to keep file names well under these maximum limits and aiming for a: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maximum of 100 characters</w:t>
            </w:r>
            <w:r>
              <w:t xml:space="preserve">.</w:t>
            </w:r>
          </w:p>
        </w:tc>
      </w:tr>
    </w:tbl>
    <w:bookmarkEnd w:id="29"/>
    <w:bookmarkEnd w:id="30"/>
    <w:bookmarkStart w:id="45" w:name="sec-the-filename"/>
    <w:p>
      <w:pPr>
        <w:pStyle w:val="Heading1"/>
      </w:pPr>
      <w:r>
        <w:t xml:space="preserve">4. The Filename</w:t>
      </w:r>
    </w:p>
    <w:p>
      <w:pPr>
        <w:pStyle w:val="FirstParagraph"/>
      </w:pPr>
      <w:r>
        <w:t xml:space="preserve">The following section will describe the rules and the constains for the creation of a filename.</w:t>
      </w:r>
    </w:p>
    <w:bookmarkStart w:id="33" w:name="sec-filename---allowed-characters"/>
    <w:p>
      <w:pPr>
        <w:pStyle w:val="Heading2"/>
      </w:pPr>
      <w:r>
        <w:t xml:space="preserve">4.1 Filename - ASCII characters</w:t>
      </w:r>
    </w:p>
    <w:p>
      <w:pPr>
        <w:pStyle w:val="FirstParagraph"/>
      </w:pPr>
      <w:r>
        <w:t xml:space="preserve">Filenames are composed by ASCII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characters. To ensure maximum interoperability, the following rules are implemented: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Alphanumeric</w:t>
      </w:r>
      <w:r>
        <w:t xml:space="preserve"> </w:t>
      </w:r>
      <w:r>
        <w:t xml:space="preserve">(letters A-Z, ASCII 97-122, and numbers 0-9, ASCII 48-57): are allowed, whereby they are not handled as case sensitive.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Underscore</w:t>
      </w:r>
      <w:r>
        <w:t xml:space="preserve"> </w:t>
      </w:r>
      <w:r>
        <w:t xml:space="preserve">(</w:t>
      </w:r>
      <w:r>
        <w:t xml:space="preserve">‘</w:t>
      </w:r>
      <w:r>
        <w:t xml:space="preserve">_</w:t>
      </w:r>
      <w:r>
        <w:t xml:space="preserve">’</w:t>
      </w:r>
      <w:r>
        <w:t xml:space="preserve">, ASCII 95): exclusively used for separating the different file naming fields (see xxx).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Hyphen</w:t>
      </w:r>
      <w:r>
        <w:t xml:space="preserve"> </w:t>
      </w:r>
      <w:r>
        <w:t xml:space="preserve">(’-’, ASCII 45): exclusively used as separator within fields.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Period</w:t>
      </w:r>
      <w:r>
        <w:t xml:space="preserve"> </w:t>
      </w:r>
      <w:r>
        <w:t xml:space="preserve">(</w:t>
      </w:r>
      <w:r>
        <w:t xml:space="preserve">‘</w:t>
      </w:r>
      <w:r>
        <w:t xml:space="preserve">.</w:t>
      </w:r>
      <w:r>
        <w:t xml:space="preserve">’</w:t>
      </w:r>
      <w:r>
        <w:t xml:space="preserve">, ASCII 46): are not allowed.</w:t>
      </w:r>
      <w:r>
        <w:t xml:space="preserve"> </w:t>
      </w: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the period is part of the file extension and there used to separate the filename from the file extension.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Space</w:t>
      </w:r>
      <w:r>
        <w:t xml:space="preserve"> </w:t>
      </w:r>
      <w:r>
        <w:t xml:space="preserve">(‘ ’, ASCII 32): are not allowed.</w:t>
      </w:r>
    </w:p>
    <w:bookmarkEnd w:id="33"/>
    <w:bookmarkStart w:id="34" w:name="sec-fields---the-elements-of-a-filename"/>
    <w:p>
      <w:pPr>
        <w:pStyle w:val="Heading2"/>
      </w:pPr>
      <w:r>
        <w:t xml:space="preserve">4.2 Fields - the elements of a filename</w:t>
      </w:r>
    </w:p>
    <w:p>
      <w:pPr>
        <w:pStyle w:val="FirstParagraph"/>
      </w:pPr>
      <w:r>
        <w:rPr>
          <w:b/>
          <w:bCs/>
        </w:rPr>
        <w:t xml:space="preserve">Fields</w:t>
      </w:r>
      <w:r>
        <w:t xml:space="preserve"> </w:t>
      </w:r>
      <w:r>
        <w:t xml:space="preserve">are standardized descriptive elements composing a filename. The filename is made of at least one but typically more than one field. Fields are separated by the field delimiter character which is underscore (</w:t>
      </w:r>
      <w:r>
        <w:t xml:space="preserve">‘</w:t>
      </w:r>
      <w:r>
        <w:t xml:space="preserve">_</w:t>
      </w:r>
      <w:r>
        <w:t xml:space="preserve">’</w:t>
      </w:r>
      <w:r>
        <w:t xml:space="preserve">). Each field can have zero, one, or more</w:t>
      </w:r>
      <w:r>
        <w:t xml:space="preserve"> </w:t>
      </w:r>
      <w:r>
        <w:rPr>
          <w:b/>
          <w:bCs/>
        </w:rPr>
        <w:t xml:space="preserve">-suffixes</w:t>
      </w:r>
      <w:r>
        <w:t xml:space="preserve">. Suffixes are connected to the relevant field by a hyphen (</w:t>
      </w:r>
      <w:r>
        <w:t xml:space="preserve">‘</w:t>
      </w:r>
      <w:r>
        <w:t xml:space="preserve">-</w:t>
      </w:r>
      <w:r>
        <w:t xml:space="preserve">’</w:t>
      </w:r>
      <w:r>
        <w:t xml:space="preserve">) and must be placed after the field. A field suffix can be used to describe e.g.,</w:t>
      </w:r>
    </w:p>
    <w:p>
      <w:pPr>
        <w:numPr>
          <w:ilvl w:val="0"/>
          <w:numId w:val="1007"/>
        </w:numPr>
      </w:pPr>
      <w:r>
        <w:t xml:space="preserve">objects which exist only in relation with another object, e.g. the parameter</w:t>
      </w:r>
      <w:r>
        <w:t xml:space="preserve"> </w:t>
      </w:r>
      <w:r>
        <w:t xml:space="preserve">‘</w:t>
      </w:r>
      <w:r>
        <w:rPr>
          <w:i/>
          <w:iCs/>
        </w:rPr>
        <w:t xml:space="preserve">NDVI</w:t>
      </w:r>
      <w:r>
        <w:t xml:space="preserve">’</w:t>
      </w:r>
      <w:r>
        <w:t xml:space="preserve"> </w:t>
      </w:r>
      <w:r>
        <w:t xml:space="preserve">with the to it associated quality assessment parameter</w:t>
      </w:r>
      <w:r>
        <w:t xml:space="preserve"> </w:t>
      </w:r>
      <w:r>
        <w:t xml:space="preserve">‘</w:t>
      </w:r>
      <w:r>
        <w:rPr>
          <w:i/>
          <w:iCs/>
        </w:rPr>
        <w:t xml:space="preserve">NDVI-QA</w:t>
      </w:r>
      <w:r>
        <w:t xml:space="preserve">’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product derivatives e.g.,</w:t>
      </w:r>
      <w:r>
        <w:t xml:space="preserve"> </w:t>
      </w:r>
      <w:r>
        <w:t xml:space="preserve">‘</w:t>
      </w:r>
      <w:r>
        <w:rPr>
          <w:i/>
          <w:iCs/>
        </w:rPr>
        <w:t xml:space="preserve">SWI-030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/>
          <w:iCs/>
        </w:rPr>
        <w:t xml:space="preserve">SWI-040</w:t>
      </w:r>
      <w:r>
        <w:t xml:space="preserve">’</w:t>
      </w:r>
    </w:p>
    <w:p>
      <w:pPr>
        <w:pStyle w:val="FirstParagraph"/>
      </w:pPr>
      <w:r>
        <w:t xml:space="preserve">Fields may not be empty so that a field delimiter may not occur at the beginning or the end of a filename or twice in a row.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field1_field2_field3-suffix_filed4</w:t>
            </w:r>
          </w:p>
        </w:tc>
      </w:tr>
    </w:tbl>
    <w:bookmarkEnd w:id="34"/>
    <w:bookmarkStart w:id="44" w:name="sec-filename---structural-rules"/>
    <w:p>
      <w:pPr>
        <w:pStyle w:val="Heading2"/>
      </w:pPr>
      <w:r>
        <w:t xml:space="preserve">4.3 Filename - structural rules</w:t>
      </w:r>
    </w:p>
    <w:p>
      <w:pPr>
        <w:pStyle w:val="FirstParagraph"/>
      </w:pPr>
      <w:r>
        <w:t xml:space="preserve">The arrangement of</w:t>
      </w:r>
      <w:r>
        <w:t xml:space="preserve"> </w:t>
      </w:r>
      <w:r>
        <w:rPr>
          <w:i/>
          <w:iCs/>
        </w:rPr>
        <w:t xml:space="preserve">fields</w:t>
      </w:r>
      <w:r>
        <w:t xml:space="preserve"> </w:t>
      </w:r>
      <w:r>
        <w:t xml:space="preserve">is an essential part in the creation of a filename. The filename structure follows a predefined hierarchical order to ensure efficiency, consistency, and (machine) readability. A</w:t>
      </w:r>
      <w:r>
        <w:t xml:space="preserve"> </w:t>
      </w:r>
      <w:r>
        <w:rPr>
          <w:i/>
          <w:iCs/>
        </w:rPr>
        <w:t xml:space="preserve">filename</w:t>
      </w:r>
      <w:r>
        <w:t xml:space="preserve"> </w:t>
      </w:r>
      <w:r>
        <w:t xml:space="preserve">is subdivided in several</w:t>
      </w:r>
      <w:r>
        <w:t xml:space="preserve"> </w:t>
      </w:r>
      <w:r>
        <w:rPr>
          <w:b/>
          <w:bCs/>
        </w:rPr>
        <w:t xml:space="preserve">categories</w:t>
      </w:r>
      <w:r>
        <w:t xml:space="preserve">, each of them addressing different purposes, and each of them composed of distinct and unique</w:t>
      </w:r>
      <w:r>
        <w:t xml:space="preserve"> </w:t>
      </w:r>
      <w:r>
        <w:rPr>
          <w:b/>
          <w:bCs/>
        </w:rPr>
        <w:t xml:space="preserve">fields</w:t>
      </w:r>
      <w:r>
        <w:t xml:space="preserve"> </w:t>
      </w:r>
      <w:r>
        <w:t xml:space="preserve">and eventually</w:t>
      </w:r>
      <w:r>
        <w:t xml:space="preserve"> </w:t>
      </w:r>
      <w:r>
        <w:rPr>
          <w:b/>
          <w:bCs/>
        </w:rPr>
        <w:t xml:space="preserve">field-suffixes</w:t>
      </w:r>
      <w:r>
        <w:t xml:space="preserve">.</w:t>
      </w:r>
    </w:p>
    <w:p>
      <w:pPr>
        <w:pStyle w:val="BodyText"/>
      </w:pPr>
      <w:r>
        <w:t xml:space="preserve">Each product or product group can have different composition schemata, i.e., using different categories or fields. The order of categories must be preserved, and the ’</w:t>
      </w:r>
      <w:r>
        <w:rPr>
          <w:i/>
          <w:iCs/>
        </w:rPr>
        <w:t xml:space="preserve">main’</w:t>
      </w:r>
      <w:r>
        <w:t xml:space="preserve"> </w:t>
      </w:r>
      <w:r>
        <w:t xml:space="preserve">category</w:t>
      </w:r>
      <w:r>
        <w:t xml:space="preserve"> </w:t>
      </w:r>
      <w:r>
        <w:rPr>
          <w:i/>
          <w:iCs/>
        </w:rPr>
        <w:t xml:space="preserve">(see</w:t>
      </w:r>
      <w:r>
        <w:t xml:space="preserve"> </w:t>
      </w:r>
      <w:hyperlink w:anchor="sec-filename-category-main">
        <w:r>
          <w:rPr>
            <w:rStyle w:val="Hyperlink"/>
          </w:rPr>
          <w:t xml:space="preserve">Section 4.3.1</w:t>
        </w:r>
      </w:hyperlink>
      <w:r>
        <w:t xml:space="preserve">), are compulsory.</w:t>
      </w:r>
    </w:p>
    <w:bookmarkStart w:id="35" w:name="sec-filename-category-main"/>
    <w:p>
      <w:pPr>
        <w:pStyle w:val="Heading3"/>
      </w:pPr>
      <w:r>
        <w:t xml:space="preserve">4.3.1 Filename category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</w:p>
    <w:p>
      <w:pPr>
        <w:pStyle w:val="FirstParagraph"/>
      </w:pPr>
      <w:r>
        <w:t xml:space="preserve">The first category in a filename is called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 </w:t>
      </w:r>
      <w:r>
        <w:t xml:space="preserve">and shall ensure a it can unequivocally associated to a naming scheme. The naming scheme is a set of product or product groups specific rules for the composition of the filename. The</w:t>
      </w:r>
      <w:r>
        <w:t xml:space="preserve"> </w:t>
      </w:r>
      <w:r>
        <w:rPr>
          <w:i/>
          <w:iCs/>
        </w:rPr>
        <w:t xml:space="preserve">main</w:t>
      </w:r>
      <w:r>
        <w:t xml:space="preserve"> </w:t>
      </w:r>
      <w:r>
        <w:t xml:space="preserve">category must contain the necessary information to point to a given scheme. Each schema can have sub schemata.</w:t>
      </w:r>
    </w:p>
    <w:bookmarkEnd w:id="35"/>
    <w:bookmarkStart w:id="36" w:name="sec-filename-category-spatial-identifier"/>
    <w:p>
      <w:pPr>
        <w:pStyle w:val="Heading3"/>
      </w:pPr>
      <w:r>
        <w:t xml:space="preserve">4.3.2 Filename category</w:t>
      </w:r>
      <w:r>
        <w:t xml:space="preserve"> </w:t>
      </w:r>
      <w:r>
        <w:t xml:space="preserve">‘</w:t>
      </w:r>
      <w:r>
        <w:t xml:space="preserve">Spatial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2 main spatial identifiers: AOI of the product, and AoI of the scene or image,</w:t>
      </w:r>
    </w:p>
    <w:bookmarkEnd w:id="36"/>
    <w:bookmarkStart w:id="37" w:name="X12a16c0ec6b1a4e263ef28687424afe64a61553"/>
    <w:p>
      <w:pPr>
        <w:pStyle w:val="Heading3"/>
      </w:pPr>
      <w:r>
        <w:t xml:space="preserve">4.3.3 Filename category</w:t>
      </w:r>
      <w:r>
        <w:t xml:space="preserve"> </w:t>
      </w:r>
      <w:r>
        <w:t xml:space="preserve">‘</w:t>
      </w:r>
      <w:r>
        <w:t xml:space="preserve">Temporal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Describes product specific elements such as acquisition or reference date, in case of composite images the composting period,….</w:t>
      </w:r>
    </w:p>
    <w:bookmarkEnd w:id="37"/>
    <w:bookmarkStart w:id="38" w:name="Xf2aca517ed6d272f90d1604e6c238b05d564624"/>
    <w:p>
      <w:pPr>
        <w:pStyle w:val="Heading3"/>
      </w:pPr>
      <w:r>
        <w:t xml:space="preserve">4.3.4 Filename category</w:t>
      </w:r>
      <w:r>
        <w:t xml:space="preserve"> </w:t>
      </w:r>
      <w:r>
        <w:t xml:space="preserve">‘</w:t>
      </w:r>
      <w:r>
        <w:t xml:space="preserve">Production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Describes file specific details on the production process and information provenance. Such as file version, processing mode, origin data, processing date…</w:t>
      </w:r>
    </w:p>
    <w:bookmarkEnd w:id="38"/>
    <w:bookmarkStart w:id="43" w:name="Xce1fb39f3974a2e4eb76dbb4e23be2dd308ebe7"/>
    <w:p>
      <w:pPr>
        <w:pStyle w:val="Heading3"/>
      </w:pPr>
      <w:r>
        <w:t xml:space="preserve">4.3.5 Filename category</w:t>
      </w:r>
      <w:r>
        <w:t xml:space="preserve"> </w:t>
      </w:r>
      <w:r>
        <w:t xml:space="preserve">‘</w:t>
      </w:r>
      <w:r>
        <w:t xml:space="preserve">Parameter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The category</w:t>
      </w:r>
      <w:r>
        <w:t xml:space="preserve"> </w:t>
      </w:r>
      <w:r>
        <w:t xml:space="preserve">‘</w:t>
      </w:r>
      <w:r>
        <w:t xml:space="preserve">Parameter identifier</w:t>
      </w:r>
      <w:r>
        <w:t xml:space="preserve">’</w:t>
      </w:r>
      <w:r>
        <w:t xml:space="preserve"> </w:t>
      </w:r>
      <w:r>
        <w:t xml:space="preserve">is the last field in a filename, and antecedent to the file extension. This category is reserved to layer level information of a file.</w:t>
      </w: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tbl-captable-of-categories-and-fiel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Categories and fields of a filename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Category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Field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Producing entity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Resolution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Tile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Coverage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Temporal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(Acquisition) 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Platform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Version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Processing 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</w:t>
                  </w:r>
                </w:p>
              </w:tc>
            </w:tr>
          </w:tbl>
          <w:bookmarkEnd w:id="39"/>
          <w:p/>
        </w:tc>
      </w:tr>
    </w:tbl>
    <w:p>
      <w:pPr>
        <w:pStyle w:val="DefinitionTerm"/>
      </w:pPr>
      <w:r>
        <w:drawing>
          <wp:inline>
            <wp:extent cx="5334000" cy="2891589"/>
            <wp:effectExtent b="0" l="0" r="0" t="0"/>
            <wp:docPr descr="Example decision tree" title="" id="41" name="Picture"/>
            <a:graphic>
              <a:graphicData uri="http://schemas.openxmlformats.org/drawingml/2006/picture">
                <pic:pic>
                  <pic:nvPicPr>
                    <pic:cNvPr descr="images/mermaid-diagram-2024090107470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inition"/>
      </w:pPr>
      <w:r>
        <w:t xml:space="preserve">Example decision tree {#fig-cap:classification tree}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https://en.wikipedia.org/wiki/Fully_qualified_name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NTFS supports approximately 32,767 characters. For compatibility reasons the limit imposed by the Windows 32bit API has been chosen.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https://en.wikipedia.org/wiki/ASCII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K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hyperlink" Id="rId32" Target="https://en.wikipedia.org/wiki/ASCII" TargetMode="External" /><Relationship Type="http://schemas.openxmlformats.org/officeDocument/2006/relationships/hyperlink" Id="rId22" Target="https://en.wikipedia.org/wiki/Fully_qualified_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n.wikipedia.org/wiki/ASCII" TargetMode="External" /><Relationship Type="http://schemas.openxmlformats.org/officeDocument/2006/relationships/hyperlink" Id="rId22" Target="https://en.wikipedia.org/wiki/Fully_qualified_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CLMS filenaming convention</dc:title>
  <dc:creator>CLMS ICT-WG</dc:creator>
  <dc:language>en-UK</dc:language>
  <cp:keywords>guidelines, filenaming, reference, CLMS, File Naming Standards, Naming Conventions, File Structure, File Management, ICT Guidelines, Best Practices, File Systems Compatibility, geodata storage, Metadata, Information Retrieval, Interoperability, File Extension, File Identifier</cp:keywords>
  <dcterms:created xsi:type="dcterms:W3CDTF">2024-09-13T13:11:28Z</dcterms:created>
  <dcterms:modified xsi:type="dcterms:W3CDTF">2024-09-13T13:11:28Z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hrome">
    <vt:lpwstr/>
  </property>
  <property fmtid="{D5CDD505-2E9C-101B-9397-08002B2CF9AE}" pid="6" name="date">
    <vt:lpwstr>September 13, 2024</vt:lpwstr>
  </property>
  <property fmtid="{D5CDD505-2E9C-101B-9397-08002B2CF9AE}" pid="7" name="date-format">
    <vt:lpwstr>long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review">
    <vt:lpwstr/>
  </property>
  <property fmtid="{D5CDD505-2E9C-101B-9397-08002B2CF9AE}" pid="14" name="subtitle">
    <vt:lpwstr>guidelines</vt:lpwstr>
  </property>
  <property fmtid="{D5CDD505-2E9C-101B-9397-08002B2CF9AE}" pid="15" name="toc-title">
    <vt:lpwstr>Table of contents</vt:lpwstr>
  </property>
</Properties>
</file>