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St. Mary's Medical Center</w:t>
      </w:r>
    </w:p>
    <w:p>
      <w:r>
        <w:rPr>
          <w:b/>
        </w:rPr>
        <w:t>DISCHARGE SUMMARY</w:t>
      </w:r>
    </w:p>
    <w:p>
      <w:r>
        <w:t>Patient: Harold Brooks</w:t>
      </w:r>
    </w:p>
    <w:p>
      <w:r>
        <w:t>DOB: 04/30/1948 (Age 78)</w:t>
      </w:r>
    </w:p>
    <w:p>
      <w:r>
        <w:rPr>
          <w:b/>
        </w:rPr>
        <w:t>MRN: MRN-2025-0112</w:t>
      </w:r>
    </w:p>
    <w:p>
      <w:r>
        <w:t>Admission Date: 07/28/2026</w:t>
      </w:r>
    </w:p>
    <w:p>
      <w:r>
        <w:t>Discharge Date: 08/04/2026</w:t>
      </w:r>
    </w:p>
    <w:p>
      <w:r>
        <w:t>Attending Physician: Dr. Priya Raman, MD (Hospitalist service)</w:t>
      </w:r>
    </w:p>
    <w:p>
      <w:r>
        <w:rPr>
          <w:b/>
        </w:rPr>
        <w:t>ADMISSION DIAGNOSIS:</w:t>
      </w:r>
    </w:p>
    <w:p>
      <w:r>
        <w:t>1. Urosepsis with septic shock (A41.51)</w:t>
      </w:r>
    </w:p>
    <w:p>
      <w:r>
        <w:t>2. Acute kidney injury on CKD stage 3a (N17.9)</w:t>
      </w:r>
    </w:p>
    <w:p>
      <w:r>
        <w:t>3. Recurrent urinary tract infections</w:t>
      </w:r>
    </w:p>
    <w:p>
      <w:r>
        <w:t>4. Benign prostatic hyperplasia</w:t>
      </w:r>
    </w:p>
    <w:p>
      <w:r>
        <w:t>5. Atrial fibrillation</w:t>
      </w:r>
    </w:p>
    <w:p>
      <w:r>
        <w:rPr>
          <w:b/>
        </w:rPr>
        <w:t>HOSPITAL COURSE:</w:t>
      </w:r>
    </w:p>
    <w:p>
      <w:r>
        <w:t>78-year-old male admitted through the ED with fever, altered mental status, and</w:t>
      </w:r>
    </w:p>
    <w:p>
      <w:r>
        <w:t>hypotension. Blood and urine cultures ultimately identified ESBL-producing E. coli</w:t>
      </w:r>
    </w:p>
    <w:p>
      <w:r>
        <w:t>sensitive to piperacillin-tazobactam and cephalexin. Managed with IV fluids,</w:t>
      </w:r>
    </w:p>
    <w:p>
      <w:r>
        <w:t>norepinephrine (weaned off hospital day 3), and targeted antibiotics. AKI peaked</w:t>
      </w:r>
    </w:p>
    <w:p>
      <w:r>
        <w:t>at creatinine 2.6 on day 2 and returned to baseline 1.6 by discharge. Mental</w:t>
      </w:r>
    </w:p>
    <w:p>
      <w:r>
        <w:t>status returned to baseline by day 4. Apixaban resumed after renal function</w:t>
      </w:r>
    </w:p>
    <w:p>
      <w:r>
        <w:t>stabilized. Post-void bladder scans normal after tamsulosin continuation;</w:t>
      </w:r>
    </w:p>
    <w:p>
      <w:r>
        <w:t>urology does not recommend catheterization.</w:t>
      </w:r>
    </w:p>
    <w:p>
      <w:r>
        <w:rPr>
          <w:b/>
        </w:rPr>
        <w:t>CONDITION AT DISCHARGE:</w:t>
      </w:r>
    </w:p>
    <w:p>
      <w:r>
        <w:t>Afebrile x 72 hours, hemodynamically stable, ambulating independently, mental</w:t>
      </w:r>
    </w:p>
    <w:p>
      <w:r>
        <w:t>status at baseline.</w:t>
      </w:r>
    </w:p>
    <w:p>
      <w:r>
        <w:t>DISCHARGE MEDICATIONS: See attached pharmacy medication list.</w:t>
      </w:r>
    </w:p>
    <w:p>
      <w:r>
        <w:rPr>
          <w:b/>
        </w:rPr>
        <w:t>FOLLOW-UP:</w:t>
      </w:r>
    </w:p>
    <w:p>
      <w:r>
        <w:t>- Infectious Disease clinic 08/11/2026</w:t>
      </w:r>
    </w:p>
    <w:p>
      <w:r>
        <w:t>- Urology follow-up 08/20/2026 - discuss infection prophylaxis strategy</w:t>
      </w:r>
    </w:p>
    <w:p>
      <w:r>
        <w:t>- Primary care 1 week post-discharge for renal panel recheck</w:t>
      </w:r>
    </w:p>
    <w:p>
      <w:r>
        <w:t>- Home health nursing completed during admission stay transition</w:t>
      </w:r>
    </w:p>
    <w:p>
      <w:r>
        <w:rPr>
          <w:b/>
        </w:rPr>
        <w:t>DISPOSITION:</w:t>
      </w:r>
    </w:p>
    <w:p>
      <w:r>
        <w:t>Discharged home with daughter as caregiver. Home safety assessed.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