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Retention &amp; Churn Analysis Report</w:t>
      </w:r>
    </w:p>
    <w:p>
      <w:pPr>
        <w:jc w:val="center"/>
      </w:pPr>
      <w:r>
        <w:rPr>
          <w:i/>
        </w:rPr>
        <w:t>Synthetic subscription-business capstone deliverable</w:t>
      </w:r>
    </w:p>
    <w:p>
      <w:pPr>
        <w:pStyle w:val="Heading1"/>
        <w:jc w:val="left"/>
      </w:pPr>
      <w:r>
        <w:t>Executive Summary</w:t>
      </w:r>
    </w:p>
    <w:p>
      <w:r>
        <w:t>The analysis covered 7,500 customers and found an overall churn rate of 50.7%. High-value customers churned above the baseline, while the top two churn reasons represented 59.0% of all churn events.</w:t>
      </w:r>
    </w:p>
    <w:p>
      <w:r>
        <w:t>The best churn classifier was random forest with ROC-AUC 0.980. The results point to a clear retention priority: reduce early-life disengagement and service friction in the highest-risk segments.</w:t>
      </w:r>
    </w:p>
    <w:p>
      <w:pPr>
        <w:pStyle w:val="Heading1"/>
        <w:jc w:val="left"/>
      </w:pPr>
      <w:r>
        <w:t>Business Problem &amp; Objective</w:t>
      </w:r>
    </w:p>
    <w:p>
      <w:r>
        <w:t>The project aimed to identify churn patterns, quantify lifetime value risk, and translate those findings into specific retention actions for a subscription business.</w:t>
      </w:r>
    </w:p>
    <w:p>
      <w:pPr>
        <w:pStyle w:val="Heading1"/>
        <w:jc w:val="left"/>
      </w:pPr>
      <w:r>
        <w:t>Data Overview &amp; Methodology</w:t>
      </w:r>
    </w:p>
    <w:p>
      <w:r>
        <w:t>A synthetic raw dataset was created to mimic real client data quality issues, then cleaned into a single analysis-ready table. The workflow used pandas for preparation, seaborn/matplotlib for visualization, and scikit-learn for churn modeling.</w:t>
      </w:r>
    </w:p>
    <w:p>
      <w:pPr>
        <w:pStyle w:val="Heading1"/>
        <w:jc w:val="left"/>
      </w:pPr>
      <w:r>
        <w:t>Key Findings</w:t>
      </w:r>
    </w:p>
    <w:p>
      <w:pPr>
        <w:pStyle w:val="ListBullet"/>
      </w:pPr>
      <w:r>
        <w:t>Overall churn rate: 50.7%</w:t>
      </w:r>
    </w:p>
    <w:p>
      <w:pPr>
        <w:pStyle w:val="ListBullet"/>
      </w:pPr>
      <w:r>
        <w:t>Average CLV: 452.59</w:t>
      </w:r>
    </w:p>
    <w:p>
      <w:pPr>
        <w:pStyle w:val="ListBullet"/>
      </w:pPr>
      <w:r>
        <w:t>Average tenure: 12.44 months</w:t>
      </w:r>
    </w:p>
    <w:p>
      <w:pPr>
        <w:pStyle w:val="ListBullet"/>
      </w:pPr>
      <w:r>
        <w:t>Usage vs churn Spearman correlation: -0.45</w:t>
      </w:r>
    </w:p>
    <w:p>
      <w:pPr>
        <w:pStyle w:val="ListBullet"/>
      </w:pPr>
      <w:r>
        <w:t>Support tickets vs churn Spearman correlation: 0.37</w:t>
      </w:r>
    </w:p>
    <w:p>
      <w:r>
        <w:drawing>
          <wp:inline xmlns:a="http://schemas.openxmlformats.org/drawingml/2006/main" xmlns:pic="http://schemas.openxmlformats.org/drawingml/2006/picture">
            <wp:extent cx="6035040" cy="293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3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Monthly churn trend.</w:t>
      </w:r>
    </w:p>
    <w:p>
      <w:r>
        <w:drawing>
          <wp:inline xmlns:a="http://schemas.openxmlformats.org/drawingml/2006/main" xmlns:pic="http://schemas.openxmlformats.org/drawingml/2006/picture">
            <wp:extent cx="6035040" cy="3197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reason_par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Pareto breakdown of churn reasons.</w:t>
      </w:r>
    </w:p>
    <w:p>
      <w:r>
        <w:drawing>
          <wp:inline xmlns:a="http://schemas.openxmlformats.org/drawingml/2006/main" xmlns:pic="http://schemas.openxmlformats.org/drawingml/2006/picture">
            <wp:extent cx="6035040" cy="3575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reten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Monthly cohort retention heatmap.</w:t>
      </w:r>
    </w:p>
    <w:p>
      <w:r>
        <w:drawing>
          <wp:inline xmlns:a="http://schemas.openxmlformats.org/drawingml/2006/main" xmlns:pic="http://schemas.openxmlformats.org/drawingml/2006/picture">
            <wp:extent cx="6035040" cy="3206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v_tier_ch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Churn rate by CLV tier.</w:t>
      </w:r>
    </w:p>
    <w:p>
      <w:pPr>
        <w:pStyle w:val="Heading1"/>
        <w:jc w:val="left"/>
      </w:pPr>
      <w:r>
        <w:t>Churn Prediction Model Summary &amp; Top Drivers</w:t>
      </w:r>
    </w:p>
    <w:p>
      <w:r>
        <w:t>The best model was random forest with ROC-AUC 0.980, precision 0.938, recall 0.931, and F1 0.935.</w:t>
      </w:r>
    </w:p>
    <w:p>
      <w:pPr>
        <w:pStyle w:val="Heading1"/>
        <w:jc w:val="left"/>
      </w:pPr>
      <w:r>
        <w:t>Actionable Recommendations</w:t>
      </w:r>
    </w:p>
    <w:p>
      <w:pPr>
        <w:pStyle w:val="Heading2"/>
      </w:pPr>
      <w:r>
        <w:t>Recommendation 1: Attack the top churn reasons first</w:t>
      </w:r>
    </w:p>
    <w:p>
      <w:pPr>
        <w:pStyle w:val="ListBullet"/>
      </w:pPr>
      <w:r>
        <w:t>The top two churn reasons account for 59.0% of all churn events.</w:t>
      </w:r>
    </w:p>
    <w:p>
      <w:pPr>
        <w:pStyle w:val="ListBullet"/>
      </w:pPr>
      <w:r>
        <w:t>Create a billing-and-product retention playbook for customers citing billing, no usage, price sensitivity, and support issues.</w:t>
      </w:r>
    </w:p>
    <w:p>
      <w:pPr>
        <w:pStyle w:val="ListBullet"/>
      </w:pPr>
      <w:r>
        <w:t>If targeted interventions reduce churn among those reasons by 20%, estimated overall churn could drop by about 6.0%.</w:t>
      </w:r>
    </w:p>
    <w:p>
      <w:pPr>
        <w:pStyle w:val="Heading2"/>
      </w:pPr>
      <w:r>
        <w:t>Recommendation 2: Protect high-value customers</w:t>
      </w:r>
    </w:p>
    <w:p>
      <w:pPr>
        <w:pStyle w:val="ListBullet"/>
      </w:pPr>
      <w:r>
        <w:t>High CLV customers churn at 22.3% versus 50.7% overall.</w:t>
      </w:r>
    </w:p>
    <w:p>
      <w:pPr>
        <w:pStyle w:val="ListBullet"/>
      </w:pPr>
      <w:r>
        <w:t>Launch a high-value save desk for premium and high-CLV accounts with proactive renewal outreach and priority support.</w:t>
      </w:r>
    </w:p>
    <w:p>
      <w:pPr>
        <w:pStyle w:val="ListBullet"/>
      </w:pPr>
      <w:r>
        <w:t>Closing half of the high-value churn gap could reduce total churn by roughly 0.0% and protect disproportionate revenue.</w:t>
      </w:r>
    </w:p>
    <w:p>
      <w:pPr>
        <w:pStyle w:val="Heading2"/>
      </w:pPr>
      <w:r>
        <w:t>Recommendation 3: Intervene earlier on low-usage / high-support accounts</w:t>
      </w:r>
    </w:p>
    <w:p>
      <w:pPr>
        <w:pStyle w:val="ListBullet"/>
      </w:pPr>
      <w:r>
        <w:t>Usage and support show meaningful churn separation (Spearman -0.45 and 0.37).</w:t>
      </w:r>
    </w:p>
    <w:p>
      <w:pPr>
        <w:pStyle w:val="ListBullet"/>
      </w:pPr>
      <w:r>
        <w:t>Trigger lifecycle nudges, in-app education, and support escalation when engagement drops and ticket volume rises.</w:t>
      </w:r>
    </w:p>
    <w:p>
      <w:pPr>
        <w:pStyle w:val="ListBullet"/>
      </w:pPr>
      <w:r>
        <w:t>A 10% reduction in churn among the highest-risk engagement segments could lower churn by about 4.1%.</w:t>
      </w:r>
    </w:p>
    <w:p>
      <w:pPr>
        <w:pStyle w:val="Heading1"/>
        <w:jc w:val="left"/>
      </w:pPr>
      <w:r>
        <w:t>Limitations &amp; Future Work</w:t>
      </w:r>
    </w:p>
    <w:p>
      <w:r>
        <w:t>The results are based on synthetic data and are intended to demonstrate end-to-end analytical rigor. In a real deployment, the model would be validated on time-based out-of-sample data and connected to intervention outcomes.</w:t>
      </w:r>
    </w:p>
    <w:p>
      <w:pPr>
        <w:pStyle w:val="Heading1"/>
        <w:jc w:val="left"/>
      </w:pPr>
      <w:r>
        <w:t>Appendix</w:t>
      </w:r>
    </w:p>
    <w:p>
      <w:r>
        <w:t>Project artifacts:</w:t>
      </w:r>
    </w:p>
    <w:p>
      <w:pPr>
        <w:pStyle w:val="ListBullet"/>
      </w:pPr>
      <w:r>
        <w:t>C:\Users\USER\Downloads\task 1\data\processed\subscription_customers_clean.csv</w:t>
      </w:r>
    </w:p>
    <w:p>
      <w:pPr>
        <w:pStyle w:val="ListBullet"/>
      </w:pPr>
      <w:r>
        <w:t>C:\Users\USER\Downloads\task 1\data\processed\model_metrics.json</w:t>
      </w:r>
    </w:p>
    <w:p>
      <w:pPr>
        <w:pStyle w:val="ListBullet"/>
      </w:pPr>
      <w:r>
        <w:t>C:\Users\USER\Downloads\task 1\data\processed\feature_importance.csv</w:t>
      </w:r>
    </w:p>
    <w:p>
      <w:pPr>
        <w:pStyle w:val="ListBullet"/>
      </w:pPr>
      <w:r>
        <w:t>C:\Users\USER\Downloads\task 1\data\processed\cohort_retention_table.csv</w:t>
      </w:r>
    </w:p>
    <w:p>
      <w:pPr>
        <w:pStyle w:val="ListBullet"/>
      </w:pPr>
      <w:r>
        <w:t>C:\Users\USER\Downloads\task 1\reports\model_card.md</w:t>
      </w:r>
    </w:p>
    <w:p>
      <w:pPr>
        <w:pStyle w:val="ListBullet"/>
      </w:pPr>
      <w:r>
        <w:t>C:\Users\USER\Downloads\task 1\reports\customer_retention_churn_report.md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